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99AEA" w14:textId="4C38F123" w:rsidR="004B624C" w:rsidRDefault="005D43DD" w:rsidP="00CC4F8D">
      <w:pPr>
        <w:pStyle w:val="TeThHauorahead1"/>
        <w:spacing w:before="240" w:line="276" w:lineRule="auto"/>
      </w:pPr>
      <w:bookmarkStart w:id="0" w:name="_Appendix_1"/>
      <w:bookmarkEnd w:id="0"/>
      <w:r>
        <w:t>A qualitative thematic analysis of maternity adverse events reported 1 July 2018–30 June 2023</w:t>
      </w:r>
    </w:p>
    <w:p w14:paraId="35157310" w14:textId="3DC877C4" w:rsidR="00A31959" w:rsidRPr="00A31959" w:rsidRDefault="00A31959" w:rsidP="00A31959">
      <w:pPr>
        <w:pStyle w:val="TeThHauorahead2"/>
        <w:rPr>
          <w:rFonts w:asciiTheme="minorHAnsi" w:eastAsiaTheme="minorEastAsia" w:hAnsiTheme="minorHAnsi" w:cstheme="minorBidi"/>
          <w:b w:val="0"/>
          <w:bCs/>
          <w:noProof/>
          <w:kern w:val="2"/>
          <w:lang w:eastAsia="en-NZ"/>
          <w14:ligatures w14:val="standardContextual"/>
        </w:rPr>
      </w:pPr>
      <w:bookmarkStart w:id="1" w:name="_Toc170388973"/>
      <w:bookmarkStart w:id="2" w:name="_Toc155958928"/>
      <w:bookmarkStart w:id="3" w:name="_Toc161843059"/>
      <w:r>
        <w:t>Contents</w:t>
      </w:r>
      <w:bookmarkEnd w:id="1"/>
      <w:r w:rsidRPr="00A31959">
        <w:rPr>
          <w:b w:val="0"/>
          <w:bCs/>
        </w:rPr>
        <w:fldChar w:fldCharType="begin"/>
      </w:r>
      <w:r w:rsidRPr="00A31959">
        <w:rPr>
          <w:b w:val="0"/>
          <w:bCs/>
        </w:rPr>
        <w:instrText xml:space="preserve"> TOC \h \z \t "Te Tāhū Hauora head 2,1" </w:instrText>
      </w:r>
      <w:r w:rsidRPr="00A31959">
        <w:rPr>
          <w:b w:val="0"/>
          <w:bCs/>
        </w:rPr>
        <w:fldChar w:fldCharType="separate"/>
      </w:r>
    </w:p>
    <w:p w14:paraId="12EBF07A" w14:textId="0671DC23" w:rsidR="00A31959" w:rsidRPr="00A31959" w:rsidRDefault="00D67325" w:rsidP="00A31959">
      <w:pPr>
        <w:pStyle w:val="TOC1"/>
        <w:spacing w:after="60"/>
        <w:rPr>
          <w:rFonts w:asciiTheme="minorHAnsi" w:eastAsiaTheme="minorEastAsia" w:hAnsiTheme="minorHAnsi" w:cstheme="minorBidi"/>
          <w:b w:val="0"/>
          <w:noProof/>
          <w:kern w:val="2"/>
          <w:lang w:eastAsia="en-NZ"/>
          <w14:ligatures w14:val="standardContextual"/>
        </w:rPr>
      </w:pPr>
      <w:hyperlink w:anchor="_Toc170388974" w:history="1">
        <w:r w:rsidR="00A31959" w:rsidRPr="00A31959">
          <w:rPr>
            <w:rStyle w:val="Hyperlink"/>
            <w:b w:val="0"/>
            <w:noProof/>
          </w:rPr>
          <w:t>Introduction</w:t>
        </w:r>
        <w:r w:rsidR="00A31959" w:rsidRPr="00A31959">
          <w:rPr>
            <w:b w:val="0"/>
            <w:noProof/>
            <w:webHidden/>
          </w:rPr>
          <w:tab/>
        </w:r>
        <w:r w:rsidR="00A31959" w:rsidRPr="00A31959">
          <w:rPr>
            <w:b w:val="0"/>
            <w:noProof/>
            <w:webHidden/>
          </w:rPr>
          <w:fldChar w:fldCharType="begin"/>
        </w:r>
        <w:r w:rsidR="00A31959" w:rsidRPr="00A31959">
          <w:rPr>
            <w:b w:val="0"/>
            <w:noProof/>
            <w:webHidden/>
          </w:rPr>
          <w:instrText xml:space="preserve"> PAGEREF _Toc170388974 \h </w:instrText>
        </w:r>
        <w:r w:rsidR="00A31959" w:rsidRPr="00A31959">
          <w:rPr>
            <w:b w:val="0"/>
            <w:noProof/>
            <w:webHidden/>
          </w:rPr>
        </w:r>
        <w:r w:rsidR="00A31959" w:rsidRPr="00A31959">
          <w:rPr>
            <w:b w:val="0"/>
            <w:noProof/>
            <w:webHidden/>
          </w:rPr>
          <w:fldChar w:fldCharType="separate"/>
        </w:r>
        <w:r w:rsidR="004B1B07">
          <w:rPr>
            <w:b w:val="0"/>
            <w:noProof/>
            <w:webHidden/>
          </w:rPr>
          <w:t>1</w:t>
        </w:r>
        <w:r w:rsidR="00A31959" w:rsidRPr="00A31959">
          <w:rPr>
            <w:b w:val="0"/>
            <w:noProof/>
            <w:webHidden/>
          </w:rPr>
          <w:fldChar w:fldCharType="end"/>
        </w:r>
      </w:hyperlink>
    </w:p>
    <w:p w14:paraId="00752CA0" w14:textId="41BED012" w:rsidR="00A31959" w:rsidRPr="00A31959" w:rsidRDefault="00D67325" w:rsidP="00A31959">
      <w:pPr>
        <w:pStyle w:val="TOC1"/>
        <w:spacing w:after="60"/>
        <w:rPr>
          <w:rFonts w:asciiTheme="minorHAnsi" w:eastAsiaTheme="minorEastAsia" w:hAnsiTheme="minorHAnsi" w:cstheme="minorBidi"/>
          <w:b w:val="0"/>
          <w:noProof/>
          <w:kern w:val="2"/>
          <w:lang w:eastAsia="en-NZ"/>
          <w14:ligatures w14:val="standardContextual"/>
        </w:rPr>
      </w:pPr>
      <w:hyperlink w:anchor="_Toc170388975" w:history="1">
        <w:r w:rsidR="00A31959" w:rsidRPr="00A31959">
          <w:rPr>
            <w:rStyle w:val="Hyperlink"/>
            <w:b w:val="0"/>
            <w:noProof/>
          </w:rPr>
          <w:t>Reporting adverse events in Aotearoa New Zealand</w:t>
        </w:r>
        <w:r w:rsidR="00A31959" w:rsidRPr="00A31959">
          <w:rPr>
            <w:b w:val="0"/>
            <w:noProof/>
            <w:webHidden/>
          </w:rPr>
          <w:tab/>
        </w:r>
        <w:r w:rsidR="00A31959" w:rsidRPr="00A31959">
          <w:rPr>
            <w:b w:val="0"/>
            <w:noProof/>
            <w:webHidden/>
          </w:rPr>
          <w:fldChar w:fldCharType="begin"/>
        </w:r>
        <w:r w:rsidR="00A31959" w:rsidRPr="00A31959">
          <w:rPr>
            <w:b w:val="0"/>
            <w:noProof/>
            <w:webHidden/>
          </w:rPr>
          <w:instrText xml:space="preserve"> PAGEREF _Toc170388975 \h </w:instrText>
        </w:r>
        <w:r w:rsidR="00A31959" w:rsidRPr="00A31959">
          <w:rPr>
            <w:b w:val="0"/>
            <w:noProof/>
            <w:webHidden/>
          </w:rPr>
        </w:r>
        <w:r w:rsidR="00A31959" w:rsidRPr="00A31959">
          <w:rPr>
            <w:b w:val="0"/>
            <w:noProof/>
            <w:webHidden/>
          </w:rPr>
          <w:fldChar w:fldCharType="separate"/>
        </w:r>
        <w:r w:rsidR="004B1B07">
          <w:rPr>
            <w:b w:val="0"/>
            <w:noProof/>
            <w:webHidden/>
          </w:rPr>
          <w:t>1</w:t>
        </w:r>
        <w:r w:rsidR="00A31959" w:rsidRPr="00A31959">
          <w:rPr>
            <w:b w:val="0"/>
            <w:noProof/>
            <w:webHidden/>
          </w:rPr>
          <w:fldChar w:fldCharType="end"/>
        </w:r>
      </w:hyperlink>
    </w:p>
    <w:p w14:paraId="2A3DA15C" w14:textId="67357D59" w:rsidR="00A31959" w:rsidRPr="00A31959" w:rsidRDefault="00D67325" w:rsidP="00A31959">
      <w:pPr>
        <w:pStyle w:val="TOC1"/>
        <w:spacing w:after="60"/>
        <w:rPr>
          <w:rFonts w:asciiTheme="minorHAnsi" w:eastAsiaTheme="minorEastAsia" w:hAnsiTheme="minorHAnsi" w:cstheme="minorBidi"/>
          <w:b w:val="0"/>
          <w:noProof/>
          <w:kern w:val="2"/>
          <w:lang w:eastAsia="en-NZ"/>
          <w14:ligatures w14:val="standardContextual"/>
        </w:rPr>
      </w:pPr>
      <w:hyperlink w:anchor="_Toc170388976" w:history="1">
        <w:r w:rsidR="00A31959" w:rsidRPr="00A31959">
          <w:rPr>
            <w:rStyle w:val="Hyperlink"/>
            <w:b w:val="0"/>
            <w:noProof/>
          </w:rPr>
          <w:t>Thematic analysis</w:t>
        </w:r>
        <w:r w:rsidR="00A31959" w:rsidRPr="00A31959">
          <w:rPr>
            <w:b w:val="0"/>
            <w:noProof/>
            <w:webHidden/>
          </w:rPr>
          <w:tab/>
        </w:r>
        <w:r w:rsidR="00A31959" w:rsidRPr="00A31959">
          <w:rPr>
            <w:b w:val="0"/>
            <w:noProof/>
            <w:webHidden/>
          </w:rPr>
          <w:fldChar w:fldCharType="begin"/>
        </w:r>
        <w:r w:rsidR="00A31959" w:rsidRPr="00A31959">
          <w:rPr>
            <w:b w:val="0"/>
            <w:noProof/>
            <w:webHidden/>
          </w:rPr>
          <w:instrText xml:space="preserve"> PAGEREF _Toc170388976 \h </w:instrText>
        </w:r>
        <w:r w:rsidR="00A31959" w:rsidRPr="00A31959">
          <w:rPr>
            <w:b w:val="0"/>
            <w:noProof/>
            <w:webHidden/>
          </w:rPr>
        </w:r>
        <w:r w:rsidR="00A31959" w:rsidRPr="00A31959">
          <w:rPr>
            <w:b w:val="0"/>
            <w:noProof/>
            <w:webHidden/>
          </w:rPr>
          <w:fldChar w:fldCharType="separate"/>
        </w:r>
        <w:r w:rsidR="004B1B07">
          <w:rPr>
            <w:b w:val="0"/>
            <w:noProof/>
            <w:webHidden/>
          </w:rPr>
          <w:t>2</w:t>
        </w:r>
        <w:r w:rsidR="00A31959" w:rsidRPr="00A31959">
          <w:rPr>
            <w:b w:val="0"/>
            <w:noProof/>
            <w:webHidden/>
          </w:rPr>
          <w:fldChar w:fldCharType="end"/>
        </w:r>
      </w:hyperlink>
    </w:p>
    <w:p w14:paraId="196418D9" w14:textId="51D535DD" w:rsidR="00A31959" w:rsidRPr="00A31959" w:rsidRDefault="00D67325" w:rsidP="00A31959">
      <w:pPr>
        <w:pStyle w:val="TOC1"/>
        <w:spacing w:after="60"/>
        <w:rPr>
          <w:rFonts w:asciiTheme="minorHAnsi" w:eastAsiaTheme="minorEastAsia" w:hAnsiTheme="minorHAnsi" w:cstheme="minorBidi"/>
          <w:b w:val="0"/>
          <w:noProof/>
          <w:kern w:val="2"/>
          <w:lang w:eastAsia="en-NZ"/>
          <w14:ligatures w14:val="standardContextual"/>
        </w:rPr>
      </w:pPr>
      <w:hyperlink w:anchor="_Toc170388977" w:history="1">
        <w:r w:rsidR="00A31959" w:rsidRPr="00A31959">
          <w:rPr>
            <w:rStyle w:val="Hyperlink"/>
            <w:b w:val="0"/>
            <w:noProof/>
          </w:rPr>
          <w:t>Discussion</w:t>
        </w:r>
        <w:r w:rsidR="00A31959" w:rsidRPr="00A31959">
          <w:rPr>
            <w:b w:val="0"/>
            <w:noProof/>
            <w:webHidden/>
          </w:rPr>
          <w:tab/>
        </w:r>
        <w:r w:rsidR="00A31959" w:rsidRPr="00A31959">
          <w:rPr>
            <w:b w:val="0"/>
            <w:noProof/>
            <w:webHidden/>
          </w:rPr>
          <w:fldChar w:fldCharType="begin"/>
        </w:r>
        <w:r w:rsidR="00A31959" w:rsidRPr="00A31959">
          <w:rPr>
            <w:b w:val="0"/>
            <w:noProof/>
            <w:webHidden/>
          </w:rPr>
          <w:instrText xml:space="preserve"> PAGEREF _Toc170388977 \h </w:instrText>
        </w:r>
        <w:r w:rsidR="00A31959" w:rsidRPr="00A31959">
          <w:rPr>
            <w:b w:val="0"/>
            <w:noProof/>
            <w:webHidden/>
          </w:rPr>
        </w:r>
        <w:r w:rsidR="00A31959" w:rsidRPr="00A31959">
          <w:rPr>
            <w:b w:val="0"/>
            <w:noProof/>
            <w:webHidden/>
          </w:rPr>
          <w:fldChar w:fldCharType="separate"/>
        </w:r>
        <w:r w:rsidR="004B1B07">
          <w:rPr>
            <w:b w:val="0"/>
            <w:noProof/>
            <w:webHidden/>
          </w:rPr>
          <w:t>11</w:t>
        </w:r>
        <w:r w:rsidR="00A31959" w:rsidRPr="00A31959">
          <w:rPr>
            <w:b w:val="0"/>
            <w:noProof/>
            <w:webHidden/>
          </w:rPr>
          <w:fldChar w:fldCharType="end"/>
        </w:r>
      </w:hyperlink>
    </w:p>
    <w:p w14:paraId="3019F451" w14:textId="7F7B200B" w:rsidR="00A31959" w:rsidRPr="00A31959" w:rsidRDefault="00D67325" w:rsidP="00A31959">
      <w:pPr>
        <w:pStyle w:val="TOC1"/>
        <w:spacing w:after="60"/>
        <w:rPr>
          <w:rFonts w:asciiTheme="minorHAnsi" w:eastAsiaTheme="minorEastAsia" w:hAnsiTheme="minorHAnsi" w:cstheme="minorBidi"/>
          <w:b w:val="0"/>
          <w:noProof/>
          <w:kern w:val="2"/>
          <w:lang w:eastAsia="en-NZ"/>
          <w14:ligatures w14:val="standardContextual"/>
        </w:rPr>
      </w:pPr>
      <w:hyperlink w:anchor="_Toc170388978" w:history="1">
        <w:r w:rsidR="00A31959" w:rsidRPr="00A31959">
          <w:rPr>
            <w:rStyle w:val="Hyperlink"/>
            <w:b w:val="0"/>
            <w:noProof/>
          </w:rPr>
          <w:t>Next steps</w:t>
        </w:r>
        <w:r w:rsidR="00A31959" w:rsidRPr="00A31959">
          <w:rPr>
            <w:b w:val="0"/>
            <w:noProof/>
            <w:webHidden/>
          </w:rPr>
          <w:tab/>
        </w:r>
        <w:r w:rsidR="00A31959" w:rsidRPr="00A31959">
          <w:rPr>
            <w:b w:val="0"/>
            <w:noProof/>
            <w:webHidden/>
          </w:rPr>
          <w:fldChar w:fldCharType="begin"/>
        </w:r>
        <w:r w:rsidR="00A31959" w:rsidRPr="00A31959">
          <w:rPr>
            <w:b w:val="0"/>
            <w:noProof/>
            <w:webHidden/>
          </w:rPr>
          <w:instrText xml:space="preserve"> PAGEREF _Toc170388978 \h </w:instrText>
        </w:r>
        <w:r w:rsidR="00A31959" w:rsidRPr="00A31959">
          <w:rPr>
            <w:b w:val="0"/>
            <w:noProof/>
            <w:webHidden/>
          </w:rPr>
        </w:r>
        <w:r w:rsidR="00A31959" w:rsidRPr="00A31959">
          <w:rPr>
            <w:b w:val="0"/>
            <w:noProof/>
            <w:webHidden/>
          </w:rPr>
          <w:fldChar w:fldCharType="separate"/>
        </w:r>
        <w:r w:rsidR="004B1B07">
          <w:rPr>
            <w:b w:val="0"/>
            <w:noProof/>
            <w:webHidden/>
          </w:rPr>
          <w:t>15</w:t>
        </w:r>
        <w:r w:rsidR="00A31959" w:rsidRPr="00A31959">
          <w:rPr>
            <w:b w:val="0"/>
            <w:noProof/>
            <w:webHidden/>
          </w:rPr>
          <w:fldChar w:fldCharType="end"/>
        </w:r>
      </w:hyperlink>
    </w:p>
    <w:p w14:paraId="6EBEA173" w14:textId="695A7823" w:rsidR="00A31959" w:rsidRPr="00A31959" w:rsidRDefault="00D67325" w:rsidP="00A31959">
      <w:pPr>
        <w:pStyle w:val="TOC1"/>
        <w:spacing w:after="60"/>
        <w:rPr>
          <w:rFonts w:asciiTheme="minorHAnsi" w:eastAsiaTheme="minorEastAsia" w:hAnsiTheme="minorHAnsi" w:cstheme="minorBidi"/>
          <w:b w:val="0"/>
          <w:noProof/>
          <w:kern w:val="2"/>
          <w:lang w:eastAsia="en-NZ"/>
          <w14:ligatures w14:val="standardContextual"/>
        </w:rPr>
      </w:pPr>
      <w:hyperlink w:anchor="_Toc170388979" w:history="1">
        <w:r w:rsidR="00A31959" w:rsidRPr="00A31959">
          <w:rPr>
            <w:rStyle w:val="Hyperlink"/>
            <w:b w:val="0"/>
            <w:noProof/>
          </w:rPr>
          <w:t>Conclusion</w:t>
        </w:r>
        <w:r w:rsidR="00A31959" w:rsidRPr="00A31959">
          <w:rPr>
            <w:b w:val="0"/>
            <w:noProof/>
            <w:webHidden/>
          </w:rPr>
          <w:tab/>
        </w:r>
        <w:r w:rsidR="00A31959" w:rsidRPr="00A31959">
          <w:rPr>
            <w:b w:val="0"/>
            <w:noProof/>
            <w:webHidden/>
          </w:rPr>
          <w:fldChar w:fldCharType="begin"/>
        </w:r>
        <w:r w:rsidR="00A31959" w:rsidRPr="00A31959">
          <w:rPr>
            <w:b w:val="0"/>
            <w:noProof/>
            <w:webHidden/>
          </w:rPr>
          <w:instrText xml:space="preserve"> PAGEREF _Toc170388979 \h </w:instrText>
        </w:r>
        <w:r w:rsidR="00A31959" w:rsidRPr="00A31959">
          <w:rPr>
            <w:b w:val="0"/>
            <w:noProof/>
            <w:webHidden/>
          </w:rPr>
        </w:r>
        <w:r w:rsidR="00A31959" w:rsidRPr="00A31959">
          <w:rPr>
            <w:b w:val="0"/>
            <w:noProof/>
            <w:webHidden/>
          </w:rPr>
          <w:fldChar w:fldCharType="separate"/>
        </w:r>
        <w:r w:rsidR="004B1B07">
          <w:rPr>
            <w:b w:val="0"/>
            <w:noProof/>
            <w:webHidden/>
          </w:rPr>
          <w:t>15</w:t>
        </w:r>
        <w:r w:rsidR="00A31959" w:rsidRPr="00A31959">
          <w:rPr>
            <w:b w:val="0"/>
            <w:noProof/>
            <w:webHidden/>
          </w:rPr>
          <w:fldChar w:fldCharType="end"/>
        </w:r>
      </w:hyperlink>
    </w:p>
    <w:p w14:paraId="2244AF0E" w14:textId="4CAD8553" w:rsidR="00A31959" w:rsidRPr="00A31959" w:rsidRDefault="00D67325" w:rsidP="00A31959">
      <w:pPr>
        <w:pStyle w:val="TOC1"/>
        <w:spacing w:after="60"/>
        <w:rPr>
          <w:rFonts w:asciiTheme="minorHAnsi" w:eastAsiaTheme="minorEastAsia" w:hAnsiTheme="minorHAnsi" w:cstheme="minorBidi"/>
          <w:b w:val="0"/>
          <w:noProof/>
          <w:kern w:val="2"/>
          <w:lang w:eastAsia="en-NZ"/>
          <w14:ligatures w14:val="standardContextual"/>
        </w:rPr>
      </w:pPr>
      <w:hyperlink w:anchor="_Toc170388980" w:history="1">
        <w:r w:rsidR="00A31959" w:rsidRPr="00A31959">
          <w:rPr>
            <w:rStyle w:val="Hyperlink"/>
            <w:b w:val="0"/>
            <w:noProof/>
          </w:rPr>
          <w:t>References</w:t>
        </w:r>
        <w:r w:rsidR="00A31959" w:rsidRPr="00A31959">
          <w:rPr>
            <w:b w:val="0"/>
            <w:noProof/>
            <w:webHidden/>
          </w:rPr>
          <w:tab/>
        </w:r>
        <w:r w:rsidR="00A31959" w:rsidRPr="00A31959">
          <w:rPr>
            <w:b w:val="0"/>
            <w:noProof/>
            <w:webHidden/>
          </w:rPr>
          <w:fldChar w:fldCharType="begin"/>
        </w:r>
        <w:r w:rsidR="00A31959" w:rsidRPr="00A31959">
          <w:rPr>
            <w:b w:val="0"/>
            <w:noProof/>
            <w:webHidden/>
          </w:rPr>
          <w:instrText xml:space="preserve"> PAGEREF _Toc170388980 \h </w:instrText>
        </w:r>
        <w:r w:rsidR="00A31959" w:rsidRPr="00A31959">
          <w:rPr>
            <w:b w:val="0"/>
            <w:noProof/>
            <w:webHidden/>
          </w:rPr>
        </w:r>
        <w:r w:rsidR="00A31959" w:rsidRPr="00A31959">
          <w:rPr>
            <w:b w:val="0"/>
            <w:noProof/>
            <w:webHidden/>
          </w:rPr>
          <w:fldChar w:fldCharType="separate"/>
        </w:r>
        <w:r w:rsidR="004B1B07">
          <w:rPr>
            <w:b w:val="0"/>
            <w:noProof/>
            <w:webHidden/>
          </w:rPr>
          <w:t>16</w:t>
        </w:r>
        <w:r w:rsidR="00A31959" w:rsidRPr="00A31959">
          <w:rPr>
            <w:b w:val="0"/>
            <w:noProof/>
            <w:webHidden/>
          </w:rPr>
          <w:fldChar w:fldCharType="end"/>
        </w:r>
      </w:hyperlink>
    </w:p>
    <w:p w14:paraId="3FFC681B" w14:textId="7509D96A" w:rsidR="00A31959" w:rsidRPr="00A31959" w:rsidRDefault="00D67325" w:rsidP="00A31959">
      <w:pPr>
        <w:pStyle w:val="TOC1"/>
        <w:spacing w:after="60"/>
        <w:rPr>
          <w:rFonts w:asciiTheme="minorHAnsi" w:eastAsiaTheme="minorEastAsia" w:hAnsiTheme="minorHAnsi" w:cstheme="minorBidi"/>
          <w:b w:val="0"/>
          <w:noProof/>
          <w:kern w:val="2"/>
          <w:lang w:eastAsia="en-NZ"/>
          <w14:ligatures w14:val="standardContextual"/>
        </w:rPr>
      </w:pPr>
      <w:hyperlink w:anchor="_Toc170388981" w:history="1">
        <w:r w:rsidR="00A31959" w:rsidRPr="00A31959">
          <w:rPr>
            <w:rStyle w:val="Hyperlink"/>
            <w:b w:val="0"/>
            <w:noProof/>
          </w:rPr>
          <w:t>Appendix 1: Clinical management report class</w:t>
        </w:r>
        <w:r w:rsidR="00A31959" w:rsidRPr="00A31959">
          <w:rPr>
            <w:b w:val="0"/>
            <w:noProof/>
            <w:webHidden/>
          </w:rPr>
          <w:tab/>
        </w:r>
        <w:r w:rsidR="00A31959" w:rsidRPr="00A31959">
          <w:rPr>
            <w:b w:val="0"/>
            <w:noProof/>
            <w:webHidden/>
          </w:rPr>
          <w:fldChar w:fldCharType="begin"/>
        </w:r>
        <w:r w:rsidR="00A31959" w:rsidRPr="00A31959">
          <w:rPr>
            <w:b w:val="0"/>
            <w:noProof/>
            <w:webHidden/>
          </w:rPr>
          <w:instrText xml:space="preserve"> PAGEREF _Toc170388981 \h </w:instrText>
        </w:r>
        <w:r w:rsidR="00A31959" w:rsidRPr="00A31959">
          <w:rPr>
            <w:b w:val="0"/>
            <w:noProof/>
            <w:webHidden/>
          </w:rPr>
        </w:r>
        <w:r w:rsidR="00A31959" w:rsidRPr="00A31959">
          <w:rPr>
            <w:b w:val="0"/>
            <w:noProof/>
            <w:webHidden/>
          </w:rPr>
          <w:fldChar w:fldCharType="separate"/>
        </w:r>
        <w:r w:rsidR="004B1B07">
          <w:rPr>
            <w:b w:val="0"/>
            <w:noProof/>
            <w:webHidden/>
          </w:rPr>
          <w:t>18</w:t>
        </w:r>
        <w:r w:rsidR="00A31959" w:rsidRPr="00A31959">
          <w:rPr>
            <w:b w:val="0"/>
            <w:noProof/>
            <w:webHidden/>
          </w:rPr>
          <w:fldChar w:fldCharType="end"/>
        </w:r>
      </w:hyperlink>
    </w:p>
    <w:p w14:paraId="51329A3E" w14:textId="7EDFEDAA" w:rsidR="00A31959" w:rsidRPr="00A31959" w:rsidRDefault="00D67325">
      <w:pPr>
        <w:pStyle w:val="TOC1"/>
        <w:rPr>
          <w:rFonts w:asciiTheme="minorHAnsi" w:eastAsiaTheme="minorEastAsia" w:hAnsiTheme="minorHAnsi" w:cstheme="minorBidi"/>
          <w:b w:val="0"/>
          <w:noProof/>
          <w:kern w:val="2"/>
          <w:lang w:eastAsia="en-NZ"/>
          <w14:ligatures w14:val="standardContextual"/>
        </w:rPr>
      </w:pPr>
      <w:hyperlink w:anchor="_Toc170388982" w:history="1">
        <w:r w:rsidR="00A31959" w:rsidRPr="00A31959">
          <w:rPr>
            <w:rStyle w:val="Hyperlink"/>
            <w:b w:val="0"/>
            <w:noProof/>
          </w:rPr>
          <w:t>Appendix 2: Recommendations</w:t>
        </w:r>
        <w:r w:rsidR="00A31959" w:rsidRPr="00A31959">
          <w:rPr>
            <w:b w:val="0"/>
            <w:noProof/>
            <w:webHidden/>
          </w:rPr>
          <w:tab/>
        </w:r>
        <w:r w:rsidR="00A31959" w:rsidRPr="00A31959">
          <w:rPr>
            <w:b w:val="0"/>
            <w:noProof/>
            <w:webHidden/>
          </w:rPr>
          <w:fldChar w:fldCharType="begin"/>
        </w:r>
        <w:r w:rsidR="00A31959" w:rsidRPr="00A31959">
          <w:rPr>
            <w:b w:val="0"/>
            <w:noProof/>
            <w:webHidden/>
          </w:rPr>
          <w:instrText xml:space="preserve"> PAGEREF _Toc170388982 \h </w:instrText>
        </w:r>
        <w:r w:rsidR="00A31959" w:rsidRPr="00A31959">
          <w:rPr>
            <w:b w:val="0"/>
            <w:noProof/>
            <w:webHidden/>
          </w:rPr>
        </w:r>
        <w:r w:rsidR="00A31959" w:rsidRPr="00A31959">
          <w:rPr>
            <w:b w:val="0"/>
            <w:noProof/>
            <w:webHidden/>
          </w:rPr>
          <w:fldChar w:fldCharType="separate"/>
        </w:r>
        <w:r w:rsidR="004B1B07">
          <w:rPr>
            <w:b w:val="0"/>
            <w:noProof/>
            <w:webHidden/>
          </w:rPr>
          <w:t>19</w:t>
        </w:r>
        <w:r w:rsidR="00A31959" w:rsidRPr="00A31959">
          <w:rPr>
            <w:b w:val="0"/>
            <w:noProof/>
            <w:webHidden/>
          </w:rPr>
          <w:fldChar w:fldCharType="end"/>
        </w:r>
      </w:hyperlink>
    </w:p>
    <w:p w14:paraId="1BC5C3D9" w14:textId="5ED43371" w:rsidR="00640D42" w:rsidRPr="00D726E7" w:rsidRDefault="00A31959" w:rsidP="00CC4F8D">
      <w:pPr>
        <w:pStyle w:val="TeThHauorahead2"/>
        <w:spacing w:before="280"/>
      </w:pPr>
      <w:r w:rsidRPr="00A31959">
        <w:rPr>
          <w:b w:val="0"/>
          <w:bCs/>
        </w:rPr>
        <w:fldChar w:fldCharType="end"/>
      </w:r>
      <w:bookmarkStart w:id="4" w:name="_Toc170388974"/>
      <w:r w:rsidR="00640D42" w:rsidRPr="00D726E7">
        <w:t>Introduction</w:t>
      </w:r>
      <w:bookmarkEnd w:id="2"/>
      <w:bookmarkEnd w:id="3"/>
      <w:bookmarkEnd w:id="4"/>
    </w:p>
    <w:p w14:paraId="0CF71F32" w14:textId="77777777" w:rsidR="00640D42" w:rsidRDefault="00640D42" w:rsidP="004B0586">
      <w:pPr>
        <w:pStyle w:val="TeThHauorabodytext"/>
      </w:pPr>
      <w:r w:rsidRPr="008D3A96">
        <w:t>T</w:t>
      </w:r>
      <w:r>
        <w:t xml:space="preserve">e </w:t>
      </w:r>
      <w:proofErr w:type="spellStart"/>
      <w:r>
        <w:t>Tāhū</w:t>
      </w:r>
      <w:proofErr w:type="spellEnd"/>
      <w:r>
        <w:t xml:space="preserve"> Hauora</w:t>
      </w:r>
      <w:r w:rsidRPr="008D3A96">
        <w:t xml:space="preserve"> Health Quality &amp; Safety Commission (</w:t>
      </w:r>
      <w:r>
        <w:t xml:space="preserve">Te </w:t>
      </w:r>
      <w:proofErr w:type="spellStart"/>
      <w:r>
        <w:t>Tāhū</w:t>
      </w:r>
      <w:proofErr w:type="spellEnd"/>
      <w:r>
        <w:t xml:space="preserve"> Hauora</w:t>
      </w:r>
      <w:r w:rsidRPr="008D3A96">
        <w:t xml:space="preserve">) </w:t>
      </w:r>
      <w:r>
        <w:t>collects, analyses and reports on events of harm that meet criteria based on Severity Assessment Code (SAC) 1 and 2 events and those on the Always Report and Review list.</w:t>
      </w:r>
    </w:p>
    <w:p w14:paraId="7F747FF3" w14:textId="5FE9D415" w:rsidR="00640D42" w:rsidRPr="008D3A96" w:rsidRDefault="00640D42" w:rsidP="004B0586">
      <w:pPr>
        <w:pStyle w:val="TeThHauorabodytext"/>
      </w:pPr>
      <w:r>
        <w:t xml:space="preserve">This report is an analysis of maternity-specific data from a 5-year period (1 </w:t>
      </w:r>
      <w:r w:rsidRPr="00D06730">
        <w:t>July 2018–</w:t>
      </w:r>
      <w:r>
        <w:t>30 June</w:t>
      </w:r>
      <w:r w:rsidRPr="00D06730">
        <w:t xml:space="preserve"> 2023</w:t>
      </w:r>
      <w:r>
        <w:t xml:space="preserve">). Events in this timeframe were managed and reviewed by health care providers using the National Adverse Events Policy 2017 (the 2017 policy), which came into effect on </w:t>
      </w:r>
      <w:r w:rsidR="00BE6134">
        <w:br/>
      </w:r>
      <w:r>
        <w:t xml:space="preserve">1 July 2017 and was replaced on 1 July 2023 by the Healing, </w:t>
      </w:r>
      <w:proofErr w:type="gramStart"/>
      <w:r>
        <w:t>learning</w:t>
      </w:r>
      <w:proofErr w:type="gramEnd"/>
      <w:r>
        <w:t xml:space="preserve"> and reporting from harm national adverse events policy 2023 (the 2023 policy).</w:t>
      </w:r>
    </w:p>
    <w:p w14:paraId="335D95B9" w14:textId="77777777" w:rsidR="00640D42" w:rsidRDefault="00640D42" w:rsidP="00CC4F8D">
      <w:pPr>
        <w:pStyle w:val="TeThHauorahead2"/>
        <w:spacing w:before="280"/>
      </w:pPr>
      <w:bookmarkStart w:id="5" w:name="_Toc155958929"/>
      <w:bookmarkStart w:id="6" w:name="_Toc161843060"/>
      <w:bookmarkStart w:id="7" w:name="_Toc170388975"/>
      <w:r>
        <w:t>R</w:t>
      </w:r>
      <w:r w:rsidRPr="00040BCC">
        <w:t>eporting adverse events in Aotearoa New Zealand</w:t>
      </w:r>
      <w:bookmarkEnd w:id="5"/>
      <w:bookmarkEnd w:id="6"/>
      <w:bookmarkEnd w:id="7"/>
    </w:p>
    <w:p w14:paraId="2845AB35" w14:textId="4D628FD6" w:rsidR="00640D42" w:rsidRPr="008D3A96" w:rsidRDefault="00640D42" w:rsidP="004B0586">
      <w:pPr>
        <w:pStyle w:val="TeThHauorabodytext"/>
      </w:pPr>
      <w:r>
        <w:t xml:space="preserve">Providers initially notify Te </w:t>
      </w:r>
      <w:proofErr w:type="spellStart"/>
      <w:r>
        <w:t>Tāhū</w:t>
      </w:r>
      <w:proofErr w:type="spellEnd"/>
      <w:r>
        <w:t xml:space="preserve"> Hauora of a reportable event by submitting an adverse event brief (AEB) part A notification. The event is then reviewed locally, and the provider submits an AEB part B, which contains information about the findings and recommendations from that review process. Some providers voluntarily submit the full, anonymised review report, which provides additional context to the AEB part B; however, the 2023 policy requires all providers to now submit the full report with the part B notification.</w:t>
      </w:r>
    </w:p>
    <w:p w14:paraId="28C8E425" w14:textId="0F0B82BE" w:rsidR="00D40CDE" w:rsidRPr="00B441A8" w:rsidRDefault="00640D42" w:rsidP="004B0586">
      <w:pPr>
        <w:pStyle w:val="TeThHauorabodytext"/>
      </w:pPr>
      <w:r>
        <w:t>Providers categorise the adverse event according to the 14 World Health Organization (WHO) codes (</w:t>
      </w:r>
      <w:r w:rsidRPr="37731E50">
        <w:rPr>
          <w:rFonts w:eastAsia="Times New Roman"/>
          <w:color w:val="333333"/>
          <w:lang w:eastAsia="en-NZ"/>
        </w:rPr>
        <w:t xml:space="preserve">WHO Conceptual Framework for the International Classification for Patient Safety; </w:t>
      </w:r>
      <w:hyperlink r:id="rId14">
        <w:r w:rsidR="0B5BF6F2" w:rsidRPr="37731E50">
          <w:rPr>
            <w:rStyle w:val="Hyperlink"/>
          </w:rPr>
          <w:t>apps.who.int/iris/handle/10665/70882</w:t>
        </w:r>
      </w:hyperlink>
      <w:r w:rsidR="0B5BF6F2">
        <w:t>).</w:t>
      </w:r>
      <w:r>
        <w:t xml:space="preserve"> Te </w:t>
      </w:r>
      <w:proofErr w:type="spellStart"/>
      <w:r>
        <w:t>Tāhū</w:t>
      </w:r>
      <w:proofErr w:type="spellEnd"/>
      <w:r>
        <w:t xml:space="preserve"> Hauora then applies a sub-classification to WHO codes 1, 2 and 14 using one of eight clinical management report classes</w:t>
      </w:r>
      <w:r w:rsidR="008F28B3">
        <w:t xml:space="preserve"> (</w:t>
      </w:r>
      <w:r w:rsidR="007256E5">
        <w:t>A</w:t>
      </w:r>
      <w:r w:rsidR="008F28B3">
        <w:t>ppendix 1)</w:t>
      </w:r>
      <w:r w:rsidR="00F46296">
        <w:t xml:space="preserve">. </w:t>
      </w:r>
      <w:r>
        <w:t xml:space="preserve">The numbers of adverse events by category are then released on the Te </w:t>
      </w:r>
      <w:proofErr w:type="spellStart"/>
      <w:r>
        <w:t>Tāhū</w:t>
      </w:r>
      <w:proofErr w:type="spellEnd"/>
      <w:r>
        <w:t xml:space="preserve"> Hauora public-facing dashboard.</w:t>
      </w:r>
      <w:r w:rsidR="00CC4F8D">
        <w:t xml:space="preserve"> </w:t>
      </w:r>
      <w:hyperlink r:id="rId15" w:history="1">
        <w:r w:rsidR="00CC4F8D" w:rsidRPr="00151312">
          <w:rPr>
            <w:rStyle w:val="Hyperlink"/>
          </w:rPr>
          <w:t>https://reports.hqsc.govt.nz/AdverseEventsQuarterly/</w:t>
        </w:r>
      </w:hyperlink>
    </w:p>
    <w:p w14:paraId="26FAF733" w14:textId="77777777" w:rsidR="00640D42" w:rsidRDefault="00640D42" w:rsidP="00D27D18">
      <w:pPr>
        <w:pStyle w:val="TeThHauorahead2"/>
      </w:pPr>
      <w:bookmarkStart w:id="8" w:name="_Toc155958930"/>
      <w:bookmarkStart w:id="9" w:name="_Toc161843061"/>
      <w:bookmarkStart w:id="10" w:name="_Toc170388976"/>
      <w:r>
        <w:t>T</w:t>
      </w:r>
      <w:r w:rsidRPr="00040BCC">
        <w:t>hematic</w:t>
      </w:r>
      <w:r>
        <w:t xml:space="preserve"> analysis</w:t>
      </w:r>
      <w:bookmarkEnd w:id="8"/>
      <w:bookmarkEnd w:id="9"/>
      <w:bookmarkEnd w:id="10"/>
    </w:p>
    <w:p w14:paraId="04EA27E9" w14:textId="77777777" w:rsidR="00640D42" w:rsidRDefault="00640D42" w:rsidP="00D27D18">
      <w:pPr>
        <w:pStyle w:val="TeThHauorahead3"/>
      </w:pPr>
      <w:bookmarkStart w:id="11" w:name="_Toc155958931"/>
      <w:bookmarkStart w:id="12" w:name="_Toc160178691"/>
      <w:bookmarkStart w:id="13" w:name="_Toc161843062"/>
      <w:r w:rsidRPr="00607C0F">
        <w:t xml:space="preserve">Analysis </w:t>
      </w:r>
      <w:r>
        <w:t>m</w:t>
      </w:r>
      <w:r w:rsidRPr="00607C0F">
        <w:t xml:space="preserve">ethod </w:t>
      </w:r>
      <w:r>
        <w:t>–</w:t>
      </w:r>
      <w:r w:rsidRPr="00607C0F">
        <w:t xml:space="preserve"> </w:t>
      </w:r>
      <w:r>
        <w:t>a</w:t>
      </w:r>
      <w:r w:rsidRPr="00607C0F">
        <w:t xml:space="preserve">dverse </w:t>
      </w:r>
      <w:r>
        <w:t>e</w:t>
      </w:r>
      <w:r w:rsidRPr="00607C0F">
        <w:t>vents</w:t>
      </w:r>
      <w:bookmarkEnd w:id="11"/>
      <w:bookmarkEnd w:id="12"/>
      <w:bookmarkEnd w:id="13"/>
    </w:p>
    <w:p w14:paraId="2609DAF5" w14:textId="2E7AD913" w:rsidR="00640D42" w:rsidRPr="002A1DC0" w:rsidRDefault="00640D42" w:rsidP="004B0586">
      <w:r>
        <w:t>In t</w:t>
      </w:r>
      <w:r w:rsidRPr="002A1DC0">
        <w:t>his report</w:t>
      </w:r>
      <w:r>
        <w:t>, we</w:t>
      </w:r>
      <w:r w:rsidRPr="002A1DC0">
        <w:t xml:space="preserve"> focus on building a deeper understanding of maternal adverse events. </w:t>
      </w:r>
      <w:r>
        <w:t xml:space="preserve">We </w:t>
      </w:r>
      <w:r w:rsidRPr="002A1DC0">
        <w:t xml:space="preserve">evaluate the qualitative information from the </w:t>
      </w:r>
      <w:r w:rsidR="00CC4F8D">
        <w:t xml:space="preserve">AEB </w:t>
      </w:r>
      <w:r w:rsidRPr="002A1DC0">
        <w:t xml:space="preserve">part B notifications and the available full reports to identify overarching themes across multiple adverse events during the </w:t>
      </w:r>
      <w:r>
        <w:t>5</w:t>
      </w:r>
      <w:r w:rsidRPr="002A1DC0">
        <w:t xml:space="preserve">-year period. </w:t>
      </w:r>
    </w:p>
    <w:p w14:paraId="63219D27" w14:textId="77777777" w:rsidR="00640D42" w:rsidRPr="002A1DC0" w:rsidRDefault="00640D42" w:rsidP="004B0586">
      <w:r>
        <w:t>We used t</w:t>
      </w:r>
      <w:r w:rsidRPr="002A1DC0">
        <w:t xml:space="preserve">he Systems Engineering Initiative for Patient Safety 2.0 (SEIPS) tool to help </w:t>
      </w:r>
      <w:r>
        <w:t xml:space="preserve">us </w:t>
      </w:r>
      <w:r w:rsidRPr="002A1DC0">
        <w:t>understand and learn from the information. SEIPS is a validated tool based on Human Factors that examines the work system and how this shapes everyday work. The SEIPS tool has six dimensions</w:t>
      </w:r>
      <w:r>
        <w:t>,</w:t>
      </w:r>
      <w:r w:rsidRPr="002A1DC0">
        <w:t xml:space="preserve"> which we used to categorise the findings from the AEB part B forms (Holden et al 2013).</w:t>
      </w:r>
    </w:p>
    <w:p w14:paraId="1B96CB32" w14:textId="77777777" w:rsidR="00640D42" w:rsidRPr="00737E04" w:rsidRDefault="00640D42" w:rsidP="00737E04">
      <w:pPr>
        <w:pStyle w:val="TeThhauoraheading4"/>
      </w:pPr>
      <w:bookmarkStart w:id="14" w:name="_Toc155958932"/>
      <w:bookmarkStart w:id="15" w:name="_Toc160178692"/>
      <w:r w:rsidRPr="00737E04">
        <w:t>The six dimensions of SEIPS</w:t>
      </w:r>
      <w:bookmarkEnd w:id="14"/>
      <w:bookmarkEnd w:id="15"/>
    </w:p>
    <w:p w14:paraId="02FDF178" w14:textId="77777777" w:rsidR="00640D42" w:rsidRPr="00DF28D2" w:rsidRDefault="00640D42" w:rsidP="004B0586">
      <w:pPr>
        <w:pStyle w:val="ListParagraph"/>
        <w:numPr>
          <w:ilvl w:val="0"/>
          <w:numId w:val="40"/>
        </w:numPr>
        <w:spacing w:before="60" w:line="276" w:lineRule="auto"/>
        <w:contextualSpacing w:val="0"/>
        <w:rPr>
          <w:rFonts w:cs="Arial"/>
        </w:rPr>
      </w:pPr>
      <w:r w:rsidRPr="00DF28D2">
        <w:rPr>
          <w:rFonts w:cs="Arial"/>
        </w:rPr>
        <w:t>Person factors</w:t>
      </w:r>
    </w:p>
    <w:p w14:paraId="632533D3" w14:textId="77777777" w:rsidR="00640D42" w:rsidRPr="00DF28D2" w:rsidRDefault="00640D42" w:rsidP="004B0586">
      <w:pPr>
        <w:pStyle w:val="ListParagraph"/>
        <w:numPr>
          <w:ilvl w:val="0"/>
          <w:numId w:val="40"/>
        </w:numPr>
        <w:spacing w:before="60" w:line="276" w:lineRule="auto"/>
        <w:contextualSpacing w:val="0"/>
        <w:rPr>
          <w:rFonts w:cs="Arial"/>
        </w:rPr>
      </w:pPr>
      <w:r w:rsidRPr="00DF28D2">
        <w:rPr>
          <w:rFonts w:cs="Arial"/>
        </w:rPr>
        <w:t>Technology and tools</w:t>
      </w:r>
    </w:p>
    <w:p w14:paraId="25421E71" w14:textId="64F5F345" w:rsidR="00640D42" w:rsidRDefault="00640D42" w:rsidP="004B0586">
      <w:pPr>
        <w:pStyle w:val="ListParagraph"/>
        <w:numPr>
          <w:ilvl w:val="0"/>
          <w:numId w:val="40"/>
        </w:numPr>
        <w:spacing w:before="60" w:line="276" w:lineRule="auto"/>
        <w:contextualSpacing w:val="0"/>
      </w:pPr>
      <w:r>
        <w:t>Task factors (</w:t>
      </w:r>
      <w:proofErr w:type="spellStart"/>
      <w:r>
        <w:t>eg</w:t>
      </w:r>
      <w:proofErr w:type="spellEnd"/>
      <w:r>
        <w:t>, distractions or interruptions)</w:t>
      </w:r>
    </w:p>
    <w:p w14:paraId="74969809" w14:textId="77777777" w:rsidR="00640D42" w:rsidRDefault="00640D42" w:rsidP="004B0586">
      <w:pPr>
        <w:pStyle w:val="ListParagraph"/>
        <w:numPr>
          <w:ilvl w:val="0"/>
          <w:numId w:val="40"/>
        </w:numPr>
        <w:spacing w:before="60" w:line="276" w:lineRule="auto"/>
        <w:contextualSpacing w:val="0"/>
      </w:pPr>
      <w:r>
        <w:t xml:space="preserve">Work </w:t>
      </w:r>
      <w:proofErr w:type="gramStart"/>
      <w:r>
        <w:t>environment</w:t>
      </w:r>
      <w:proofErr w:type="gramEnd"/>
    </w:p>
    <w:p w14:paraId="505379F2" w14:textId="77777777" w:rsidR="00640D42" w:rsidRDefault="00640D42" w:rsidP="004B0586">
      <w:pPr>
        <w:pStyle w:val="ListParagraph"/>
        <w:numPr>
          <w:ilvl w:val="0"/>
          <w:numId w:val="40"/>
        </w:numPr>
        <w:spacing w:before="60" w:line="276" w:lineRule="auto"/>
        <w:contextualSpacing w:val="0"/>
      </w:pPr>
      <w:r>
        <w:t>Organisation (processes/policies, etc)</w:t>
      </w:r>
    </w:p>
    <w:p w14:paraId="2D7A0950" w14:textId="77777777" w:rsidR="00640D42" w:rsidRDefault="00640D42" w:rsidP="004B0586">
      <w:pPr>
        <w:pStyle w:val="ListParagraph"/>
        <w:numPr>
          <w:ilvl w:val="0"/>
          <w:numId w:val="40"/>
        </w:numPr>
        <w:spacing w:before="60" w:after="210" w:line="276" w:lineRule="auto"/>
        <w:contextualSpacing w:val="0"/>
      </w:pPr>
      <w:r>
        <w:t xml:space="preserve">External influencers (regulatory/national context) </w:t>
      </w:r>
    </w:p>
    <w:p w14:paraId="3DC41815" w14:textId="77777777" w:rsidR="00640D42" w:rsidRDefault="00640D42" w:rsidP="004B0586">
      <w:r>
        <w:t xml:space="preserve">The SEIPS tool allowed us to evaluate whether potential interactions within the system were recognised. These might include issues such as competing goals, adaptations, </w:t>
      </w:r>
      <w:proofErr w:type="gramStart"/>
      <w:r>
        <w:t>trade-offs</w:t>
      </w:r>
      <w:proofErr w:type="gramEnd"/>
      <w:r>
        <w:t xml:space="preserve"> and the way in which the system shapes individual actions </w:t>
      </w:r>
      <w:r>
        <w:rPr>
          <w:noProof/>
        </w:rPr>
        <w:t>(Holden and Carayon 2021)</w:t>
      </w:r>
      <w:r>
        <w:t xml:space="preserve">. We also examined the recommendations for improvement arising from the local reviews using a similar process. </w:t>
      </w:r>
    </w:p>
    <w:p w14:paraId="26DCA530" w14:textId="77777777" w:rsidR="00640D42" w:rsidRPr="009D616F" w:rsidRDefault="00640D42" w:rsidP="00B018D6">
      <w:pPr>
        <w:pStyle w:val="TeThHauorahead3"/>
      </w:pPr>
      <w:bookmarkStart w:id="16" w:name="_Toc155958933"/>
      <w:bookmarkStart w:id="17" w:name="_Toc160178693"/>
      <w:bookmarkStart w:id="18" w:name="_Toc161843063"/>
      <w:r>
        <w:t>Data</w:t>
      </w:r>
      <w:bookmarkEnd w:id="16"/>
      <w:bookmarkEnd w:id="17"/>
      <w:bookmarkEnd w:id="18"/>
    </w:p>
    <w:p w14:paraId="79B9E7D1" w14:textId="77777777" w:rsidR="00640D42" w:rsidRDefault="00640D42" w:rsidP="004B0586">
      <w:r w:rsidRPr="008D3A96">
        <w:t>Between 1 July 201</w:t>
      </w:r>
      <w:r>
        <w:t>8</w:t>
      </w:r>
      <w:r w:rsidRPr="008D3A96">
        <w:t xml:space="preserve"> and 30 J</w:t>
      </w:r>
      <w:r>
        <w:t>une</w:t>
      </w:r>
      <w:r w:rsidRPr="008D3A96">
        <w:t xml:space="preserve"> 202</w:t>
      </w:r>
      <w:r>
        <w:t>3</w:t>
      </w:r>
      <w:r w:rsidRPr="008D3A96">
        <w:t xml:space="preserve">, a total </w:t>
      </w:r>
      <w:r>
        <w:t>of 455 maternity events involving pregnant woman and birthing people</w:t>
      </w:r>
      <w:r>
        <w:rPr>
          <w:rStyle w:val="FootnoteReference"/>
        </w:rPr>
        <w:footnoteReference w:id="2"/>
      </w:r>
      <w:r>
        <w:t xml:space="preserve"> were reported. An AEB part B was received for 309 of the 455 total events. The 2017 policy</w:t>
      </w:r>
      <w:r w:rsidDel="004A08CB">
        <w:t xml:space="preserve"> </w:t>
      </w:r>
      <w:r>
        <w:t>allowed 70 working days after the event was identified to submit an AEB part B, so events from quarter four of 2022/23 were not complete at the time of data extraction.</w:t>
      </w:r>
    </w:p>
    <w:p w14:paraId="6BFF44C5" w14:textId="77777777" w:rsidR="00640D42" w:rsidRDefault="00640D42" w:rsidP="004B0586">
      <w:r>
        <w:t xml:space="preserve">Of the 309 AEB part Bs received, a random sample of 160 events were reviewed. Those included those where full reports were available to develop the themes across this report. Most of these 160 events contain more than one finding and a series of recommendations. </w:t>
      </w:r>
    </w:p>
    <w:p w14:paraId="3AFE1F8B" w14:textId="77777777" w:rsidR="00640D42" w:rsidRDefault="00640D42" w:rsidP="004B0586">
      <w:r w:rsidRPr="008D3A96">
        <w:t xml:space="preserve">The </w:t>
      </w:r>
      <w:r>
        <w:t xml:space="preserve">maternity </w:t>
      </w:r>
      <w:r w:rsidRPr="008D3A96">
        <w:t xml:space="preserve">data was </w:t>
      </w:r>
      <w:r>
        <w:t>collated</w:t>
      </w:r>
      <w:r w:rsidRPr="008D3A96">
        <w:t xml:space="preserve"> </w:t>
      </w:r>
      <w:r>
        <w:t xml:space="preserve">by financial year </w:t>
      </w:r>
      <w:r w:rsidRPr="008D3A96">
        <w:t xml:space="preserve">starting from </w:t>
      </w:r>
      <w:r>
        <w:t xml:space="preserve">1 July </w:t>
      </w:r>
      <w:r w:rsidRPr="008D3A96">
        <w:t>201</w:t>
      </w:r>
      <w:r>
        <w:t xml:space="preserve">8, using the date the provider became aware of the event (provider internal notification date). </w:t>
      </w:r>
    </w:p>
    <w:p w14:paraId="07914B1B" w14:textId="77777777" w:rsidR="006B0DA2" w:rsidRDefault="006B0DA2">
      <w:pPr>
        <w:autoSpaceDE/>
        <w:autoSpaceDN/>
        <w:adjustRightInd/>
        <w:spacing w:after="0" w:line="240" w:lineRule="auto"/>
        <w:rPr>
          <w:b/>
        </w:rPr>
      </w:pPr>
      <w:r>
        <w:br w:type="page"/>
      </w:r>
    </w:p>
    <w:p w14:paraId="420CF994" w14:textId="2285F193" w:rsidR="00640D42" w:rsidRPr="0089348E" w:rsidRDefault="00640D42" w:rsidP="004B0586">
      <w:pPr>
        <w:pStyle w:val="TeThHauoratablefigurecaption"/>
      </w:pPr>
      <w:r w:rsidRPr="0089348E">
        <w:t xml:space="preserve">Table 1: Number </w:t>
      </w:r>
      <w:r>
        <w:t xml:space="preserve">(%) </w:t>
      </w:r>
      <w:r w:rsidRPr="0089348E">
        <w:t>of maternity adverse events reported 2018/19–2022/</w:t>
      </w:r>
      <w:proofErr w:type="gramStart"/>
      <w:r w:rsidRPr="0089348E">
        <w:t>23</w:t>
      </w:r>
      <w:proofErr w:type="gramEnd"/>
    </w:p>
    <w:tbl>
      <w:tblPr>
        <w:tblStyle w:val="TableGrid"/>
        <w:tblW w:w="0" w:type="auto"/>
        <w:jc w:val="center"/>
        <w:tblLook w:val="04A0" w:firstRow="1" w:lastRow="0" w:firstColumn="1" w:lastColumn="0" w:noHBand="0" w:noVBand="1"/>
      </w:tblPr>
      <w:tblGrid>
        <w:gridCol w:w="1530"/>
        <w:gridCol w:w="1503"/>
        <w:gridCol w:w="2047"/>
        <w:gridCol w:w="2047"/>
        <w:gridCol w:w="1867"/>
      </w:tblGrid>
      <w:tr w:rsidR="00640D42" w:rsidRPr="001835FA" w14:paraId="6FC50AA2" w14:textId="77777777" w:rsidTr="00B80975">
        <w:trPr>
          <w:jc w:val="center"/>
        </w:trPr>
        <w:tc>
          <w:tcPr>
            <w:tcW w:w="1530" w:type="dxa"/>
            <w:tcBorders>
              <w:left w:val="nil"/>
            </w:tcBorders>
            <w:shd w:val="clear" w:color="auto" w:fill="F2F2F2" w:themeFill="background1" w:themeFillShade="F2"/>
          </w:tcPr>
          <w:p w14:paraId="06CF73B1" w14:textId="77777777" w:rsidR="00640D42" w:rsidRPr="00A754DC" w:rsidRDefault="00640D42" w:rsidP="004B0586">
            <w:pPr>
              <w:pStyle w:val="TeThHauoratablecolumnhead"/>
              <w:framePr w:hSpace="0" w:wrap="auto" w:vAnchor="margin" w:hAnchor="text" w:yAlign="inline"/>
              <w:spacing w:line="276" w:lineRule="auto"/>
            </w:pPr>
            <w:r w:rsidRPr="00A754DC">
              <w:t>Financial year</w:t>
            </w:r>
          </w:p>
        </w:tc>
        <w:tc>
          <w:tcPr>
            <w:tcW w:w="1503" w:type="dxa"/>
            <w:shd w:val="clear" w:color="auto" w:fill="F2F2F2" w:themeFill="background1" w:themeFillShade="F2"/>
          </w:tcPr>
          <w:p w14:paraId="5F96075E" w14:textId="77777777" w:rsidR="00640D42" w:rsidRPr="00A754DC" w:rsidRDefault="00640D42" w:rsidP="004B0586">
            <w:pPr>
              <w:pStyle w:val="TeThHauoratablecolumnhead"/>
              <w:framePr w:hSpace="0" w:wrap="auto" w:vAnchor="margin" w:hAnchor="text" w:yAlign="inline"/>
              <w:spacing w:line="276" w:lineRule="auto"/>
            </w:pPr>
            <w:r w:rsidRPr="00A754DC">
              <w:t>Events reported via an AEB part</w:t>
            </w:r>
            <w:r>
              <w:t> </w:t>
            </w:r>
            <w:r w:rsidRPr="00A754DC">
              <w:t>A</w:t>
            </w:r>
          </w:p>
        </w:tc>
        <w:tc>
          <w:tcPr>
            <w:tcW w:w="2047" w:type="dxa"/>
            <w:shd w:val="clear" w:color="auto" w:fill="F2F2F2" w:themeFill="background1" w:themeFillShade="F2"/>
          </w:tcPr>
          <w:p w14:paraId="19A59896" w14:textId="77777777" w:rsidR="00640D42" w:rsidRPr="00A754DC" w:rsidRDefault="00640D42" w:rsidP="004B0586">
            <w:pPr>
              <w:pStyle w:val="TeThHauoratablecolumnhead"/>
              <w:framePr w:hSpace="0" w:wrap="auto" w:vAnchor="margin" w:hAnchor="text" w:yAlign="inline"/>
              <w:spacing w:line="276" w:lineRule="auto"/>
            </w:pPr>
            <w:r w:rsidRPr="00A754DC">
              <w:t>Events for which an AEB part B was received</w:t>
            </w:r>
          </w:p>
        </w:tc>
        <w:tc>
          <w:tcPr>
            <w:tcW w:w="2047" w:type="dxa"/>
            <w:shd w:val="clear" w:color="auto" w:fill="F2F2F2" w:themeFill="background1" w:themeFillShade="F2"/>
          </w:tcPr>
          <w:p w14:paraId="00DB7A81" w14:textId="77777777" w:rsidR="00640D42" w:rsidRPr="00A754DC" w:rsidRDefault="00640D42" w:rsidP="004B0586">
            <w:pPr>
              <w:pStyle w:val="TeThHauoratablecolumnhead"/>
              <w:framePr w:hSpace="0" w:wrap="auto" w:vAnchor="margin" w:hAnchor="text" w:yAlign="inline"/>
              <w:spacing w:line="276" w:lineRule="auto"/>
            </w:pPr>
            <w:r w:rsidRPr="00A754DC">
              <w:t>Events reporting severe neonatal encephalopathy</w:t>
            </w:r>
          </w:p>
        </w:tc>
        <w:tc>
          <w:tcPr>
            <w:tcW w:w="1867" w:type="dxa"/>
            <w:tcBorders>
              <w:right w:val="nil"/>
            </w:tcBorders>
            <w:shd w:val="clear" w:color="auto" w:fill="F2F2F2" w:themeFill="background1" w:themeFillShade="F2"/>
          </w:tcPr>
          <w:p w14:paraId="7EF74954" w14:textId="77777777" w:rsidR="00640D42" w:rsidRPr="00A754DC" w:rsidRDefault="00640D42" w:rsidP="004B0586">
            <w:pPr>
              <w:pStyle w:val="TeThHauoratablecolumnhead"/>
              <w:framePr w:hSpace="0" w:wrap="auto" w:vAnchor="margin" w:hAnchor="text" w:yAlign="inline"/>
              <w:spacing w:line="276" w:lineRule="auto"/>
            </w:pPr>
            <w:r w:rsidRPr="00A754DC">
              <w:t xml:space="preserve">Events resulting in stillbirth or </w:t>
            </w:r>
            <w:proofErr w:type="spellStart"/>
            <w:r w:rsidRPr="00A754DC">
              <w:t>fetal</w:t>
            </w:r>
            <w:proofErr w:type="spellEnd"/>
            <w:r w:rsidRPr="00A754DC">
              <w:t xml:space="preserve"> demise</w:t>
            </w:r>
          </w:p>
        </w:tc>
      </w:tr>
      <w:tr w:rsidR="00640D42" w14:paraId="048CC412" w14:textId="77777777" w:rsidTr="00B80975">
        <w:trPr>
          <w:jc w:val="center"/>
        </w:trPr>
        <w:tc>
          <w:tcPr>
            <w:tcW w:w="1530" w:type="dxa"/>
            <w:tcBorders>
              <w:left w:val="nil"/>
            </w:tcBorders>
          </w:tcPr>
          <w:p w14:paraId="7535DC9D" w14:textId="77777777" w:rsidR="00640D42" w:rsidRPr="00A27FCA" w:rsidRDefault="00640D42" w:rsidP="004B0586">
            <w:pPr>
              <w:pStyle w:val="TeThHauoratablecontent"/>
              <w:framePr w:hSpace="0" w:wrap="auto" w:vAnchor="margin" w:hAnchor="text" w:yAlign="inline"/>
              <w:spacing w:line="276" w:lineRule="auto"/>
            </w:pPr>
            <w:r w:rsidRPr="00A27FCA">
              <w:t>2018/19</w:t>
            </w:r>
          </w:p>
        </w:tc>
        <w:tc>
          <w:tcPr>
            <w:tcW w:w="1503" w:type="dxa"/>
          </w:tcPr>
          <w:p w14:paraId="2E5D654D" w14:textId="77777777" w:rsidR="00640D42" w:rsidRPr="00A27FCA" w:rsidRDefault="00640D42" w:rsidP="004B0586">
            <w:pPr>
              <w:pStyle w:val="TeThHauoratablecontent"/>
              <w:framePr w:hSpace="0" w:wrap="auto" w:vAnchor="margin" w:hAnchor="text" w:yAlign="inline"/>
              <w:spacing w:line="276" w:lineRule="auto"/>
            </w:pPr>
            <w:r w:rsidRPr="00A27FCA">
              <w:t>58</w:t>
            </w:r>
          </w:p>
        </w:tc>
        <w:tc>
          <w:tcPr>
            <w:tcW w:w="2047" w:type="dxa"/>
          </w:tcPr>
          <w:p w14:paraId="500414F6" w14:textId="77777777" w:rsidR="00640D42" w:rsidRPr="00A27FCA" w:rsidRDefault="00640D42" w:rsidP="004B0586">
            <w:pPr>
              <w:pStyle w:val="TeThHauoratablecontent"/>
              <w:framePr w:hSpace="0" w:wrap="auto" w:vAnchor="margin" w:hAnchor="text" w:yAlign="inline"/>
              <w:spacing w:line="276" w:lineRule="auto"/>
            </w:pPr>
            <w:r w:rsidRPr="00A27FCA">
              <w:t>48 (83)</w:t>
            </w:r>
          </w:p>
        </w:tc>
        <w:tc>
          <w:tcPr>
            <w:tcW w:w="2047" w:type="dxa"/>
          </w:tcPr>
          <w:p w14:paraId="47A500FA" w14:textId="77777777" w:rsidR="00640D42" w:rsidRPr="00A27FCA" w:rsidRDefault="00640D42" w:rsidP="004B0586">
            <w:pPr>
              <w:pStyle w:val="TeThHauoratablecontent"/>
              <w:framePr w:hSpace="0" w:wrap="auto" w:vAnchor="margin" w:hAnchor="text" w:yAlign="inline"/>
              <w:spacing w:line="276" w:lineRule="auto"/>
            </w:pPr>
            <w:r w:rsidRPr="00A27FCA">
              <w:t>5 (8.6)</w:t>
            </w:r>
          </w:p>
        </w:tc>
        <w:tc>
          <w:tcPr>
            <w:tcW w:w="1867" w:type="dxa"/>
            <w:tcBorders>
              <w:right w:val="nil"/>
            </w:tcBorders>
          </w:tcPr>
          <w:p w14:paraId="202347F8" w14:textId="77777777" w:rsidR="00640D42" w:rsidRPr="00A27FCA" w:rsidRDefault="00640D42" w:rsidP="004B0586">
            <w:pPr>
              <w:pStyle w:val="TeThHauoratablecontent"/>
              <w:framePr w:hSpace="0" w:wrap="auto" w:vAnchor="margin" w:hAnchor="text" w:yAlign="inline"/>
              <w:spacing w:line="276" w:lineRule="auto"/>
            </w:pPr>
            <w:r w:rsidRPr="00A27FCA">
              <w:t>8 (14)</w:t>
            </w:r>
          </w:p>
        </w:tc>
      </w:tr>
      <w:tr w:rsidR="00640D42" w14:paraId="3366013B" w14:textId="77777777" w:rsidTr="00B80975">
        <w:trPr>
          <w:jc w:val="center"/>
        </w:trPr>
        <w:tc>
          <w:tcPr>
            <w:tcW w:w="1530" w:type="dxa"/>
            <w:tcBorders>
              <w:left w:val="nil"/>
            </w:tcBorders>
          </w:tcPr>
          <w:p w14:paraId="274AAB40" w14:textId="77777777" w:rsidR="00640D42" w:rsidRPr="00A27FCA" w:rsidRDefault="00640D42" w:rsidP="004B0586">
            <w:pPr>
              <w:pStyle w:val="TeThHauoratablecontent"/>
              <w:framePr w:hSpace="0" w:wrap="auto" w:vAnchor="margin" w:hAnchor="text" w:yAlign="inline"/>
              <w:spacing w:line="276" w:lineRule="auto"/>
            </w:pPr>
            <w:r w:rsidRPr="00A27FCA">
              <w:t>2019/20</w:t>
            </w:r>
          </w:p>
        </w:tc>
        <w:tc>
          <w:tcPr>
            <w:tcW w:w="1503" w:type="dxa"/>
          </w:tcPr>
          <w:p w14:paraId="76987F61" w14:textId="77777777" w:rsidR="00640D42" w:rsidRPr="00A27FCA" w:rsidRDefault="00640D42" w:rsidP="004B0586">
            <w:pPr>
              <w:pStyle w:val="TeThHauoratablecontent"/>
              <w:framePr w:hSpace="0" w:wrap="auto" w:vAnchor="margin" w:hAnchor="text" w:yAlign="inline"/>
              <w:spacing w:line="276" w:lineRule="auto"/>
            </w:pPr>
            <w:r w:rsidRPr="00A27FCA">
              <w:t>88</w:t>
            </w:r>
          </w:p>
        </w:tc>
        <w:tc>
          <w:tcPr>
            <w:tcW w:w="2047" w:type="dxa"/>
          </w:tcPr>
          <w:p w14:paraId="535B90DE" w14:textId="77777777" w:rsidR="00640D42" w:rsidRPr="00A27FCA" w:rsidRDefault="00640D42" w:rsidP="004B0586">
            <w:pPr>
              <w:pStyle w:val="TeThHauoratablecontent"/>
              <w:framePr w:hSpace="0" w:wrap="auto" w:vAnchor="margin" w:hAnchor="text" w:yAlign="inline"/>
              <w:spacing w:line="276" w:lineRule="auto"/>
            </w:pPr>
            <w:r w:rsidRPr="00A27FCA">
              <w:t>68 (77)</w:t>
            </w:r>
          </w:p>
        </w:tc>
        <w:tc>
          <w:tcPr>
            <w:tcW w:w="2047" w:type="dxa"/>
          </w:tcPr>
          <w:p w14:paraId="7AD16C63" w14:textId="77777777" w:rsidR="00640D42" w:rsidRPr="00A27FCA" w:rsidRDefault="00640D42" w:rsidP="004B0586">
            <w:pPr>
              <w:pStyle w:val="TeThHauoratablecontent"/>
              <w:framePr w:hSpace="0" w:wrap="auto" w:vAnchor="margin" w:hAnchor="text" w:yAlign="inline"/>
              <w:spacing w:line="276" w:lineRule="auto"/>
            </w:pPr>
            <w:r w:rsidRPr="00A27FCA">
              <w:t>16 (18)</w:t>
            </w:r>
          </w:p>
        </w:tc>
        <w:tc>
          <w:tcPr>
            <w:tcW w:w="1867" w:type="dxa"/>
            <w:tcBorders>
              <w:right w:val="nil"/>
            </w:tcBorders>
          </w:tcPr>
          <w:p w14:paraId="4F3806B4" w14:textId="77777777" w:rsidR="00640D42" w:rsidRPr="00A27FCA" w:rsidRDefault="00640D42" w:rsidP="004B0586">
            <w:pPr>
              <w:pStyle w:val="TeThHauoratablecontent"/>
              <w:framePr w:hSpace="0" w:wrap="auto" w:vAnchor="margin" w:hAnchor="text" w:yAlign="inline"/>
              <w:spacing w:line="276" w:lineRule="auto"/>
            </w:pPr>
            <w:r w:rsidRPr="00A27FCA">
              <w:t>14 (16)</w:t>
            </w:r>
          </w:p>
        </w:tc>
      </w:tr>
      <w:tr w:rsidR="00640D42" w14:paraId="3CBC6749" w14:textId="77777777" w:rsidTr="00B80975">
        <w:trPr>
          <w:jc w:val="center"/>
        </w:trPr>
        <w:tc>
          <w:tcPr>
            <w:tcW w:w="1530" w:type="dxa"/>
            <w:tcBorders>
              <w:left w:val="nil"/>
            </w:tcBorders>
          </w:tcPr>
          <w:p w14:paraId="6B4A061A" w14:textId="77777777" w:rsidR="00640D42" w:rsidRPr="00A27FCA" w:rsidRDefault="00640D42" w:rsidP="004B0586">
            <w:pPr>
              <w:pStyle w:val="TeThHauoratablecontent"/>
              <w:framePr w:hSpace="0" w:wrap="auto" w:vAnchor="margin" w:hAnchor="text" w:yAlign="inline"/>
              <w:spacing w:line="276" w:lineRule="auto"/>
            </w:pPr>
            <w:r w:rsidRPr="00A27FCA">
              <w:t>2020/21</w:t>
            </w:r>
          </w:p>
        </w:tc>
        <w:tc>
          <w:tcPr>
            <w:tcW w:w="1503" w:type="dxa"/>
          </w:tcPr>
          <w:p w14:paraId="11D91334" w14:textId="77777777" w:rsidR="00640D42" w:rsidRPr="00A27FCA" w:rsidRDefault="00640D42" w:rsidP="004B0586">
            <w:pPr>
              <w:pStyle w:val="TeThHauoratablecontent"/>
              <w:framePr w:hSpace="0" w:wrap="auto" w:vAnchor="margin" w:hAnchor="text" w:yAlign="inline"/>
              <w:spacing w:line="276" w:lineRule="auto"/>
            </w:pPr>
            <w:r w:rsidRPr="00A27FCA">
              <w:t>114</w:t>
            </w:r>
          </w:p>
        </w:tc>
        <w:tc>
          <w:tcPr>
            <w:tcW w:w="2047" w:type="dxa"/>
          </w:tcPr>
          <w:p w14:paraId="4FC259D4" w14:textId="77777777" w:rsidR="00640D42" w:rsidRPr="00A27FCA" w:rsidRDefault="00640D42" w:rsidP="004B0586">
            <w:pPr>
              <w:pStyle w:val="TeThHauoratablecontent"/>
              <w:framePr w:hSpace="0" w:wrap="auto" w:vAnchor="margin" w:hAnchor="text" w:yAlign="inline"/>
              <w:spacing w:line="276" w:lineRule="auto"/>
            </w:pPr>
            <w:r w:rsidRPr="00A27FCA">
              <w:t>87 (76)</w:t>
            </w:r>
          </w:p>
        </w:tc>
        <w:tc>
          <w:tcPr>
            <w:tcW w:w="2047" w:type="dxa"/>
          </w:tcPr>
          <w:p w14:paraId="6DFCECBC" w14:textId="77777777" w:rsidR="00640D42" w:rsidRPr="00A27FCA" w:rsidRDefault="00640D42" w:rsidP="004B0586">
            <w:pPr>
              <w:pStyle w:val="TeThHauoratablecontent"/>
              <w:framePr w:hSpace="0" w:wrap="auto" w:vAnchor="margin" w:hAnchor="text" w:yAlign="inline"/>
              <w:spacing w:line="276" w:lineRule="auto"/>
            </w:pPr>
            <w:r w:rsidRPr="00A27FCA">
              <w:t>30 (26)</w:t>
            </w:r>
          </w:p>
        </w:tc>
        <w:tc>
          <w:tcPr>
            <w:tcW w:w="1867" w:type="dxa"/>
            <w:tcBorders>
              <w:right w:val="nil"/>
            </w:tcBorders>
          </w:tcPr>
          <w:p w14:paraId="1B12D685" w14:textId="77777777" w:rsidR="00640D42" w:rsidRPr="00A27FCA" w:rsidRDefault="00640D42" w:rsidP="004B0586">
            <w:pPr>
              <w:pStyle w:val="TeThHauoratablecontent"/>
              <w:framePr w:hSpace="0" w:wrap="auto" w:vAnchor="margin" w:hAnchor="text" w:yAlign="inline"/>
              <w:spacing w:line="276" w:lineRule="auto"/>
            </w:pPr>
            <w:r w:rsidRPr="00A27FCA">
              <w:t>3 (2.6)</w:t>
            </w:r>
          </w:p>
        </w:tc>
      </w:tr>
      <w:tr w:rsidR="00640D42" w14:paraId="44A24276" w14:textId="77777777" w:rsidTr="00B80975">
        <w:trPr>
          <w:jc w:val="center"/>
        </w:trPr>
        <w:tc>
          <w:tcPr>
            <w:tcW w:w="1530" w:type="dxa"/>
            <w:tcBorders>
              <w:left w:val="nil"/>
            </w:tcBorders>
          </w:tcPr>
          <w:p w14:paraId="22D3337D" w14:textId="77777777" w:rsidR="00640D42" w:rsidRPr="00A27FCA" w:rsidRDefault="00640D42" w:rsidP="004B0586">
            <w:pPr>
              <w:pStyle w:val="TeThHauoratablecontent"/>
              <w:framePr w:hSpace="0" w:wrap="auto" w:vAnchor="margin" w:hAnchor="text" w:yAlign="inline"/>
              <w:spacing w:line="276" w:lineRule="auto"/>
            </w:pPr>
            <w:r w:rsidRPr="00A27FCA">
              <w:t>2021/22</w:t>
            </w:r>
          </w:p>
        </w:tc>
        <w:tc>
          <w:tcPr>
            <w:tcW w:w="1503" w:type="dxa"/>
          </w:tcPr>
          <w:p w14:paraId="1B6AFF54" w14:textId="77777777" w:rsidR="00640D42" w:rsidRPr="00A27FCA" w:rsidRDefault="00640D42" w:rsidP="004B0586">
            <w:pPr>
              <w:pStyle w:val="TeThHauoratablecontent"/>
              <w:framePr w:hSpace="0" w:wrap="auto" w:vAnchor="margin" w:hAnchor="text" w:yAlign="inline"/>
              <w:spacing w:line="276" w:lineRule="auto"/>
            </w:pPr>
            <w:r w:rsidRPr="00A27FCA">
              <w:t>99</w:t>
            </w:r>
          </w:p>
        </w:tc>
        <w:tc>
          <w:tcPr>
            <w:tcW w:w="2047" w:type="dxa"/>
          </w:tcPr>
          <w:p w14:paraId="72D206D7" w14:textId="77777777" w:rsidR="00640D42" w:rsidRPr="00A27FCA" w:rsidRDefault="00640D42" w:rsidP="004B0586">
            <w:pPr>
              <w:pStyle w:val="TeThHauoratablecontent"/>
              <w:framePr w:hSpace="0" w:wrap="auto" w:vAnchor="margin" w:hAnchor="text" w:yAlign="inline"/>
              <w:spacing w:line="276" w:lineRule="auto"/>
            </w:pPr>
            <w:r w:rsidRPr="00A27FCA">
              <w:t>62 (63)</w:t>
            </w:r>
          </w:p>
        </w:tc>
        <w:tc>
          <w:tcPr>
            <w:tcW w:w="2047" w:type="dxa"/>
          </w:tcPr>
          <w:p w14:paraId="7E5D5153" w14:textId="77777777" w:rsidR="00640D42" w:rsidRPr="00A27FCA" w:rsidRDefault="00640D42" w:rsidP="004B0586">
            <w:pPr>
              <w:pStyle w:val="TeThHauoratablecontent"/>
              <w:framePr w:hSpace="0" w:wrap="auto" w:vAnchor="margin" w:hAnchor="text" w:yAlign="inline"/>
              <w:spacing w:line="276" w:lineRule="auto"/>
            </w:pPr>
            <w:r w:rsidRPr="00A27FCA">
              <w:t>19 (19)</w:t>
            </w:r>
          </w:p>
        </w:tc>
        <w:tc>
          <w:tcPr>
            <w:tcW w:w="1867" w:type="dxa"/>
            <w:tcBorders>
              <w:right w:val="nil"/>
            </w:tcBorders>
          </w:tcPr>
          <w:p w14:paraId="5D05DAA8" w14:textId="77777777" w:rsidR="00640D42" w:rsidRPr="00A27FCA" w:rsidRDefault="00640D42" w:rsidP="004B0586">
            <w:pPr>
              <w:pStyle w:val="TeThHauoratablecontent"/>
              <w:framePr w:hSpace="0" w:wrap="auto" w:vAnchor="margin" w:hAnchor="text" w:yAlign="inline"/>
              <w:spacing w:line="276" w:lineRule="auto"/>
            </w:pPr>
            <w:r w:rsidRPr="00A27FCA">
              <w:t>20 (20)</w:t>
            </w:r>
          </w:p>
        </w:tc>
      </w:tr>
      <w:tr w:rsidR="00640D42" w14:paraId="781AD9CA" w14:textId="77777777" w:rsidTr="00B80975">
        <w:trPr>
          <w:jc w:val="center"/>
        </w:trPr>
        <w:tc>
          <w:tcPr>
            <w:tcW w:w="1530" w:type="dxa"/>
            <w:tcBorders>
              <w:left w:val="nil"/>
            </w:tcBorders>
          </w:tcPr>
          <w:p w14:paraId="1FDC8422" w14:textId="77777777" w:rsidR="00640D42" w:rsidRPr="00A27FCA" w:rsidRDefault="00640D42" w:rsidP="004B0586">
            <w:pPr>
              <w:pStyle w:val="TeThHauoratablecontent"/>
              <w:framePr w:hSpace="0" w:wrap="auto" w:vAnchor="margin" w:hAnchor="text" w:yAlign="inline"/>
              <w:spacing w:line="276" w:lineRule="auto"/>
            </w:pPr>
            <w:r w:rsidRPr="00A27FCA">
              <w:t>2022/23</w:t>
            </w:r>
          </w:p>
        </w:tc>
        <w:tc>
          <w:tcPr>
            <w:tcW w:w="1503" w:type="dxa"/>
          </w:tcPr>
          <w:p w14:paraId="69C5C8F7" w14:textId="77777777" w:rsidR="00640D42" w:rsidRPr="00A27FCA" w:rsidRDefault="00640D42" w:rsidP="004B0586">
            <w:pPr>
              <w:pStyle w:val="TeThHauoratablecontent"/>
              <w:framePr w:hSpace="0" w:wrap="auto" w:vAnchor="margin" w:hAnchor="text" w:yAlign="inline"/>
              <w:spacing w:line="276" w:lineRule="auto"/>
            </w:pPr>
            <w:r w:rsidRPr="00A27FCA">
              <w:t>96</w:t>
            </w:r>
          </w:p>
        </w:tc>
        <w:tc>
          <w:tcPr>
            <w:tcW w:w="2047" w:type="dxa"/>
          </w:tcPr>
          <w:p w14:paraId="63BBA9E8" w14:textId="77777777" w:rsidR="00640D42" w:rsidRPr="00A27FCA" w:rsidRDefault="00640D42" w:rsidP="004B0586">
            <w:pPr>
              <w:pStyle w:val="TeThHauoratablecontent"/>
              <w:framePr w:hSpace="0" w:wrap="auto" w:vAnchor="margin" w:hAnchor="text" w:yAlign="inline"/>
              <w:spacing w:line="276" w:lineRule="auto"/>
            </w:pPr>
            <w:r w:rsidRPr="00A27FCA">
              <w:t>44 (46)</w:t>
            </w:r>
          </w:p>
        </w:tc>
        <w:tc>
          <w:tcPr>
            <w:tcW w:w="2047" w:type="dxa"/>
          </w:tcPr>
          <w:p w14:paraId="317224FD" w14:textId="77777777" w:rsidR="00640D42" w:rsidRPr="00A27FCA" w:rsidRDefault="00640D42" w:rsidP="004B0586">
            <w:pPr>
              <w:pStyle w:val="TeThHauoratablecontent"/>
              <w:framePr w:hSpace="0" w:wrap="auto" w:vAnchor="margin" w:hAnchor="text" w:yAlign="inline"/>
              <w:spacing w:line="276" w:lineRule="auto"/>
            </w:pPr>
            <w:r w:rsidRPr="00A27FCA">
              <w:t>19 (20)</w:t>
            </w:r>
          </w:p>
        </w:tc>
        <w:tc>
          <w:tcPr>
            <w:tcW w:w="1867" w:type="dxa"/>
            <w:tcBorders>
              <w:right w:val="nil"/>
            </w:tcBorders>
          </w:tcPr>
          <w:p w14:paraId="0301D37B" w14:textId="77777777" w:rsidR="00640D42" w:rsidRPr="00A27FCA" w:rsidRDefault="00640D42" w:rsidP="004B0586">
            <w:pPr>
              <w:pStyle w:val="TeThHauoratablecontent"/>
              <w:framePr w:hSpace="0" w:wrap="auto" w:vAnchor="margin" w:hAnchor="text" w:yAlign="inline"/>
              <w:spacing w:line="276" w:lineRule="auto"/>
            </w:pPr>
            <w:r w:rsidRPr="00A27FCA">
              <w:t>14 (15)</w:t>
            </w:r>
          </w:p>
        </w:tc>
      </w:tr>
    </w:tbl>
    <w:tbl>
      <w:tblPr>
        <w:tblStyle w:val="TableGrid"/>
        <w:tblW w:w="0" w:type="auto"/>
        <w:jc w:val="center"/>
        <w:tblLook w:val="04A0" w:firstRow="1" w:lastRow="0" w:firstColumn="1" w:lastColumn="0" w:noHBand="0" w:noVBand="1"/>
      </w:tblPr>
      <w:tblGrid>
        <w:gridCol w:w="8994"/>
      </w:tblGrid>
      <w:tr w:rsidR="00EB0F61" w14:paraId="7504B59E" w14:textId="77777777" w:rsidTr="00EB0F61">
        <w:trPr>
          <w:trHeight w:val="300"/>
          <w:jc w:val="center"/>
        </w:trPr>
        <w:tc>
          <w:tcPr>
            <w:tcW w:w="8994" w:type="dxa"/>
            <w:tcBorders>
              <w:left w:val="nil"/>
              <w:right w:val="nil"/>
            </w:tcBorders>
          </w:tcPr>
          <w:p w14:paraId="0691CC27" w14:textId="5F5BC1D2" w:rsidR="00EB0F61" w:rsidRDefault="00EB0F61" w:rsidP="004B0586">
            <w:pPr>
              <w:pStyle w:val="TeThHauoratablecontent"/>
              <w:framePr w:wrap="around"/>
              <w:spacing w:line="276" w:lineRule="auto"/>
            </w:pPr>
            <w:r>
              <w:t>Total                   455</w:t>
            </w:r>
          </w:p>
        </w:tc>
      </w:tr>
    </w:tbl>
    <w:p w14:paraId="39221EDC" w14:textId="26AC5B4E" w:rsidR="00640D42" w:rsidRDefault="00640D42" w:rsidP="004B0586">
      <w:pPr>
        <w:spacing w:before="120" w:after="0"/>
        <w:rPr>
          <w:sz w:val="16"/>
          <w:szCs w:val="16"/>
        </w:rPr>
      </w:pPr>
      <w:r w:rsidRPr="37731E50">
        <w:rPr>
          <w:sz w:val="16"/>
          <w:szCs w:val="16"/>
        </w:rPr>
        <w:t>Note: Data was downloaded from the adverse events database and updated in July 2023. Data is reported as total numbers and percentages.</w:t>
      </w:r>
    </w:p>
    <w:p w14:paraId="3A9B748E" w14:textId="77777777" w:rsidR="00E75D17" w:rsidRPr="00EB0F61" w:rsidRDefault="00E75D17" w:rsidP="004B0586">
      <w:pPr>
        <w:spacing w:before="120" w:after="0"/>
        <w:rPr>
          <w:sz w:val="16"/>
          <w:szCs w:val="16"/>
        </w:rPr>
      </w:pPr>
    </w:p>
    <w:p w14:paraId="34491695" w14:textId="77777777" w:rsidR="00640D42" w:rsidRDefault="00640D42" w:rsidP="004B0586">
      <w:r>
        <w:t xml:space="preserve">The significant rise in maternity notifications from 2019 correlates with the release in 2018 of the Te </w:t>
      </w:r>
      <w:proofErr w:type="spellStart"/>
      <w:r>
        <w:t>Tāhū</w:t>
      </w:r>
      <w:proofErr w:type="spellEnd"/>
      <w:r>
        <w:t xml:space="preserve"> Hauora specific maternity</w:t>
      </w:r>
      <w:r>
        <w:rPr>
          <w:rStyle w:val="FootnoteReference"/>
        </w:rPr>
        <w:footnoteReference w:id="3"/>
      </w:r>
      <w:r>
        <w:t xml:space="preserve"> SAC guidance examples that were co-designed with the sector. The release of this guidance came with the expectation that reporting would rise. Based on the information received, we are unable to explain the spike in events in 2020/21, but it does correspond with the increased challenges within the system related to the COVID-19 pandemic. </w:t>
      </w:r>
    </w:p>
    <w:p w14:paraId="72F4328F" w14:textId="2CE7216E" w:rsidR="00640D42" w:rsidRDefault="005377C5" w:rsidP="004B0586">
      <w:r>
        <w:t>T</w:t>
      </w:r>
      <w:r w:rsidR="568DFC8B">
        <w:t>he 455</w:t>
      </w:r>
      <w:r w:rsidR="009511B3">
        <w:t xml:space="preserve"> </w:t>
      </w:r>
      <w:r w:rsidR="568DFC8B">
        <w:t>events</w:t>
      </w:r>
      <w:r>
        <w:t xml:space="preserve"> </w:t>
      </w:r>
      <w:r w:rsidR="0079241A">
        <w:t>across the 5 years</w:t>
      </w:r>
      <w:r>
        <w:t xml:space="preserve"> can be </w:t>
      </w:r>
      <w:r w:rsidR="00321612">
        <w:t>divided into</w:t>
      </w:r>
      <w:r w:rsidR="004E2CD1">
        <w:t xml:space="preserve"> two groups, </w:t>
      </w:r>
      <w:r w:rsidR="000212E7">
        <w:t xml:space="preserve">depending on </w:t>
      </w:r>
      <w:r w:rsidR="00CE036A">
        <w:t>whether</w:t>
      </w:r>
      <w:r w:rsidR="0079241A">
        <w:t xml:space="preserve"> </w:t>
      </w:r>
      <w:r w:rsidR="000212E7">
        <w:t xml:space="preserve">the outcome </w:t>
      </w:r>
      <w:r w:rsidR="00CE036A">
        <w:t>relate</w:t>
      </w:r>
      <w:r w:rsidR="00C25975">
        <w:t>s</w:t>
      </w:r>
      <w:r w:rsidR="00CE036A">
        <w:t xml:space="preserve"> to</w:t>
      </w:r>
      <w:r w:rsidR="000212E7">
        <w:t xml:space="preserve"> the pregnant woman and birthing people or the neona</w:t>
      </w:r>
      <w:r w:rsidR="009511B3">
        <w:t>te.</w:t>
      </w:r>
      <w:r w:rsidR="00640D42">
        <w:t xml:space="preserve"> </w:t>
      </w:r>
      <w:r w:rsidR="006E5C72">
        <w:t xml:space="preserve">A total of </w:t>
      </w:r>
      <w:r w:rsidR="00640D42">
        <w:t xml:space="preserve">241 events specifically reported adverse outcomes for the pregnant woman and birthing people. These included a series of complications and unexpected harm, including uterine rupture, sepsis, hysterectomy, post-partum haemorrhage, significant perineal </w:t>
      </w:r>
      <w:proofErr w:type="gramStart"/>
      <w:r w:rsidR="00640D42">
        <w:t>tears</w:t>
      </w:r>
      <w:proofErr w:type="gramEnd"/>
      <w:r w:rsidR="00640D42">
        <w:t xml:space="preserve"> and </w:t>
      </w:r>
      <w:proofErr w:type="spellStart"/>
      <w:r w:rsidR="00640D42">
        <w:t>fetal</w:t>
      </w:r>
      <w:proofErr w:type="spellEnd"/>
      <w:r w:rsidR="00640D42">
        <w:t xml:space="preserve"> demise. In total, 214 reports focused on adverse outcomes for the neonate following birth. These included neonatal encephalopathy, deterioration, </w:t>
      </w:r>
      <w:proofErr w:type="gramStart"/>
      <w:r w:rsidR="00640D42">
        <w:t>sepsis</w:t>
      </w:r>
      <w:proofErr w:type="gramEnd"/>
      <w:r w:rsidR="00640D42">
        <w:t xml:space="preserve"> and the need for transfer to higher levels of care. </w:t>
      </w:r>
    </w:p>
    <w:p w14:paraId="6A3D911E" w14:textId="06F37C9D" w:rsidR="00640D42" w:rsidRPr="001362F7" w:rsidRDefault="00640D42" w:rsidP="004B0586">
      <w:r>
        <w:t xml:space="preserve">We further analysed the data using </w:t>
      </w:r>
      <w:proofErr w:type="spellStart"/>
      <w:r w:rsidR="006E5C72">
        <w:t>Manatū</w:t>
      </w:r>
      <w:proofErr w:type="spellEnd"/>
      <w:r w:rsidR="006E5C72">
        <w:t xml:space="preserve"> Hauora </w:t>
      </w:r>
      <w:r>
        <w:t xml:space="preserve">Ministry of Health </w:t>
      </w:r>
      <w:r w:rsidR="006E5C72">
        <w:t xml:space="preserve">level </w:t>
      </w:r>
      <w:r>
        <w:t xml:space="preserve">1 ethnicity codes (Table 2). </w:t>
      </w:r>
      <w:r w:rsidR="006E5C72">
        <w:t xml:space="preserve">More </w:t>
      </w:r>
      <w:r>
        <w:t xml:space="preserve">information on </w:t>
      </w:r>
      <w:r w:rsidR="006E5C72">
        <w:t>these</w:t>
      </w:r>
      <w:r>
        <w:t xml:space="preserve"> codes can be found </w:t>
      </w:r>
      <w:r w:rsidR="006E5C72">
        <w:t>on the</w:t>
      </w:r>
      <w:r>
        <w:t xml:space="preserve"> Health New Zealand</w:t>
      </w:r>
      <w:r w:rsidR="006E5C72">
        <w:t xml:space="preserve"> –</w:t>
      </w:r>
      <w:r>
        <w:t xml:space="preserve"> Te </w:t>
      </w:r>
      <w:proofErr w:type="spellStart"/>
      <w:r>
        <w:t>Whatu</w:t>
      </w:r>
      <w:proofErr w:type="spellEnd"/>
      <w:r>
        <w:t xml:space="preserve"> Ora </w:t>
      </w:r>
      <w:r w:rsidR="006E5C72">
        <w:t>website:</w:t>
      </w:r>
      <w:r>
        <w:t xml:space="preserve"> </w:t>
      </w:r>
      <w:hyperlink r:id="rId16" w:history="1">
        <w:r w:rsidR="006E5C72" w:rsidRPr="00151312">
          <w:rPr>
            <w:rStyle w:val="Hyperlink"/>
          </w:rPr>
          <w:t>www.tewhatuora.govt.nz/our-health-system/data-and-statistics/nz-health-statistics/data-references/code-tables/common-code-tables#ethnicity-code-tables</w:t>
        </w:r>
      </w:hyperlink>
    </w:p>
    <w:p w14:paraId="35F22ADB" w14:textId="77777777" w:rsidR="006E5C72" w:rsidRDefault="006E5C72">
      <w:pPr>
        <w:autoSpaceDE/>
        <w:autoSpaceDN/>
        <w:adjustRightInd/>
        <w:spacing w:after="0" w:line="240" w:lineRule="auto"/>
        <w:rPr>
          <w:b/>
        </w:rPr>
      </w:pPr>
      <w:r>
        <w:br w:type="page"/>
      </w:r>
    </w:p>
    <w:p w14:paraId="56F52907" w14:textId="2A64B685" w:rsidR="00640D42" w:rsidRPr="006360ED" w:rsidRDefault="00640D42" w:rsidP="004B0586">
      <w:pPr>
        <w:pStyle w:val="TeThHauoratablefigurecaption"/>
      </w:pPr>
      <w:r w:rsidRPr="00400227">
        <w:t xml:space="preserve">Table 2: </w:t>
      </w:r>
      <w:r w:rsidRPr="006360ED">
        <w:t xml:space="preserve">Reported </w:t>
      </w:r>
      <w:r w:rsidR="006E5C72">
        <w:t xml:space="preserve">level </w:t>
      </w:r>
      <w:r>
        <w:t xml:space="preserve">1 </w:t>
      </w:r>
      <w:r w:rsidRPr="006360ED">
        <w:t>ethnicity of consumers harmed in adverse events 2018/19–2022/2</w:t>
      </w:r>
      <w:r>
        <w:t>, n (%)</w:t>
      </w:r>
    </w:p>
    <w:tbl>
      <w:tblPr>
        <w:tblStyle w:val="TableGrid"/>
        <w:tblW w:w="8318" w:type="dxa"/>
        <w:tblBorders>
          <w:left w:val="none" w:sz="0" w:space="0" w:color="auto"/>
          <w:right w:val="none" w:sz="0" w:space="0" w:color="auto"/>
        </w:tblBorders>
        <w:tblLook w:val="04A0" w:firstRow="1" w:lastRow="0" w:firstColumn="1" w:lastColumn="0" w:noHBand="0" w:noVBand="1"/>
      </w:tblPr>
      <w:tblGrid>
        <w:gridCol w:w="2628"/>
        <w:gridCol w:w="1136"/>
        <w:gridCol w:w="1136"/>
        <w:gridCol w:w="1136"/>
        <w:gridCol w:w="1136"/>
        <w:gridCol w:w="1146"/>
      </w:tblGrid>
      <w:tr w:rsidR="00640D42" w14:paraId="651623B8" w14:textId="77777777" w:rsidTr="00B80975">
        <w:tc>
          <w:tcPr>
            <w:tcW w:w="2628" w:type="dxa"/>
            <w:shd w:val="clear" w:color="auto" w:fill="F2F2F2" w:themeFill="background1" w:themeFillShade="F2"/>
          </w:tcPr>
          <w:p w14:paraId="1633D86C" w14:textId="77777777" w:rsidR="00640D42" w:rsidRDefault="00640D42" w:rsidP="004B0586">
            <w:pPr>
              <w:pStyle w:val="TeThHauoratablecolumnhead"/>
              <w:framePr w:hSpace="0" w:wrap="auto" w:vAnchor="margin" w:hAnchor="text" w:yAlign="inline"/>
              <w:spacing w:line="276" w:lineRule="auto"/>
            </w:pPr>
            <w:r>
              <w:t>Ethnicity</w:t>
            </w:r>
          </w:p>
        </w:tc>
        <w:tc>
          <w:tcPr>
            <w:tcW w:w="1136" w:type="dxa"/>
            <w:shd w:val="clear" w:color="auto" w:fill="F2F2F2" w:themeFill="background1" w:themeFillShade="F2"/>
          </w:tcPr>
          <w:p w14:paraId="5E0269C5" w14:textId="77777777" w:rsidR="00640D42" w:rsidRDefault="00640D42" w:rsidP="004B0586">
            <w:pPr>
              <w:pStyle w:val="TeThHauoratablecolumnhead"/>
              <w:framePr w:hSpace="0" w:wrap="auto" w:vAnchor="margin" w:hAnchor="text" w:yAlign="inline"/>
              <w:spacing w:line="276" w:lineRule="auto"/>
            </w:pPr>
            <w:r>
              <w:t>2018/19</w:t>
            </w:r>
          </w:p>
          <w:p w14:paraId="1DA08FCC" w14:textId="77777777" w:rsidR="00640D42" w:rsidRDefault="00640D42" w:rsidP="004B0586">
            <w:pPr>
              <w:pStyle w:val="TeThHauoratablecolumnhead"/>
              <w:framePr w:hSpace="0" w:wrap="auto" w:vAnchor="margin" w:hAnchor="text" w:yAlign="inline"/>
              <w:spacing w:line="276" w:lineRule="auto"/>
            </w:pPr>
            <w:r>
              <w:t>n = 58</w:t>
            </w:r>
          </w:p>
        </w:tc>
        <w:tc>
          <w:tcPr>
            <w:tcW w:w="1136" w:type="dxa"/>
            <w:shd w:val="clear" w:color="auto" w:fill="F2F2F2" w:themeFill="background1" w:themeFillShade="F2"/>
          </w:tcPr>
          <w:p w14:paraId="33B947CC" w14:textId="77777777" w:rsidR="00640D42" w:rsidRDefault="00640D42" w:rsidP="004B0586">
            <w:pPr>
              <w:pStyle w:val="TeThHauoratablecolumnhead"/>
              <w:framePr w:hSpace="0" w:wrap="auto" w:vAnchor="margin" w:hAnchor="text" w:yAlign="inline"/>
              <w:spacing w:line="276" w:lineRule="auto"/>
            </w:pPr>
            <w:r>
              <w:t>2019/20</w:t>
            </w:r>
          </w:p>
          <w:p w14:paraId="660429E9" w14:textId="77777777" w:rsidR="00640D42" w:rsidRDefault="00640D42" w:rsidP="004B0586">
            <w:pPr>
              <w:pStyle w:val="TeThHauoratablecolumnhead"/>
              <w:framePr w:hSpace="0" w:wrap="auto" w:vAnchor="margin" w:hAnchor="text" w:yAlign="inline"/>
              <w:spacing w:line="276" w:lineRule="auto"/>
            </w:pPr>
            <w:r>
              <w:t>n = 88</w:t>
            </w:r>
          </w:p>
        </w:tc>
        <w:tc>
          <w:tcPr>
            <w:tcW w:w="1136" w:type="dxa"/>
            <w:shd w:val="clear" w:color="auto" w:fill="F2F2F2" w:themeFill="background1" w:themeFillShade="F2"/>
          </w:tcPr>
          <w:p w14:paraId="48C8B074" w14:textId="77777777" w:rsidR="00640D42" w:rsidRDefault="00640D42" w:rsidP="004B0586">
            <w:pPr>
              <w:pStyle w:val="TeThHauoratablecolumnhead"/>
              <w:framePr w:hSpace="0" w:wrap="auto" w:vAnchor="margin" w:hAnchor="text" w:yAlign="inline"/>
              <w:spacing w:line="276" w:lineRule="auto"/>
            </w:pPr>
            <w:r>
              <w:t>2020/21</w:t>
            </w:r>
          </w:p>
          <w:p w14:paraId="56261FB1" w14:textId="77777777" w:rsidR="00640D42" w:rsidRDefault="00640D42" w:rsidP="004B0586">
            <w:pPr>
              <w:pStyle w:val="TeThHauoratablecolumnhead"/>
              <w:framePr w:hSpace="0" w:wrap="auto" w:vAnchor="margin" w:hAnchor="text" w:yAlign="inline"/>
              <w:spacing w:line="276" w:lineRule="auto"/>
            </w:pPr>
            <w:r>
              <w:t>n = 114</w:t>
            </w:r>
          </w:p>
        </w:tc>
        <w:tc>
          <w:tcPr>
            <w:tcW w:w="1136" w:type="dxa"/>
            <w:shd w:val="clear" w:color="auto" w:fill="F2F2F2" w:themeFill="background1" w:themeFillShade="F2"/>
          </w:tcPr>
          <w:p w14:paraId="0F9AA311" w14:textId="77777777" w:rsidR="00640D42" w:rsidRDefault="00640D42" w:rsidP="004B0586">
            <w:pPr>
              <w:pStyle w:val="TeThHauoratablecolumnhead"/>
              <w:framePr w:hSpace="0" w:wrap="auto" w:vAnchor="margin" w:hAnchor="text" w:yAlign="inline"/>
              <w:spacing w:line="276" w:lineRule="auto"/>
            </w:pPr>
            <w:r>
              <w:t>2021/22</w:t>
            </w:r>
          </w:p>
          <w:p w14:paraId="3A6E8DE1" w14:textId="77777777" w:rsidR="00640D42" w:rsidRDefault="00640D42" w:rsidP="004B0586">
            <w:pPr>
              <w:pStyle w:val="TeThHauoratablecolumnhead"/>
              <w:framePr w:hSpace="0" w:wrap="auto" w:vAnchor="margin" w:hAnchor="text" w:yAlign="inline"/>
              <w:spacing w:line="276" w:lineRule="auto"/>
            </w:pPr>
            <w:r>
              <w:t>n = 99</w:t>
            </w:r>
          </w:p>
        </w:tc>
        <w:tc>
          <w:tcPr>
            <w:tcW w:w="1146" w:type="dxa"/>
            <w:shd w:val="clear" w:color="auto" w:fill="F2F2F2" w:themeFill="background1" w:themeFillShade="F2"/>
          </w:tcPr>
          <w:p w14:paraId="3E45CE40" w14:textId="77777777" w:rsidR="00640D42" w:rsidRDefault="00640D42" w:rsidP="004B0586">
            <w:pPr>
              <w:pStyle w:val="TeThHauoratablecolumnhead"/>
              <w:framePr w:hSpace="0" w:wrap="auto" w:vAnchor="margin" w:hAnchor="text" w:yAlign="inline"/>
              <w:spacing w:line="276" w:lineRule="auto"/>
            </w:pPr>
            <w:r>
              <w:t>2022/23</w:t>
            </w:r>
          </w:p>
          <w:p w14:paraId="17063B1A" w14:textId="77777777" w:rsidR="00640D42" w:rsidRDefault="00640D42" w:rsidP="004B0586">
            <w:pPr>
              <w:pStyle w:val="TeThHauoratablecolumnhead"/>
              <w:framePr w:hSpace="0" w:wrap="auto" w:vAnchor="margin" w:hAnchor="text" w:yAlign="inline"/>
              <w:spacing w:line="276" w:lineRule="auto"/>
            </w:pPr>
            <w:r>
              <w:t>n = 96</w:t>
            </w:r>
          </w:p>
        </w:tc>
      </w:tr>
      <w:tr w:rsidR="00640D42" w14:paraId="7AE8423C" w14:textId="77777777" w:rsidTr="00B80975">
        <w:tc>
          <w:tcPr>
            <w:tcW w:w="2628" w:type="dxa"/>
          </w:tcPr>
          <w:p w14:paraId="1D652A6E" w14:textId="77777777" w:rsidR="00640D42" w:rsidRPr="006D50CA" w:rsidRDefault="00640D42" w:rsidP="004B0586">
            <w:pPr>
              <w:pStyle w:val="TeThHauoratablecontent"/>
              <w:framePr w:hSpace="0" w:wrap="auto" w:vAnchor="margin" w:hAnchor="text" w:yAlign="inline"/>
              <w:tabs>
                <w:tab w:val="left" w:pos="357"/>
              </w:tabs>
              <w:spacing w:line="276" w:lineRule="auto"/>
            </w:pPr>
            <w:r w:rsidRPr="006D50CA">
              <w:t>Māori</w:t>
            </w:r>
          </w:p>
        </w:tc>
        <w:tc>
          <w:tcPr>
            <w:tcW w:w="1136" w:type="dxa"/>
          </w:tcPr>
          <w:p w14:paraId="4D19769B" w14:textId="77777777" w:rsidR="00640D42" w:rsidRPr="006D50CA" w:rsidRDefault="00640D42" w:rsidP="004B0586">
            <w:pPr>
              <w:pStyle w:val="TeThHauoratablecontent"/>
              <w:framePr w:hSpace="0" w:wrap="auto" w:vAnchor="margin" w:hAnchor="text" w:yAlign="inline"/>
              <w:spacing w:line="276" w:lineRule="auto"/>
            </w:pPr>
            <w:r w:rsidRPr="006D50CA">
              <w:t>15 (26)</w:t>
            </w:r>
          </w:p>
        </w:tc>
        <w:tc>
          <w:tcPr>
            <w:tcW w:w="1136" w:type="dxa"/>
          </w:tcPr>
          <w:p w14:paraId="64E7FE6F" w14:textId="77777777" w:rsidR="00640D42" w:rsidRPr="006D50CA" w:rsidRDefault="00640D42" w:rsidP="004B0586">
            <w:pPr>
              <w:pStyle w:val="TeThHauoratablecontent"/>
              <w:framePr w:hSpace="0" w:wrap="auto" w:vAnchor="margin" w:hAnchor="text" w:yAlign="inline"/>
              <w:spacing w:line="276" w:lineRule="auto"/>
            </w:pPr>
            <w:r w:rsidRPr="006D50CA">
              <w:t>20 (23)</w:t>
            </w:r>
          </w:p>
        </w:tc>
        <w:tc>
          <w:tcPr>
            <w:tcW w:w="1136" w:type="dxa"/>
          </w:tcPr>
          <w:p w14:paraId="3318D845" w14:textId="77777777" w:rsidR="00640D42" w:rsidRPr="006D50CA" w:rsidRDefault="00640D42" w:rsidP="004B0586">
            <w:pPr>
              <w:pStyle w:val="TeThHauoratablecontent"/>
              <w:framePr w:hSpace="0" w:wrap="auto" w:vAnchor="margin" w:hAnchor="text" w:yAlign="inline"/>
              <w:spacing w:line="276" w:lineRule="auto"/>
            </w:pPr>
            <w:r w:rsidRPr="006D50CA">
              <w:t>22 (19)</w:t>
            </w:r>
          </w:p>
        </w:tc>
        <w:tc>
          <w:tcPr>
            <w:tcW w:w="1136" w:type="dxa"/>
          </w:tcPr>
          <w:p w14:paraId="5B2D90C7" w14:textId="77777777" w:rsidR="00640D42" w:rsidRPr="006D50CA" w:rsidRDefault="00640D42" w:rsidP="004B0586">
            <w:pPr>
              <w:pStyle w:val="TeThHauoratablecontent"/>
              <w:framePr w:hSpace="0" w:wrap="auto" w:vAnchor="margin" w:hAnchor="text" w:yAlign="inline"/>
              <w:spacing w:line="276" w:lineRule="auto"/>
            </w:pPr>
            <w:r w:rsidRPr="006D50CA">
              <w:t>23 (23)</w:t>
            </w:r>
          </w:p>
        </w:tc>
        <w:tc>
          <w:tcPr>
            <w:tcW w:w="1146" w:type="dxa"/>
          </w:tcPr>
          <w:p w14:paraId="7E180798" w14:textId="77777777" w:rsidR="00640D42" w:rsidRPr="006D50CA" w:rsidRDefault="00640D42" w:rsidP="004B0586">
            <w:pPr>
              <w:pStyle w:val="TeThHauoratablecontent"/>
              <w:framePr w:hSpace="0" w:wrap="auto" w:vAnchor="margin" w:hAnchor="text" w:yAlign="inline"/>
              <w:spacing w:line="276" w:lineRule="auto"/>
            </w:pPr>
            <w:r w:rsidRPr="006D50CA">
              <w:t>23 (24)</w:t>
            </w:r>
          </w:p>
        </w:tc>
      </w:tr>
      <w:tr w:rsidR="00640D42" w14:paraId="10AF5FF0" w14:textId="77777777" w:rsidTr="00B80975">
        <w:tc>
          <w:tcPr>
            <w:tcW w:w="2628" w:type="dxa"/>
          </w:tcPr>
          <w:p w14:paraId="3B41E6EB" w14:textId="77777777" w:rsidR="00640D42" w:rsidRPr="006D50CA" w:rsidRDefault="00640D42" w:rsidP="004B0586">
            <w:pPr>
              <w:pStyle w:val="TeThHauoratablecontent"/>
              <w:framePr w:hSpace="0" w:wrap="auto" w:vAnchor="margin" w:hAnchor="text" w:yAlign="inline"/>
              <w:tabs>
                <w:tab w:val="left" w:pos="357"/>
              </w:tabs>
              <w:spacing w:line="276" w:lineRule="auto"/>
            </w:pPr>
            <w:r w:rsidRPr="006D50CA">
              <w:t>Pacific peoples</w:t>
            </w:r>
          </w:p>
        </w:tc>
        <w:tc>
          <w:tcPr>
            <w:tcW w:w="1136" w:type="dxa"/>
          </w:tcPr>
          <w:p w14:paraId="6A44873B" w14:textId="77777777" w:rsidR="00640D42" w:rsidRPr="006D50CA" w:rsidRDefault="00640D42" w:rsidP="004B0586">
            <w:pPr>
              <w:pStyle w:val="TeThHauoratablecontent"/>
              <w:framePr w:hSpace="0" w:wrap="auto" w:vAnchor="margin" w:hAnchor="text" w:yAlign="inline"/>
              <w:spacing w:line="276" w:lineRule="auto"/>
            </w:pPr>
            <w:r w:rsidRPr="006D50CA">
              <w:t>3 (5.2)</w:t>
            </w:r>
          </w:p>
        </w:tc>
        <w:tc>
          <w:tcPr>
            <w:tcW w:w="1136" w:type="dxa"/>
          </w:tcPr>
          <w:p w14:paraId="6204D5AC" w14:textId="77777777" w:rsidR="00640D42" w:rsidRPr="006D50CA" w:rsidRDefault="00640D42" w:rsidP="004B0586">
            <w:pPr>
              <w:pStyle w:val="TeThHauoratablecontent"/>
              <w:framePr w:hSpace="0" w:wrap="auto" w:vAnchor="margin" w:hAnchor="text" w:yAlign="inline"/>
              <w:spacing w:line="276" w:lineRule="auto"/>
            </w:pPr>
            <w:r w:rsidRPr="006D50CA">
              <w:t>8 (9.1)</w:t>
            </w:r>
          </w:p>
        </w:tc>
        <w:tc>
          <w:tcPr>
            <w:tcW w:w="1136" w:type="dxa"/>
          </w:tcPr>
          <w:p w14:paraId="6E860F42" w14:textId="77777777" w:rsidR="00640D42" w:rsidRPr="006D50CA" w:rsidRDefault="00640D42" w:rsidP="004B0586">
            <w:pPr>
              <w:pStyle w:val="TeThHauoratablecontent"/>
              <w:framePr w:hSpace="0" w:wrap="auto" w:vAnchor="margin" w:hAnchor="text" w:yAlign="inline"/>
              <w:spacing w:line="276" w:lineRule="auto"/>
            </w:pPr>
            <w:r w:rsidRPr="006D50CA">
              <w:t>7 (6.1)</w:t>
            </w:r>
          </w:p>
        </w:tc>
        <w:tc>
          <w:tcPr>
            <w:tcW w:w="1136" w:type="dxa"/>
          </w:tcPr>
          <w:p w14:paraId="280446C5" w14:textId="77777777" w:rsidR="00640D42" w:rsidRPr="006D50CA" w:rsidRDefault="00640D42" w:rsidP="004B0586">
            <w:pPr>
              <w:pStyle w:val="TeThHauoratablecontent"/>
              <w:framePr w:hSpace="0" w:wrap="auto" w:vAnchor="margin" w:hAnchor="text" w:yAlign="inline"/>
              <w:spacing w:line="276" w:lineRule="auto"/>
            </w:pPr>
            <w:r w:rsidRPr="006D50CA">
              <w:t>14 (14)</w:t>
            </w:r>
          </w:p>
        </w:tc>
        <w:tc>
          <w:tcPr>
            <w:tcW w:w="1146" w:type="dxa"/>
          </w:tcPr>
          <w:p w14:paraId="471BCDB4" w14:textId="77777777" w:rsidR="00640D42" w:rsidRPr="006D50CA" w:rsidRDefault="00640D42" w:rsidP="004B0586">
            <w:pPr>
              <w:pStyle w:val="TeThHauoratablecontent"/>
              <w:framePr w:hSpace="0" w:wrap="auto" w:vAnchor="margin" w:hAnchor="text" w:yAlign="inline"/>
              <w:spacing w:line="276" w:lineRule="auto"/>
            </w:pPr>
            <w:r w:rsidRPr="006D50CA">
              <w:t>14 (15)</w:t>
            </w:r>
          </w:p>
        </w:tc>
      </w:tr>
      <w:tr w:rsidR="00640D42" w14:paraId="7E724A05" w14:textId="77777777" w:rsidTr="00B80975">
        <w:tc>
          <w:tcPr>
            <w:tcW w:w="2628" w:type="dxa"/>
          </w:tcPr>
          <w:p w14:paraId="33004318" w14:textId="77777777" w:rsidR="00640D42" w:rsidRPr="006D50CA" w:rsidRDefault="00640D42" w:rsidP="004B0586">
            <w:pPr>
              <w:pStyle w:val="TeThHauoratablecontent"/>
              <w:framePr w:hSpace="0" w:wrap="auto" w:vAnchor="margin" w:hAnchor="text" w:yAlign="inline"/>
              <w:tabs>
                <w:tab w:val="left" w:pos="357"/>
              </w:tabs>
              <w:spacing w:line="276" w:lineRule="auto"/>
            </w:pPr>
            <w:r w:rsidRPr="006D50CA">
              <w:t>Asian</w:t>
            </w:r>
          </w:p>
        </w:tc>
        <w:tc>
          <w:tcPr>
            <w:tcW w:w="1136" w:type="dxa"/>
          </w:tcPr>
          <w:p w14:paraId="2C1ABF72" w14:textId="77777777" w:rsidR="00640D42" w:rsidRPr="006D50CA" w:rsidRDefault="00640D42" w:rsidP="004B0586">
            <w:pPr>
              <w:pStyle w:val="TeThHauoratablecontent"/>
              <w:framePr w:hSpace="0" w:wrap="auto" w:vAnchor="margin" w:hAnchor="text" w:yAlign="inline"/>
              <w:spacing w:line="276" w:lineRule="auto"/>
            </w:pPr>
            <w:r w:rsidRPr="006D50CA">
              <w:t>10 (17)</w:t>
            </w:r>
          </w:p>
        </w:tc>
        <w:tc>
          <w:tcPr>
            <w:tcW w:w="1136" w:type="dxa"/>
          </w:tcPr>
          <w:p w14:paraId="192F3615" w14:textId="77777777" w:rsidR="00640D42" w:rsidRPr="006D50CA" w:rsidRDefault="00640D42" w:rsidP="004B0586">
            <w:pPr>
              <w:pStyle w:val="TeThHauoratablecontent"/>
              <w:framePr w:hSpace="0" w:wrap="auto" w:vAnchor="margin" w:hAnchor="text" w:yAlign="inline"/>
              <w:spacing w:line="276" w:lineRule="auto"/>
            </w:pPr>
            <w:r w:rsidRPr="006D50CA">
              <w:t>12 (14)</w:t>
            </w:r>
          </w:p>
        </w:tc>
        <w:tc>
          <w:tcPr>
            <w:tcW w:w="1136" w:type="dxa"/>
          </w:tcPr>
          <w:p w14:paraId="433A89E9" w14:textId="77777777" w:rsidR="00640D42" w:rsidRPr="006D50CA" w:rsidRDefault="00640D42" w:rsidP="004B0586">
            <w:pPr>
              <w:pStyle w:val="TeThHauoratablecontent"/>
              <w:framePr w:hSpace="0" w:wrap="auto" w:vAnchor="margin" w:hAnchor="text" w:yAlign="inline"/>
              <w:spacing w:line="276" w:lineRule="auto"/>
            </w:pPr>
            <w:r w:rsidRPr="006D50CA">
              <w:t>22 (19)</w:t>
            </w:r>
          </w:p>
        </w:tc>
        <w:tc>
          <w:tcPr>
            <w:tcW w:w="1136" w:type="dxa"/>
          </w:tcPr>
          <w:p w14:paraId="37C99805" w14:textId="77777777" w:rsidR="00640D42" w:rsidRPr="006D50CA" w:rsidRDefault="00640D42" w:rsidP="004B0586">
            <w:pPr>
              <w:pStyle w:val="TeThHauoratablecontent"/>
              <w:framePr w:hSpace="0" w:wrap="auto" w:vAnchor="margin" w:hAnchor="text" w:yAlign="inline"/>
              <w:spacing w:line="276" w:lineRule="auto"/>
            </w:pPr>
            <w:r w:rsidRPr="006D50CA">
              <w:t>15 (15)</w:t>
            </w:r>
          </w:p>
        </w:tc>
        <w:tc>
          <w:tcPr>
            <w:tcW w:w="1146" w:type="dxa"/>
          </w:tcPr>
          <w:p w14:paraId="4BD9D2A1" w14:textId="77777777" w:rsidR="00640D42" w:rsidRPr="006D50CA" w:rsidRDefault="00640D42" w:rsidP="004B0586">
            <w:pPr>
              <w:pStyle w:val="TeThHauoratablecontent"/>
              <w:framePr w:hSpace="0" w:wrap="auto" w:vAnchor="margin" w:hAnchor="text" w:yAlign="inline"/>
              <w:spacing w:line="276" w:lineRule="auto"/>
            </w:pPr>
            <w:r w:rsidRPr="006D50CA">
              <w:t>17 (18)</w:t>
            </w:r>
          </w:p>
        </w:tc>
      </w:tr>
      <w:tr w:rsidR="00640D42" w14:paraId="6C757F49" w14:textId="77777777" w:rsidTr="00B80975">
        <w:tc>
          <w:tcPr>
            <w:tcW w:w="2628" w:type="dxa"/>
          </w:tcPr>
          <w:p w14:paraId="018E925D" w14:textId="46005845" w:rsidR="00640D42" w:rsidRPr="006D50CA" w:rsidRDefault="00640D42" w:rsidP="004B0586">
            <w:pPr>
              <w:pStyle w:val="TeThHauoratablecontent"/>
              <w:framePr w:hSpace="0" w:wrap="auto" w:vAnchor="margin" w:hAnchor="text" w:yAlign="inline"/>
              <w:spacing w:line="276" w:lineRule="auto"/>
            </w:pPr>
            <w:r w:rsidRPr="006D50CA">
              <w:t xml:space="preserve">Middle </w:t>
            </w:r>
            <w:r w:rsidR="006E5C72">
              <w:t>E</w:t>
            </w:r>
            <w:r w:rsidRPr="006D50CA">
              <w:t>astern/Latin American/African</w:t>
            </w:r>
          </w:p>
        </w:tc>
        <w:tc>
          <w:tcPr>
            <w:tcW w:w="1136" w:type="dxa"/>
          </w:tcPr>
          <w:p w14:paraId="5591A6AB" w14:textId="77777777" w:rsidR="00640D42" w:rsidRPr="006D50CA" w:rsidRDefault="00640D42" w:rsidP="004B0586">
            <w:pPr>
              <w:pStyle w:val="TeThHauoratablecontent"/>
              <w:framePr w:hSpace="0" w:wrap="auto" w:vAnchor="margin" w:hAnchor="text" w:yAlign="inline"/>
              <w:spacing w:line="276" w:lineRule="auto"/>
            </w:pPr>
            <w:r w:rsidRPr="006D50CA">
              <w:t>3 (5.2)</w:t>
            </w:r>
          </w:p>
        </w:tc>
        <w:tc>
          <w:tcPr>
            <w:tcW w:w="1136" w:type="dxa"/>
          </w:tcPr>
          <w:p w14:paraId="4FB3C065" w14:textId="77777777" w:rsidR="00640D42" w:rsidRPr="006D50CA" w:rsidRDefault="00640D42" w:rsidP="004B0586">
            <w:pPr>
              <w:pStyle w:val="TeThHauoratablecontent"/>
              <w:framePr w:hSpace="0" w:wrap="auto" w:vAnchor="margin" w:hAnchor="text" w:yAlign="inline"/>
              <w:spacing w:line="276" w:lineRule="auto"/>
            </w:pPr>
            <w:r w:rsidRPr="006D50CA">
              <w:t>2 (2.3)</w:t>
            </w:r>
          </w:p>
        </w:tc>
        <w:tc>
          <w:tcPr>
            <w:tcW w:w="1136" w:type="dxa"/>
          </w:tcPr>
          <w:p w14:paraId="3DE8B291" w14:textId="77777777" w:rsidR="00640D42" w:rsidRPr="006D50CA" w:rsidRDefault="00640D42" w:rsidP="004B0586">
            <w:pPr>
              <w:pStyle w:val="TeThHauoratablecontent"/>
              <w:framePr w:hSpace="0" w:wrap="auto" w:vAnchor="margin" w:hAnchor="text" w:yAlign="inline"/>
              <w:spacing w:line="276" w:lineRule="auto"/>
            </w:pPr>
            <w:r w:rsidRPr="006D50CA">
              <w:t>5 (4.4)</w:t>
            </w:r>
          </w:p>
        </w:tc>
        <w:tc>
          <w:tcPr>
            <w:tcW w:w="1136" w:type="dxa"/>
          </w:tcPr>
          <w:p w14:paraId="23173048" w14:textId="77777777" w:rsidR="00640D42" w:rsidRPr="006D50CA" w:rsidRDefault="00640D42" w:rsidP="004B0586">
            <w:pPr>
              <w:pStyle w:val="TeThHauoratablecontent"/>
              <w:framePr w:hSpace="0" w:wrap="auto" w:vAnchor="margin" w:hAnchor="text" w:yAlign="inline"/>
              <w:spacing w:line="276" w:lineRule="auto"/>
            </w:pPr>
            <w:r w:rsidRPr="006D50CA">
              <w:t>4 (4.0)</w:t>
            </w:r>
          </w:p>
        </w:tc>
        <w:tc>
          <w:tcPr>
            <w:tcW w:w="1146" w:type="dxa"/>
          </w:tcPr>
          <w:p w14:paraId="4BA3F832" w14:textId="77777777" w:rsidR="00640D42" w:rsidRPr="006D50CA" w:rsidRDefault="00640D42" w:rsidP="004B0586">
            <w:pPr>
              <w:pStyle w:val="TeThHauoratablecontent"/>
              <w:framePr w:hSpace="0" w:wrap="auto" w:vAnchor="margin" w:hAnchor="text" w:yAlign="inline"/>
              <w:spacing w:line="276" w:lineRule="auto"/>
            </w:pPr>
            <w:r w:rsidRPr="006D50CA">
              <w:t>1 (1.0)</w:t>
            </w:r>
          </w:p>
        </w:tc>
      </w:tr>
      <w:tr w:rsidR="00640D42" w14:paraId="0E8DD5FC" w14:textId="77777777" w:rsidTr="00B80975">
        <w:tc>
          <w:tcPr>
            <w:tcW w:w="2628" w:type="dxa"/>
          </w:tcPr>
          <w:p w14:paraId="72A10DA6" w14:textId="77777777" w:rsidR="00640D42" w:rsidRPr="006D50CA" w:rsidRDefault="00640D42" w:rsidP="004B0586">
            <w:pPr>
              <w:pStyle w:val="TeThHauoratablecontent"/>
              <w:framePr w:hSpace="0" w:wrap="auto" w:vAnchor="margin" w:hAnchor="text" w:yAlign="inline"/>
              <w:tabs>
                <w:tab w:val="left" w:pos="357"/>
              </w:tabs>
              <w:spacing w:line="276" w:lineRule="auto"/>
            </w:pPr>
            <w:r w:rsidRPr="006D50CA">
              <w:t>European</w:t>
            </w:r>
          </w:p>
        </w:tc>
        <w:tc>
          <w:tcPr>
            <w:tcW w:w="1136" w:type="dxa"/>
          </w:tcPr>
          <w:p w14:paraId="27959C82" w14:textId="77777777" w:rsidR="00640D42" w:rsidRPr="006D50CA" w:rsidRDefault="00640D42" w:rsidP="004B0586">
            <w:pPr>
              <w:pStyle w:val="TeThHauoratablecontent"/>
              <w:framePr w:hSpace="0" w:wrap="auto" w:vAnchor="margin" w:hAnchor="text" w:yAlign="inline"/>
              <w:spacing w:line="276" w:lineRule="auto"/>
            </w:pPr>
            <w:r w:rsidRPr="006D50CA">
              <w:t>26 (45)</w:t>
            </w:r>
          </w:p>
        </w:tc>
        <w:tc>
          <w:tcPr>
            <w:tcW w:w="1136" w:type="dxa"/>
          </w:tcPr>
          <w:p w14:paraId="31A1DCCD" w14:textId="77777777" w:rsidR="00640D42" w:rsidRPr="006D50CA" w:rsidRDefault="00640D42" w:rsidP="004B0586">
            <w:pPr>
              <w:pStyle w:val="TeThHauoratablecontent"/>
              <w:framePr w:hSpace="0" w:wrap="auto" w:vAnchor="margin" w:hAnchor="text" w:yAlign="inline"/>
              <w:spacing w:line="276" w:lineRule="auto"/>
            </w:pPr>
            <w:r w:rsidRPr="006D50CA">
              <w:t>42 (48)</w:t>
            </w:r>
          </w:p>
        </w:tc>
        <w:tc>
          <w:tcPr>
            <w:tcW w:w="1136" w:type="dxa"/>
          </w:tcPr>
          <w:p w14:paraId="29A07971" w14:textId="77777777" w:rsidR="00640D42" w:rsidRPr="006D50CA" w:rsidRDefault="00640D42" w:rsidP="004B0586">
            <w:pPr>
              <w:pStyle w:val="TeThHauoratablecontent"/>
              <w:framePr w:hSpace="0" w:wrap="auto" w:vAnchor="margin" w:hAnchor="text" w:yAlign="inline"/>
              <w:spacing w:line="276" w:lineRule="auto"/>
            </w:pPr>
            <w:r w:rsidRPr="006D50CA">
              <w:t>51 (45)</w:t>
            </w:r>
          </w:p>
        </w:tc>
        <w:tc>
          <w:tcPr>
            <w:tcW w:w="1136" w:type="dxa"/>
          </w:tcPr>
          <w:p w14:paraId="0C5FBD25" w14:textId="77777777" w:rsidR="00640D42" w:rsidRPr="006D50CA" w:rsidRDefault="00640D42" w:rsidP="004B0586">
            <w:pPr>
              <w:pStyle w:val="TeThHauoratablecontent"/>
              <w:framePr w:hSpace="0" w:wrap="auto" w:vAnchor="margin" w:hAnchor="text" w:yAlign="inline"/>
              <w:spacing w:line="276" w:lineRule="auto"/>
            </w:pPr>
            <w:r w:rsidRPr="006D50CA">
              <w:t>43 (43)</w:t>
            </w:r>
          </w:p>
        </w:tc>
        <w:tc>
          <w:tcPr>
            <w:tcW w:w="1146" w:type="dxa"/>
          </w:tcPr>
          <w:p w14:paraId="4FE7E6CB" w14:textId="77777777" w:rsidR="00640D42" w:rsidRPr="006D50CA" w:rsidRDefault="00640D42" w:rsidP="004B0586">
            <w:pPr>
              <w:pStyle w:val="TeThHauoratablecontent"/>
              <w:framePr w:hSpace="0" w:wrap="auto" w:vAnchor="margin" w:hAnchor="text" w:yAlign="inline"/>
              <w:spacing w:line="276" w:lineRule="auto"/>
            </w:pPr>
            <w:r w:rsidRPr="006D50CA">
              <w:t>39 (41)</w:t>
            </w:r>
          </w:p>
        </w:tc>
      </w:tr>
      <w:tr w:rsidR="00640D42" w14:paraId="0974479F" w14:textId="77777777" w:rsidTr="00B80975">
        <w:trPr>
          <w:trHeight w:val="399"/>
        </w:trPr>
        <w:tc>
          <w:tcPr>
            <w:tcW w:w="2628" w:type="dxa"/>
          </w:tcPr>
          <w:p w14:paraId="7256EF06" w14:textId="77777777" w:rsidR="00640D42" w:rsidRPr="006D50CA" w:rsidRDefault="00640D42" w:rsidP="004B0586">
            <w:pPr>
              <w:pStyle w:val="TeThHauoratablecontent"/>
              <w:framePr w:hSpace="0" w:wrap="auto" w:vAnchor="margin" w:hAnchor="text" w:yAlign="inline"/>
              <w:tabs>
                <w:tab w:val="left" w:pos="357"/>
              </w:tabs>
              <w:spacing w:line="276" w:lineRule="auto"/>
            </w:pPr>
            <w:r w:rsidRPr="006D50CA">
              <w:t>Residual categories</w:t>
            </w:r>
          </w:p>
        </w:tc>
        <w:tc>
          <w:tcPr>
            <w:tcW w:w="1136" w:type="dxa"/>
          </w:tcPr>
          <w:p w14:paraId="0C1CA827" w14:textId="77777777" w:rsidR="00640D42" w:rsidRPr="006D50CA" w:rsidRDefault="00640D42" w:rsidP="004B0586">
            <w:pPr>
              <w:pStyle w:val="TeThHauoratablecontent"/>
              <w:framePr w:hSpace="0" w:wrap="auto" w:vAnchor="margin" w:hAnchor="text" w:yAlign="inline"/>
              <w:spacing w:line="276" w:lineRule="auto"/>
            </w:pPr>
            <w:r w:rsidRPr="006D50CA">
              <w:t>1 (1.7)</w:t>
            </w:r>
          </w:p>
        </w:tc>
        <w:tc>
          <w:tcPr>
            <w:tcW w:w="1136" w:type="dxa"/>
          </w:tcPr>
          <w:p w14:paraId="426B9418" w14:textId="77777777" w:rsidR="00640D42" w:rsidRPr="006D50CA" w:rsidRDefault="00640D42" w:rsidP="004B0586">
            <w:pPr>
              <w:pStyle w:val="TeThHauoratablecontent"/>
              <w:framePr w:hSpace="0" w:wrap="auto" w:vAnchor="margin" w:hAnchor="text" w:yAlign="inline"/>
              <w:spacing w:line="276" w:lineRule="auto"/>
            </w:pPr>
            <w:r w:rsidRPr="006D50CA">
              <w:t>2 (2.3)</w:t>
            </w:r>
          </w:p>
        </w:tc>
        <w:tc>
          <w:tcPr>
            <w:tcW w:w="1136" w:type="dxa"/>
          </w:tcPr>
          <w:p w14:paraId="341D31D7" w14:textId="77777777" w:rsidR="00640D42" w:rsidRPr="006D50CA" w:rsidRDefault="00640D42" w:rsidP="004B0586">
            <w:pPr>
              <w:pStyle w:val="TeThHauoratablecontent"/>
              <w:framePr w:hSpace="0" w:wrap="auto" w:vAnchor="margin" w:hAnchor="text" w:yAlign="inline"/>
              <w:spacing w:line="276" w:lineRule="auto"/>
            </w:pPr>
            <w:r w:rsidRPr="006D50CA">
              <w:t>0</w:t>
            </w:r>
          </w:p>
        </w:tc>
        <w:tc>
          <w:tcPr>
            <w:tcW w:w="1136" w:type="dxa"/>
          </w:tcPr>
          <w:p w14:paraId="5F0DC5C4" w14:textId="77777777" w:rsidR="00640D42" w:rsidRPr="006D50CA" w:rsidRDefault="00640D42" w:rsidP="004B0586">
            <w:pPr>
              <w:pStyle w:val="TeThHauoratablecontent"/>
              <w:framePr w:hSpace="0" w:wrap="auto" w:vAnchor="margin" w:hAnchor="text" w:yAlign="inline"/>
              <w:spacing w:line="276" w:lineRule="auto"/>
            </w:pPr>
            <w:r w:rsidRPr="006D50CA">
              <w:t>0</w:t>
            </w:r>
          </w:p>
        </w:tc>
        <w:tc>
          <w:tcPr>
            <w:tcW w:w="1146" w:type="dxa"/>
          </w:tcPr>
          <w:p w14:paraId="2E68E70A" w14:textId="77777777" w:rsidR="00640D42" w:rsidRPr="006D50CA" w:rsidRDefault="00640D42" w:rsidP="004B0586">
            <w:pPr>
              <w:pStyle w:val="TeThHauoratablecontent"/>
              <w:framePr w:hSpace="0" w:wrap="auto" w:vAnchor="margin" w:hAnchor="text" w:yAlign="inline"/>
              <w:spacing w:line="276" w:lineRule="auto"/>
            </w:pPr>
            <w:r w:rsidRPr="006D50CA">
              <w:t>1 (1.0)</w:t>
            </w:r>
          </w:p>
        </w:tc>
      </w:tr>
      <w:tr w:rsidR="00640D42" w14:paraId="71654D50" w14:textId="77777777" w:rsidTr="00B80975">
        <w:tc>
          <w:tcPr>
            <w:tcW w:w="2628" w:type="dxa"/>
          </w:tcPr>
          <w:p w14:paraId="4CEC6232" w14:textId="77777777" w:rsidR="00640D42" w:rsidRPr="006D50CA" w:rsidRDefault="00640D42" w:rsidP="004B0586">
            <w:pPr>
              <w:pStyle w:val="TeThHauoratablecontent"/>
              <w:framePr w:hSpace="0" w:wrap="auto" w:vAnchor="margin" w:hAnchor="text" w:yAlign="inline"/>
              <w:tabs>
                <w:tab w:val="left" w:pos="357"/>
              </w:tabs>
              <w:spacing w:line="276" w:lineRule="auto"/>
            </w:pPr>
            <w:r w:rsidRPr="006D50CA">
              <w:t>Other ethnicities</w:t>
            </w:r>
          </w:p>
        </w:tc>
        <w:tc>
          <w:tcPr>
            <w:tcW w:w="1136" w:type="dxa"/>
          </w:tcPr>
          <w:p w14:paraId="2380044A" w14:textId="77777777" w:rsidR="00640D42" w:rsidRPr="006D50CA" w:rsidRDefault="00640D42" w:rsidP="004B0586">
            <w:pPr>
              <w:pStyle w:val="TeThHauoratablecontent"/>
              <w:framePr w:hSpace="0" w:wrap="auto" w:vAnchor="margin" w:hAnchor="text" w:yAlign="inline"/>
              <w:spacing w:line="276" w:lineRule="auto"/>
            </w:pPr>
            <w:r w:rsidRPr="006D50CA">
              <w:t>0</w:t>
            </w:r>
          </w:p>
        </w:tc>
        <w:tc>
          <w:tcPr>
            <w:tcW w:w="1136" w:type="dxa"/>
          </w:tcPr>
          <w:p w14:paraId="0131427C" w14:textId="77777777" w:rsidR="00640D42" w:rsidRPr="006D50CA" w:rsidRDefault="00640D42" w:rsidP="004B0586">
            <w:pPr>
              <w:pStyle w:val="TeThHauoratablecontent"/>
              <w:framePr w:hSpace="0" w:wrap="auto" w:vAnchor="margin" w:hAnchor="text" w:yAlign="inline"/>
              <w:spacing w:line="276" w:lineRule="auto"/>
            </w:pPr>
            <w:r w:rsidRPr="006D50CA">
              <w:t>2 (2.3)</w:t>
            </w:r>
          </w:p>
        </w:tc>
        <w:tc>
          <w:tcPr>
            <w:tcW w:w="1136" w:type="dxa"/>
          </w:tcPr>
          <w:p w14:paraId="59D039FB" w14:textId="77777777" w:rsidR="00640D42" w:rsidRPr="006D50CA" w:rsidRDefault="00640D42" w:rsidP="004B0586">
            <w:pPr>
              <w:pStyle w:val="TeThHauoratablecontent"/>
              <w:framePr w:hSpace="0" w:wrap="auto" w:vAnchor="margin" w:hAnchor="text" w:yAlign="inline"/>
              <w:spacing w:line="276" w:lineRule="auto"/>
            </w:pPr>
            <w:r w:rsidRPr="006D50CA">
              <w:t xml:space="preserve">7 (6.1) </w:t>
            </w:r>
          </w:p>
        </w:tc>
        <w:tc>
          <w:tcPr>
            <w:tcW w:w="1136" w:type="dxa"/>
          </w:tcPr>
          <w:p w14:paraId="244D2F19" w14:textId="77777777" w:rsidR="00640D42" w:rsidRPr="006D50CA" w:rsidRDefault="00640D42" w:rsidP="004B0586">
            <w:pPr>
              <w:pStyle w:val="TeThHauoratablecontent"/>
              <w:framePr w:hSpace="0" w:wrap="auto" w:vAnchor="margin" w:hAnchor="text" w:yAlign="inline"/>
              <w:spacing w:line="276" w:lineRule="auto"/>
            </w:pPr>
            <w:r w:rsidRPr="006D50CA">
              <w:t>0</w:t>
            </w:r>
          </w:p>
        </w:tc>
        <w:tc>
          <w:tcPr>
            <w:tcW w:w="1146" w:type="dxa"/>
          </w:tcPr>
          <w:p w14:paraId="40149A03" w14:textId="77777777" w:rsidR="00640D42" w:rsidRPr="006D50CA" w:rsidRDefault="00640D42" w:rsidP="004B0586">
            <w:pPr>
              <w:pStyle w:val="TeThHauoratablecontent"/>
              <w:framePr w:hSpace="0" w:wrap="auto" w:vAnchor="margin" w:hAnchor="text" w:yAlign="inline"/>
              <w:spacing w:line="276" w:lineRule="auto"/>
            </w:pPr>
            <w:r w:rsidRPr="006D50CA">
              <w:t>1 (1.0)</w:t>
            </w:r>
          </w:p>
        </w:tc>
      </w:tr>
    </w:tbl>
    <w:p w14:paraId="5653E94D" w14:textId="77777777" w:rsidR="00640D42" w:rsidRDefault="00640D42" w:rsidP="004B0586">
      <w:pPr>
        <w:spacing w:after="0"/>
      </w:pPr>
    </w:p>
    <w:p w14:paraId="6C2A16E5" w14:textId="1647229D" w:rsidR="00640D42" w:rsidRDefault="00640D42" w:rsidP="004B0586">
      <w:r>
        <w:t>The percentages of Māori and Asian peoples identified in these numbers were higher than expected based on the percentage of Māori and Asian people by overall general population. It is also notable that the proportion of Pacific consumers identified within adverse events increased over the last 2 years.</w:t>
      </w:r>
    </w:p>
    <w:p w14:paraId="25BD4CEC" w14:textId="5FB3F719" w:rsidR="00640D42" w:rsidRDefault="00640D42" w:rsidP="004B0586">
      <w:pPr>
        <w:spacing w:after="200"/>
      </w:pPr>
      <w:r>
        <w:t xml:space="preserve">This echoes the findings of the </w:t>
      </w:r>
      <w:r w:rsidRPr="000E20D2">
        <w:rPr>
          <w:i/>
          <w:iCs/>
        </w:rPr>
        <w:t>Fifteenth Annual Report of the Perinatal and Maternal Mortality Review Committee</w:t>
      </w:r>
      <w:r w:rsidRPr="007F1900">
        <w:t xml:space="preserve"> (</w:t>
      </w:r>
      <w:r>
        <w:t>Health Quality &amp; Safety Commission 2022), which showed that Indian (Asian under level 1 ethnicity) and Pacific people</w:t>
      </w:r>
      <w:r w:rsidR="001A792C">
        <w:t>s</w:t>
      </w:r>
      <w:r>
        <w:t xml:space="preserve"> had higher rates of perinatal-related mortality than European</w:t>
      </w:r>
      <w:r w:rsidR="001A792C">
        <w:t>s</w:t>
      </w:r>
      <w:r>
        <w:t>. This annual report also showed that rates of stillbirths were higher for babies of Pacific and Indian people than for those of New Zealand European</w:t>
      </w:r>
      <w:r w:rsidR="001A792C">
        <w:t>s</w:t>
      </w:r>
      <w:r>
        <w:t xml:space="preserve"> and rates of neonatal deaths were higher for babies of Māori and Pacific people</w:t>
      </w:r>
      <w:r w:rsidR="001A792C">
        <w:t>s</w:t>
      </w:r>
      <w:r>
        <w:t xml:space="preserve"> than for those of </w:t>
      </w:r>
      <w:r w:rsidR="001A792C">
        <w:br/>
      </w:r>
      <w:r>
        <w:t>New Zealand European</w:t>
      </w:r>
      <w:r w:rsidR="001A792C">
        <w:t>s</w:t>
      </w:r>
      <w:r>
        <w:t xml:space="preserve">. </w:t>
      </w:r>
    </w:p>
    <w:p w14:paraId="6A3CCBC7" w14:textId="77777777" w:rsidR="00640D42" w:rsidRDefault="00640D42" w:rsidP="00E75D17">
      <w:pPr>
        <w:pStyle w:val="TeThHauorahead3"/>
      </w:pPr>
      <w:bookmarkStart w:id="19" w:name="_Toc155958934"/>
      <w:bookmarkStart w:id="20" w:name="_Toc160178694"/>
      <w:bookmarkStart w:id="21" w:name="_Toc161843064"/>
      <w:r>
        <w:t xml:space="preserve">Review </w:t>
      </w:r>
      <w:proofErr w:type="gramStart"/>
      <w:r w:rsidRPr="001A5323">
        <w:t>findings</w:t>
      </w:r>
      <w:bookmarkEnd w:id="19"/>
      <w:bookmarkEnd w:id="20"/>
      <w:bookmarkEnd w:id="21"/>
      <w:proofErr w:type="gramEnd"/>
    </w:p>
    <w:p w14:paraId="39628D86" w14:textId="77777777" w:rsidR="00640D42" w:rsidRDefault="00640D42" w:rsidP="004B0586">
      <w:pPr>
        <w:pStyle w:val="TeThHauorabodytext"/>
      </w:pPr>
      <w:r>
        <w:t>The 160 reports reviewed generated 275 findings, which were categorised using the SEIPS dimensions (Table 3).</w:t>
      </w:r>
    </w:p>
    <w:p w14:paraId="14DC2DAA" w14:textId="77777777" w:rsidR="00640D42" w:rsidRPr="006360ED" w:rsidRDefault="00640D42" w:rsidP="004B0586">
      <w:pPr>
        <w:pStyle w:val="Figuretableheading"/>
      </w:pPr>
      <w:r w:rsidRPr="006360ED">
        <w:t xml:space="preserve">Table 3: Number of findings identified using the SEIPS </w:t>
      </w:r>
      <w:proofErr w:type="gramStart"/>
      <w:r w:rsidRPr="006360ED">
        <w:t>framework</w:t>
      </w:r>
      <w:proofErr w:type="gramEnd"/>
    </w:p>
    <w:tbl>
      <w:tblPr>
        <w:tblStyle w:val="TableGrid"/>
        <w:tblW w:w="0" w:type="auto"/>
        <w:tblInd w:w="-5" w:type="dxa"/>
        <w:tblLook w:val="04A0" w:firstRow="1" w:lastRow="0" w:firstColumn="1" w:lastColumn="0" w:noHBand="0" w:noVBand="1"/>
      </w:tblPr>
      <w:tblGrid>
        <w:gridCol w:w="5670"/>
        <w:gridCol w:w="2268"/>
      </w:tblGrid>
      <w:tr w:rsidR="00640D42" w:rsidRPr="00C82B82" w14:paraId="1A6A99D4" w14:textId="77777777" w:rsidTr="00722568">
        <w:tc>
          <w:tcPr>
            <w:tcW w:w="5670" w:type="dxa"/>
            <w:tcBorders>
              <w:left w:val="nil"/>
            </w:tcBorders>
            <w:shd w:val="clear" w:color="auto" w:fill="F2F2F2" w:themeFill="background1" w:themeFillShade="F2"/>
          </w:tcPr>
          <w:p w14:paraId="5DD0A062" w14:textId="77777777" w:rsidR="00640D42" w:rsidRPr="009C2EB2" w:rsidRDefault="00640D42" w:rsidP="004B0586">
            <w:pPr>
              <w:spacing w:before="40" w:after="40"/>
              <w:rPr>
                <w:b/>
                <w:bCs/>
              </w:rPr>
            </w:pPr>
            <w:r w:rsidRPr="009C2EB2">
              <w:rPr>
                <w:b/>
                <w:bCs/>
              </w:rPr>
              <w:t>SEIPS elements</w:t>
            </w:r>
          </w:p>
        </w:tc>
        <w:tc>
          <w:tcPr>
            <w:tcW w:w="2268" w:type="dxa"/>
            <w:tcBorders>
              <w:right w:val="nil"/>
            </w:tcBorders>
            <w:shd w:val="clear" w:color="auto" w:fill="F2F2F2" w:themeFill="background1" w:themeFillShade="F2"/>
          </w:tcPr>
          <w:p w14:paraId="27A5B056" w14:textId="77777777" w:rsidR="00640D42" w:rsidRPr="009C2EB2" w:rsidRDefault="00640D42" w:rsidP="004B0586">
            <w:pPr>
              <w:spacing w:before="40" w:after="40"/>
              <w:jc w:val="center"/>
              <w:rPr>
                <w:b/>
                <w:bCs/>
              </w:rPr>
            </w:pPr>
            <w:r>
              <w:rPr>
                <w:b/>
                <w:bCs/>
              </w:rPr>
              <w:t>F</w:t>
            </w:r>
            <w:r w:rsidRPr="009C2EB2">
              <w:rPr>
                <w:b/>
                <w:bCs/>
              </w:rPr>
              <w:t>indings</w:t>
            </w:r>
          </w:p>
        </w:tc>
      </w:tr>
      <w:tr w:rsidR="00640D42" w:rsidRPr="00B21E3E" w14:paraId="062D80E7" w14:textId="77777777" w:rsidTr="00722568">
        <w:tc>
          <w:tcPr>
            <w:tcW w:w="5670" w:type="dxa"/>
            <w:tcBorders>
              <w:left w:val="nil"/>
            </w:tcBorders>
            <w:shd w:val="clear" w:color="auto" w:fill="F2F2F2" w:themeFill="background1" w:themeFillShade="F2"/>
          </w:tcPr>
          <w:p w14:paraId="069C118B" w14:textId="77777777" w:rsidR="00640D42" w:rsidRPr="00B21E3E" w:rsidRDefault="00640D42" w:rsidP="004B0586">
            <w:pPr>
              <w:spacing w:before="40" w:after="40"/>
            </w:pPr>
            <w:r w:rsidRPr="00B21E3E">
              <w:t>Person-focused factors</w:t>
            </w:r>
          </w:p>
        </w:tc>
        <w:tc>
          <w:tcPr>
            <w:tcW w:w="2268" w:type="dxa"/>
            <w:tcBorders>
              <w:right w:val="nil"/>
            </w:tcBorders>
            <w:shd w:val="clear" w:color="auto" w:fill="F2F2F2" w:themeFill="background1" w:themeFillShade="F2"/>
          </w:tcPr>
          <w:p w14:paraId="2C59A577" w14:textId="77777777" w:rsidR="00640D42" w:rsidRPr="00B21E3E" w:rsidRDefault="00640D42" w:rsidP="004B0586">
            <w:pPr>
              <w:spacing w:before="40" w:after="40"/>
              <w:jc w:val="center"/>
            </w:pPr>
          </w:p>
        </w:tc>
      </w:tr>
      <w:tr w:rsidR="00640D42" w:rsidRPr="00B21E3E" w14:paraId="04F3179B" w14:textId="77777777" w:rsidTr="001A792C">
        <w:tc>
          <w:tcPr>
            <w:tcW w:w="5670" w:type="dxa"/>
            <w:tcBorders>
              <w:left w:val="nil"/>
            </w:tcBorders>
          </w:tcPr>
          <w:p w14:paraId="1AB6DA03" w14:textId="77777777" w:rsidR="00640D42" w:rsidRPr="00B21E3E" w:rsidRDefault="00640D42" w:rsidP="004B0586">
            <w:pPr>
              <w:tabs>
                <w:tab w:val="left" w:pos="357"/>
              </w:tabs>
              <w:spacing w:before="60" w:after="60"/>
            </w:pPr>
            <w:r w:rsidRPr="00B21E3E">
              <w:tab/>
              <w:t>Clinician-focused failures in care (active failures)</w:t>
            </w:r>
          </w:p>
        </w:tc>
        <w:tc>
          <w:tcPr>
            <w:tcW w:w="2268" w:type="dxa"/>
            <w:tcBorders>
              <w:right w:val="nil"/>
            </w:tcBorders>
          </w:tcPr>
          <w:p w14:paraId="73D6727D" w14:textId="77777777" w:rsidR="00640D42" w:rsidRPr="00B21E3E" w:rsidRDefault="00640D42" w:rsidP="001A792C">
            <w:pPr>
              <w:spacing w:before="40" w:after="40"/>
              <w:jc w:val="center"/>
            </w:pPr>
            <w:r w:rsidRPr="00B21E3E">
              <w:t>89</w:t>
            </w:r>
          </w:p>
        </w:tc>
      </w:tr>
      <w:tr w:rsidR="00640D42" w:rsidRPr="00B21E3E" w14:paraId="57F809E6" w14:textId="77777777" w:rsidTr="001A792C">
        <w:tc>
          <w:tcPr>
            <w:tcW w:w="5670" w:type="dxa"/>
            <w:tcBorders>
              <w:left w:val="nil"/>
            </w:tcBorders>
          </w:tcPr>
          <w:p w14:paraId="7CDD41E3" w14:textId="77777777" w:rsidR="00640D42" w:rsidRPr="00B21E3E" w:rsidRDefault="00640D42" w:rsidP="004B0586">
            <w:pPr>
              <w:tabs>
                <w:tab w:val="left" w:pos="357"/>
              </w:tabs>
              <w:spacing w:before="60" w:after="60"/>
            </w:pPr>
            <w:r w:rsidRPr="00B21E3E">
              <w:tab/>
              <w:t>Policy/guideline not followed/met</w:t>
            </w:r>
          </w:p>
        </w:tc>
        <w:tc>
          <w:tcPr>
            <w:tcW w:w="2268" w:type="dxa"/>
            <w:tcBorders>
              <w:right w:val="nil"/>
            </w:tcBorders>
          </w:tcPr>
          <w:p w14:paraId="4F35A497" w14:textId="77777777" w:rsidR="00640D42" w:rsidRPr="00B21E3E" w:rsidRDefault="00640D42" w:rsidP="001A792C">
            <w:pPr>
              <w:spacing w:before="40" w:after="40"/>
              <w:jc w:val="center"/>
            </w:pPr>
            <w:r w:rsidRPr="00B21E3E">
              <w:t>35</w:t>
            </w:r>
          </w:p>
        </w:tc>
      </w:tr>
      <w:tr w:rsidR="00640D42" w:rsidRPr="00B21E3E" w14:paraId="7B228819" w14:textId="77777777" w:rsidTr="001A792C">
        <w:tc>
          <w:tcPr>
            <w:tcW w:w="5670" w:type="dxa"/>
            <w:tcBorders>
              <w:left w:val="nil"/>
            </w:tcBorders>
          </w:tcPr>
          <w:p w14:paraId="61A09C9C" w14:textId="77777777" w:rsidR="00640D42" w:rsidRPr="00B21E3E" w:rsidRDefault="00640D42" w:rsidP="004B0586">
            <w:pPr>
              <w:tabs>
                <w:tab w:val="left" w:pos="357"/>
              </w:tabs>
              <w:spacing w:before="60" w:after="60"/>
            </w:pPr>
            <w:r w:rsidRPr="00B21E3E">
              <w:tab/>
              <w:t>Delay in recognition/provision of care</w:t>
            </w:r>
          </w:p>
        </w:tc>
        <w:tc>
          <w:tcPr>
            <w:tcW w:w="2268" w:type="dxa"/>
            <w:tcBorders>
              <w:right w:val="nil"/>
            </w:tcBorders>
          </w:tcPr>
          <w:p w14:paraId="69A507A1" w14:textId="77777777" w:rsidR="00640D42" w:rsidRPr="00B21E3E" w:rsidRDefault="00640D42" w:rsidP="001A792C">
            <w:pPr>
              <w:spacing w:before="40" w:after="40"/>
              <w:jc w:val="center"/>
            </w:pPr>
            <w:r w:rsidRPr="00B21E3E">
              <w:t>30</w:t>
            </w:r>
          </w:p>
        </w:tc>
      </w:tr>
      <w:tr w:rsidR="00640D42" w:rsidRPr="00B21E3E" w14:paraId="0449EDB1" w14:textId="77777777" w:rsidTr="001A792C">
        <w:tc>
          <w:tcPr>
            <w:tcW w:w="5670" w:type="dxa"/>
            <w:tcBorders>
              <w:left w:val="nil"/>
            </w:tcBorders>
          </w:tcPr>
          <w:p w14:paraId="76CC1466" w14:textId="77777777" w:rsidR="00640D42" w:rsidRPr="00B21E3E" w:rsidRDefault="00640D42" w:rsidP="004B0586">
            <w:pPr>
              <w:tabs>
                <w:tab w:val="left" w:pos="357"/>
              </w:tabs>
              <w:spacing w:before="60" w:after="60"/>
              <w:ind w:left="357" w:hanging="357"/>
            </w:pPr>
            <w:r w:rsidRPr="00B21E3E">
              <w:tab/>
              <w:t>Communication-specific factors (verbal or written)</w:t>
            </w:r>
          </w:p>
        </w:tc>
        <w:tc>
          <w:tcPr>
            <w:tcW w:w="2268" w:type="dxa"/>
            <w:tcBorders>
              <w:right w:val="nil"/>
            </w:tcBorders>
          </w:tcPr>
          <w:p w14:paraId="0E378DDC" w14:textId="77777777" w:rsidR="00640D42" w:rsidRPr="00B21E3E" w:rsidRDefault="00640D42" w:rsidP="001A792C">
            <w:pPr>
              <w:spacing w:before="40" w:after="40"/>
              <w:jc w:val="center"/>
            </w:pPr>
            <w:r w:rsidRPr="00B21E3E">
              <w:t>25</w:t>
            </w:r>
          </w:p>
        </w:tc>
      </w:tr>
      <w:tr w:rsidR="00640D42" w:rsidRPr="00B21E3E" w14:paraId="47173ABC" w14:textId="77777777" w:rsidTr="001A792C">
        <w:tc>
          <w:tcPr>
            <w:tcW w:w="5670" w:type="dxa"/>
            <w:tcBorders>
              <w:left w:val="nil"/>
            </w:tcBorders>
          </w:tcPr>
          <w:p w14:paraId="23305EB1" w14:textId="77777777" w:rsidR="00640D42" w:rsidRPr="00B21E3E" w:rsidRDefault="00640D42" w:rsidP="004B0586">
            <w:pPr>
              <w:tabs>
                <w:tab w:val="left" w:pos="357"/>
              </w:tabs>
              <w:spacing w:before="60" w:after="60"/>
            </w:pPr>
            <w:r w:rsidRPr="00B21E3E">
              <w:tab/>
            </w:r>
            <w:r>
              <w:t>Pregnant woman and birthing people</w:t>
            </w:r>
            <w:r w:rsidRPr="00B21E3E">
              <w:t xml:space="preserve"> focused </w:t>
            </w:r>
          </w:p>
        </w:tc>
        <w:tc>
          <w:tcPr>
            <w:tcW w:w="2268" w:type="dxa"/>
            <w:tcBorders>
              <w:right w:val="nil"/>
            </w:tcBorders>
          </w:tcPr>
          <w:p w14:paraId="11AD7968" w14:textId="77777777" w:rsidR="00640D42" w:rsidRPr="00B21E3E" w:rsidRDefault="00640D42" w:rsidP="001A792C">
            <w:pPr>
              <w:spacing w:before="40" w:after="40"/>
              <w:jc w:val="center"/>
            </w:pPr>
            <w:r w:rsidRPr="00B21E3E">
              <w:t>7</w:t>
            </w:r>
          </w:p>
        </w:tc>
      </w:tr>
      <w:tr w:rsidR="00640D42" w:rsidRPr="00B21E3E" w14:paraId="2FA8495C" w14:textId="77777777" w:rsidTr="001A792C">
        <w:tc>
          <w:tcPr>
            <w:tcW w:w="5670" w:type="dxa"/>
            <w:tcBorders>
              <w:left w:val="nil"/>
            </w:tcBorders>
          </w:tcPr>
          <w:p w14:paraId="613521BA" w14:textId="77777777" w:rsidR="00640D42" w:rsidRPr="00B21E3E" w:rsidRDefault="00640D42" w:rsidP="004B0586">
            <w:pPr>
              <w:tabs>
                <w:tab w:val="left" w:pos="357"/>
              </w:tabs>
              <w:spacing w:before="60" w:after="60"/>
              <w:ind w:left="357" w:hanging="357"/>
            </w:pPr>
            <w:r w:rsidRPr="00B21E3E">
              <w:tab/>
              <w:t>Final review found no findings as care was delivered well or as per requirements</w:t>
            </w:r>
          </w:p>
        </w:tc>
        <w:tc>
          <w:tcPr>
            <w:tcW w:w="2268" w:type="dxa"/>
            <w:tcBorders>
              <w:right w:val="nil"/>
            </w:tcBorders>
          </w:tcPr>
          <w:p w14:paraId="4E5BB7D5" w14:textId="77777777" w:rsidR="00640D42" w:rsidRPr="00B21E3E" w:rsidRDefault="00640D42" w:rsidP="001A792C">
            <w:pPr>
              <w:spacing w:before="40" w:after="40"/>
              <w:jc w:val="center"/>
            </w:pPr>
            <w:r w:rsidRPr="00B21E3E">
              <w:t>29</w:t>
            </w:r>
          </w:p>
        </w:tc>
      </w:tr>
      <w:tr w:rsidR="00640D42" w:rsidRPr="00B21E3E" w14:paraId="5728756E" w14:textId="77777777" w:rsidTr="001A792C">
        <w:tc>
          <w:tcPr>
            <w:tcW w:w="5670" w:type="dxa"/>
            <w:tcBorders>
              <w:left w:val="nil"/>
            </w:tcBorders>
            <w:shd w:val="clear" w:color="auto" w:fill="F2F2F2" w:themeFill="background1" w:themeFillShade="F2"/>
          </w:tcPr>
          <w:p w14:paraId="6613263C" w14:textId="77777777" w:rsidR="00640D42" w:rsidRPr="00B21E3E" w:rsidRDefault="00640D42" w:rsidP="004B0586">
            <w:pPr>
              <w:spacing w:before="40" w:after="40"/>
            </w:pPr>
            <w:r w:rsidRPr="00B21E3E">
              <w:t>Technology and tools</w:t>
            </w:r>
          </w:p>
        </w:tc>
        <w:tc>
          <w:tcPr>
            <w:tcW w:w="2268" w:type="dxa"/>
            <w:tcBorders>
              <w:right w:val="nil"/>
            </w:tcBorders>
            <w:shd w:val="clear" w:color="auto" w:fill="F2F2F2" w:themeFill="background1" w:themeFillShade="F2"/>
          </w:tcPr>
          <w:p w14:paraId="07AEC782" w14:textId="77777777" w:rsidR="00640D42" w:rsidRPr="00B21E3E" w:rsidRDefault="00640D42" w:rsidP="001A792C">
            <w:pPr>
              <w:spacing w:before="40" w:after="40"/>
              <w:jc w:val="center"/>
            </w:pPr>
          </w:p>
        </w:tc>
      </w:tr>
      <w:tr w:rsidR="00640D42" w:rsidRPr="00B21E3E" w14:paraId="2C6A608F" w14:textId="77777777" w:rsidTr="001A792C">
        <w:tc>
          <w:tcPr>
            <w:tcW w:w="5670" w:type="dxa"/>
            <w:tcBorders>
              <w:left w:val="nil"/>
            </w:tcBorders>
            <w:shd w:val="clear" w:color="auto" w:fill="auto"/>
          </w:tcPr>
          <w:p w14:paraId="462DE76F" w14:textId="77777777" w:rsidR="00640D42" w:rsidRPr="00B21E3E" w:rsidRDefault="00640D42" w:rsidP="004B0586">
            <w:pPr>
              <w:tabs>
                <w:tab w:val="left" w:pos="357"/>
              </w:tabs>
              <w:spacing w:before="60" w:after="60"/>
            </w:pPr>
            <w:r w:rsidRPr="00B21E3E">
              <w:tab/>
              <w:t>Availability/use of equipment/tools</w:t>
            </w:r>
          </w:p>
        </w:tc>
        <w:tc>
          <w:tcPr>
            <w:tcW w:w="2268" w:type="dxa"/>
            <w:tcBorders>
              <w:right w:val="nil"/>
            </w:tcBorders>
            <w:shd w:val="clear" w:color="auto" w:fill="auto"/>
          </w:tcPr>
          <w:p w14:paraId="6A146B6F" w14:textId="77777777" w:rsidR="00640D42" w:rsidRPr="00B21E3E" w:rsidRDefault="00640D42" w:rsidP="001A792C">
            <w:pPr>
              <w:spacing w:before="40" w:after="40"/>
              <w:jc w:val="center"/>
            </w:pPr>
            <w:r w:rsidRPr="00B21E3E">
              <w:t>6</w:t>
            </w:r>
          </w:p>
        </w:tc>
      </w:tr>
      <w:tr w:rsidR="00640D42" w:rsidRPr="00B21E3E" w14:paraId="548E6205" w14:textId="77777777" w:rsidTr="001A792C">
        <w:tc>
          <w:tcPr>
            <w:tcW w:w="5670" w:type="dxa"/>
            <w:tcBorders>
              <w:left w:val="nil"/>
            </w:tcBorders>
            <w:shd w:val="clear" w:color="auto" w:fill="F2F2F2" w:themeFill="background1" w:themeFillShade="F2"/>
          </w:tcPr>
          <w:p w14:paraId="0807229F" w14:textId="77777777" w:rsidR="00640D42" w:rsidRPr="00B21E3E" w:rsidRDefault="00640D42" w:rsidP="004B0586">
            <w:pPr>
              <w:spacing w:before="40" w:after="40"/>
            </w:pPr>
            <w:r w:rsidRPr="00B21E3E">
              <w:t>Task factors</w:t>
            </w:r>
          </w:p>
        </w:tc>
        <w:tc>
          <w:tcPr>
            <w:tcW w:w="2268" w:type="dxa"/>
            <w:tcBorders>
              <w:right w:val="nil"/>
            </w:tcBorders>
            <w:shd w:val="clear" w:color="auto" w:fill="F2F2F2" w:themeFill="background1" w:themeFillShade="F2"/>
          </w:tcPr>
          <w:p w14:paraId="14C7EAFB" w14:textId="77777777" w:rsidR="00640D42" w:rsidRPr="00B21E3E" w:rsidRDefault="00640D42" w:rsidP="001A792C">
            <w:pPr>
              <w:spacing w:before="40" w:after="40"/>
              <w:jc w:val="center"/>
            </w:pPr>
          </w:p>
        </w:tc>
      </w:tr>
      <w:tr w:rsidR="00640D42" w:rsidRPr="00B21E3E" w14:paraId="5EF01A9E" w14:textId="77777777" w:rsidTr="001A792C">
        <w:tc>
          <w:tcPr>
            <w:tcW w:w="5670" w:type="dxa"/>
            <w:tcBorders>
              <w:left w:val="nil"/>
            </w:tcBorders>
          </w:tcPr>
          <w:p w14:paraId="7553348D" w14:textId="77777777" w:rsidR="00640D42" w:rsidRPr="00B21E3E" w:rsidRDefault="00640D42" w:rsidP="004B0586">
            <w:pPr>
              <w:tabs>
                <w:tab w:val="left" w:pos="357"/>
              </w:tabs>
              <w:spacing w:before="60" w:after="60"/>
            </w:pPr>
            <w:r w:rsidRPr="00B21E3E">
              <w:tab/>
              <w:t>Demand vs capacity (workload/workforce issues)</w:t>
            </w:r>
          </w:p>
        </w:tc>
        <w:tc>
          <w:tcPr>
            <w:tcW w:w="2268" w:type="dxa"/>
            <w:tcBorders>
              <w:right w:val="nil"/>
            </w:tcBorders>
          </w:tcPr>
          <w:p w14:paraId="14140427" w14:textId="77777777" w:rsidR="00640D42" w:rsidRPr="00B21E3E" w:rsidRDefault="00640D42" w:rsidP="001A792C">
            <w:pPr>
              <w:spacing w:before="40" w:after="40"/>
              <w:jc w:val="center"/>
            </w:pPr>
            <w:r w:rsidRPr="00B21E3E">
              <w:t>15</w:t>
            </w:r>
          </w:p>
        </w:tc>
      </w:tr>
      <w:tr w:rsidR="00640D42" w:rsidRPr="00B21E3E" w14:paraId="44E5EAD2" w14:textId="77777777" w:rsidTr="001A792C">
        <w:tc>
          <w:tcPr>
            <w:tcW w:w="5670" w:type="dxa"/>
            <w:tcBorders>
              <w:left w:val="nil"/>
            </w:tcBorders>
          </w:tcPr>
          <w:p w14:paraId="3C3A000E" w14:textId="77777777" w:rsidR="00640D42" w:rsidRPr="00B21E3E" w:rsidRDefault="00640D42" w:rsidP="004B0586">
            <w:pPr>
              <w:tabs>
                <w:tab w:val="left" w:pos="357"/>
              </w:tabs>
              <w:spacing w:before="60" w:after="60"/>
            </w:pPr>
            <w:r w:rsidRPr="00B21E3E">
              <w:tab/>
              <w:t>Complexity</w:t>
            </w:r>
            <w:r>
              <w:t xml:space="preserve"> of</w:t>
            </w:r>
            <w:r w:rsidRPr="00B21E3E">
              <w:t xml:space="preserve"> task</w:t>
            </w:r>
          </w:p>
        </w:tc>
        <w:tc>
          <w:tcPr>
            <w:tcW w:w="2268" w:type="dxa"/>
            <w:tcBorders>
              <w:right w:val="nil"/>
            </w:tcBorders>
          </w:tcPr>
          <w:p w14:paraId="1820FF11" w14:textId="77777777" w:rsidR="00640D42" w:rsidRPr="00B21E3E" w:rsidRDefault="00640D42" w:rsidP="001A792C">
            <w:pPr>
              <w:spacing w:before="40" w:after="40"/>
              <w:jc w:val="center"/>
            </w:pPr>
            <w:r w:rsidRPr="00B21E3E">
              <w:t>3</w:t>
            </w:r>
          </w:p>
        </w:tc>
      </w:tr>
      <w:tr w:rsidR="00640D42" w:rsidRPr="00B21E3E" w14:paraId="52E046F6" w14:textId="77777777" w:rsidTr="001A792C">
        <w:tc>
          <w:tcPr>
            <w:tcW w:w="5670" w:type="dxa"/>
            <w:tcBorders>
              <w:left w:val="nil"/>
            </w:tcBorders>
          </w:tcPr>
          <w:p w14:paraId="436E443E" w14:textId="77777777" w:rsidR="00640D42" w:rsidRPr="00B21E3E" w:rsidRDefault="00640D42" w:rsidP="004B0586">
            <w:pPr>
              <w:tabs>
                <w:tab w:val="left" w:pos="357"/>
              </w:tabs>
              <w:spacing w:before="60" w:after="60"/>
            </w:pPr>
            <w:r w:rsidRPr="00B21E3E">
              <w:tab/>
              <w:t>Other task-related factors</w:t>
            </w:r>
          </w:p>
        </w:tc>
        <w:tc>
          <w:tcPr>
            <w:tcW w:w="2268" w:type="dxa"/>
            <w:tcBorders>
              <w:right w:val="nil"/>
            </w:tcBorders>
          </w:tcPr>
          <w:p w14:paraId="783CE313" w14:textId="77777777" w:rsidR="00640D42" w:rsidRPr="00B21E3E" w:rsidRDefault="00640D42" w:rsidP="001A792C">
            <w:pPr>
              <w:spacing w:before="40" w:after="40"/>
              <w:jc w:val="center"/>
            </w:pPr>
            <w:r w:rsidRPr="00B21E3E">
              <w:t>8</w:t>
            </w:r>
          </w:p>
        </w:tc>
      </w:tr>
      <w:tr w:rsidR="00640D42" w:rsidRPr="00B21E3E" w14:paraId="594D1548" w14:textId="77777777" w:rsidTr="001A792C">
        <w:tc>
          <w:tcPr>
            <w:tcW w:w="5670" w:type="dxa"/>
            <w:tcBorders>
              <w:left w:val="nil"/>
            </w:tcBorders>
            <w:shd w:val="clear" w:color="auto" w:fill="F2F2F2" w:themeFill="background1" w:themeFillShade="F2"/>
          </w:tcPr>
          <w:p w14:paraId="010F3D56" w14:textId="77777777" w:rsidR="00640D42" w:rsidRPr="00B21E3E" w:rsidRDefault="00640D42" w:rsidP="004B0586">
            <w:pPr>
              <w:spacing w:before="40" w:after="40"/>
            </w:pPr>
            <w:r w:rsidRPr="00B21E3E">
              <w:t>Internal environment</w:t>
            </w:r>
          </w:p>
        </w:tc>
        <w:tc>
          <w:tcPr>
            <w:tcW w:w="2268" w:type="dxa"/>
            <w:tcBorders>
              <w:right w:val="nil"/>
            </w:tcBorders>
            <w:shd w:val="clear" w:color="auto" w:fill="F2F2F2" w:themeFill="background1" w:themeFillShade="F2"/>
          </w:tcPr>
          <w:p w14:paraId="40B0CA48" w14:textId="77777777" w:rsidR="00640D42" w:rsidRPr="00B21E3E" w:rsidRDefault="00640D42" w:rsidP="001A792C">
            <w:pPr>
              <w:spacing w:before="40" w:after="40"/>
              <w:jc w:val="center"/>
            </w:pPr>
          </w:p>
        </w:tc>
      </w:tr>
      <w:tr w:rsidR="00640D42" w:rsidRPr="00B21E3E" w14:paraId="2F6FC45E" w14:textId="77777777" w:rsidTr="001A792C">
        <w:tc>
          <w:tcPr>
            <w:tcW w:w="5670" w:type="dxa"/>
            <w:tcBorders>
              <w:left w:val="nil"/>
            </w:tcBorders>
            <w:shd w:val="clear" w:color="auto" w:fill="auto"/>
          </w:tcPr>
          <w:p w14:paraId="7D364A63" w14:textId="77777777" w:rsidR="00640D42" w:rsidRPr="00B21E3E" w:rsidRDefault="00640D42" w:rsidP="004B0586">
            <w:pPr>
              <w:tabs>
                <w:tab w:val="left" w:pos="357"/>
              </w:tabs>
              <w:spacing w:before="60" w:after="60"/>
            </w:pPr>
            <w:r w:rsidRPr="00B21E3E">
              <w:tab/>
              <w:t>Distance disrupting care (layout)</w:t>
            </w:r>
          </w:p>
        </w:tc>
        <w:tc>
          <w:tcPr>
            <w:tcW w:w="2268" w:type="dxa"/>
            <w:tcBorders>
              <w:right w:val="nil"/>
            </w:tcBorders>
            <w:shd w:val="clear" w:color="auto" w:fill="auto"/>
          </w:tcPr>
          <w:p w14:paraId="26D0B300" w14:textId="77777777" w:rsidR="00640D42" w:rsidRPr="00B21E3E" w:rsidRDefault="00640D42" w:rsidP="001A792C">
            <w:pPr>
              <w:spacing w:before="40" w:after="40"/>
              <w:jc w:val="center"/>
            </w:pPr>
            <w:r w:rsidRPr="00B21E3E">
              <w:t>3</w:t>
            </w:r>
          </w:p>
        </w:tc>
      </w:tr>
      <w:tr w:rsidR="00640D42" w:rsidRPr="00B21E3E" w14:paraId="2AF28AD3" w14:textId="77777777" w:rsidTr="001A792C">
        <w:tc>
          <w:tcPr>
            <w:tcW w:w="5670" w:type="dxa"/>
            <w:tcBorders>
              <w:left w:val="nil"/>
            </w:tcBorders>
            <w:shd w:val="clear" w:color="auto" w:fill="auto"/>
          </w:tcPr>
          <w:p w14:paraId="6DCD1AEB" w14:textId="77777777" w:rsidR="00640D42" w:rsidRPr="00B21E3E" w:rsidRDefault="00640D42" w:rsidP="004B0586">
            <w:pPr>
              <w:tabs>
                <w:tab w:val="left" w:pos="357"/>
              </w:tabs>
              <w:spacing w:before="60" w:after="60"/>
            </w:pPr>
            <w:r w:rsidRPr="00B21E3E">
              <w:tab/>
              <w:t>Lack of available services</w:t>
            </w:r>
          </w:p>
        </w:tc>
        <w:tc>
          <w:tcPr>
            <w:tcW w:w="2268" w:type="dxa"/>
            <w:tcBorders>
              <w:right w:val="nil"/>
            </w:tcBorders>
            <w:shd w:val="clear" w:color="auto" w:fill="auto"/>
          </w:tcPr>
          <w:p w14:paraId="708EA23A" w14:textId="77777777" w:rsidR="00640D42" w:rsidRPr="00B21E3E" w:rsidRDefault="00640D42" w:rsidP="001A792C">
            <w:pPr>
              <w:spacing w:before="40" w:after="40"/>
              <w:jc w:val="center"/>
            </w:pPr>
            <w:r w:rsidRPr="00B21E3E">
              <w:t>3</w:t>
            </w:r>
          </w:p>
        </w:tc>
      </w:tr>
      <w:tr w:rsidR="00640D42" w:rsidRPr="00B21E3E" w14:paraId="16E72CA5" w14:textId="77777777" w:rsidTr="001A792C">
        <w:tc>
          <w:tcPr>
            <w:tcW w:w="5670" w:type="dxa"/>
            <w:tcBorders>
              <w:left w:val="nil"/>
            </w:tcBorders>
            <w:shd w:val="clear" w:color="auto" w:fill="auto"/>
          </w:tcPr>
          <w:p w14:paraId="35C48EF4" w14:textId="77777777" w:rsidR="00640D42" w:rsidRPr="00B21E3E" w:rsidRDefault="00640D42" w:rsidP="004B0586">
            <w:pPr>
              <w:tabs>
                <w:tab w:val="left" w:pos="357"/>
              </w:tabs>
              <w:spacing w:before="60" w:after="60"/>
            </w:pPr>
            <w:r w:rsidRPr="00B21E3E">
              <w:tab/>
              <w:t>Environmental factors</w:t>
            </w:r>
          </w:p>
        </w:tc>
        <w:tc>
          <w:tcPr>
            <w:tcW w:w="2268" w:type="dxa"/>
            <w:tcBorders>
              <w:right w:val="nil"/>
            </w:tcBorders>
            <w:shd w:val="clear" w:color="auto" w:fill="auto"/>
          </w:tcPr>
          <w:p w14:paraId="50ACF95C" w14:textId="77777777" w:rsidR="00640D42" w:rsidRPr="00B21E3E" w:rsidRDefault="00640D42" w:rsidP="001A792C">
            <w:pPr>
              <w:spacing w:before="40" w:after="40"/>
              <w:jc w:val="center"/>
            </w:pPr>
            <w:r w:rsidRPr="00B21E3E">
              <w:t>2</w:t>
            </w:r>
          </w:p>
        </w:tc>
      </w:tr>
      <w:tr w:rsidR="00640D42" w:rsidRPr="00B21E3E" w14:paraId="77F3440F" w14:textId="77777777" w:rsidTr="001A792C">
        <w:tc>
          <w:tcPr>
            <w:tcW w:w="5670" w:type="dxa"/>
            <w:tcBorders>
              <w:left w:val="nil"/>
            </w:tcBorders>
            <w:shd w:val="clear" w:color="auto" w:fill="F2F2F2" w:themeFill="background1" w:themeFillShade="F2"/>
          </w:tcPr>
          <w:p w14:paraId="3DA870D6" w14:textId="77777777" w:rsidR="00640D42" w:rsidRPr="00B21E3E" w:rsidRDefault="00640D42" w:rsidP="004B0586">
            <w:pPr>
              <w:spacing w:before="40" w:after="40"/>
            </w:pPr>
            <w:r w:rsidRPr="00B21E3E">
              <w:t xml:space="preserve">Organisation </w:t>
            </w:r>
          </w:p>
        </w:tc>
        <w:tc>
          <w:tcPr>
            <w:tcW w:w="2268" w:type="dxa"/>
            <w:tcBorders>
              <w:right w:val="nil"/>
            </w:tcBorders>
            <w:shd w:val="clear" w:color="auto" w:fill="F2F2F2" w:themeFill="background1" w:themeFillShade="F2"/>
          </w:tcPr>
          <w:p w14:paraId="01FD92BE" w14:textId="77777777" w:rsidR="00640D42" w:rsidRPr="00B21E3E" w:rsidRDefault="00640D42" w:rsidP="001A792C">
            <w:pPr>
              <w:spacing w:before="40" w:after="40"/>
              <w:jc w:val="center"/>
            </w:pPr>
          </w:p>
        </w:tc>
      </w:tr>
      <w:tr w:rsidR="00640D42" w:rsidRPr="009C2EB2" w14:paraId="74687918" w14:textId="77777777" w:rsidTr="001A792C">
        <w:tc>
          <w:tcPr>
            <w:tcW w:w="5670" w:type="dxa"/>
            <w:tcBorders>
              <w:left w:val="nil"/>
            </w:tcBorders>
            <w:shd w:val="clear" w:color="auto" w:fill="auto"/>
          </w:tcPr>
          <w:p w14:paraId="4A86E6C4" w14:textId="77777777" w:rsidR="00640D42" w:rsidRPr="009C2EB2" w:rsidRDefault="00640D42" w:rsidP="004B0586">
            <w:pPr>
              <w:tabs>
                <w:tab w:val="left" w:pos="357"/>
              </w:tabs>
              <w:spacing w:before="60" w:after="60"/>
              <w:ind w:left="357" w:hanging="357"/>
            </w:pPr>
            <w:r>
              <w:tab/>
            </w:r>
            <w:r w:rsidRPr="009C2EB2">
              <w:t>Process issues (pathways and policies not available)</w:t>
            </w:r>
          </w:p>
        </w:tc>
        <w:tc>
          <w:tcPr>
            <w:tcW w:w="2268" w:type="dxa"/>
            <w:tcBorders>
              <w:right w:val="nil"/>
            </w:tcBorders>
            <w:shd w:val="clear" w:color="auto" w:fill="auto"/>
          </w:tcPr>
          <w:p w14:paraId="344FCC96" w14:textId="77777777" w:rsidR="00640D42" w:rsidRPr="009C2EB2" w:rsidRDefault="00640D42" w:rsidP="001A792C">
            <w:pPr>
              <w:spacing w:before="40" w:after="40"/>
              <w:jc w:val="center"/>
            </w:pPr>
            <w:r w:rsidRPr="009C2EB2">
              <w:t>13</w:t>
            </w:r>
          </w:p>
        </w:tc>
      </w:tr>
      <w:tr w:rsidR="00640D42" w:rsidRPr="009C2EB2" w14:paraId="47EC5CDB" w14:textId="77777777" w:rsidTr="001A792C">
        <w:tc>
          <w:tcPr>
            <w:tcW w:w="5670" w:type="dxa"/>
            <w:tcBorders>
              <w:left w:val="nil"/>
            </w:tcBorders>
            <w:shd w:val="clear" w:color="auto" w:fill="auto"/>
          </w:tcPr>
          <w:p w14:paraId="66FA8F6B" w14:textId="77777777" w:rsidR="00640D42" w:rsidRPr="009C2EB2" w:rsidRDefault="00640D42" w:rsidP="004B0586">
            <w:pPr>
              <w:tabs>
                <w:tab w:val="left" w:pos="357"/>
              </w:tabs>
              <w:spacing w:before="60" w:after="60"/>
            </w:pPr>
            <w:r>
              <w:tab/>
            </w:r>
            <w:r w:rsidRPr="009C2EB2">
              <w:t>Other organisational factors</w:t>
            </w:r>
          </w:p>
        </w:tc>
        <w:tc>
          <w:tcPr>
            <w:tcW w:w="2268" w:type="dxa"/>
            <w:tcBorders>
              <w:right w:val="nil"/>
            </w:tcBorders>
            <w:shd w:val="clear" w:color="auto" w:fill="auto"/>
          </w:tcPr>
          <w:p w14:paraId="355CE5E5" w14:textId="77777777" w:rsidR="00640D42" w:rsidRPr="009C2EB2" w:rsidRDefault="00640D42" w:rsidP="001A792C">
            <w:pPr>
              <w:spacing w:before="40" w:after="40"/>
              <w:jc w:val="center"/>
            </w:pPr>
            <w:r w:rsidRPr="009C2EB2">
              <w:t>2</w:t>
            </w:r>
          </w:p>
        </w:tc>
      </w:tr>
      <w:tr w:rsidR="00640D42" w:rsidRPr="00B21E3E" w14:paraId="4490B9FD" w14:textId="77777777" w:rsidTr="001A792C">
        <w:tc>
          <w:tcPr>
            <w:tcW w:w="5670" w:type="dxa"/>
            <w:tcBorders>
              <w:left w:val="nil"/>
            </w:tcBorders>
            <w:shd w:val="clear" w:color="auto" w:fill="F2F2F2" w:themeFill="background1" w:themeFillShade="F2"/>
          </w:tcPr>
          <w:p w14:paraId="51B30F28" w14:textId="77777777" w:rsidR="00640D42" w:rsidRPr="00B21E3E" w:rsidRDefault="00640D42" w:rsidP="004B0586">
            <w:pPr>
              <w:spacing w:before="40" w:after="40"/>
            </w:pPr>
            <w:r w:rsidRPr="00B21E3E">
              <w:t>External influences</w:t>
            </w:r>
          </w:p>
        </w:tc>
        <w:tc>
          <w:tcPr>
            <w:tcW w:w="2268" w:type="dxa"/>
            <w:tcBorders>
              <w:right w:val="nil"/>
            </w:tcBorders>
            <w:shd w:val="clear" w:color="auto" w:fill="F2F2F2" w:themeFill="background1" w:themeFillShade="F2"/>
          </w:tcPr>
          <w:p w14:paraId="5D5943F3" w14:textId="77777777" w:rsidR="00640D42" w:rsidRPr="00B21E3E" w:rsidRDefault="00640D42" w:rsidP="001A792C">
            <w:pPr>
              <w:spacing w:before="40" w:after="40"/>
              <w:jc w:val="center"/>
            </w:pPr>
          </w:p>
        </w:tc>
      </w:tr>
      <w:tr w:rsidR="00640D42" w:rsidRPr="009C2EB2" w14:paraId="36BAC6CD" w14:textId="77777777" w:rsidTr="001A792C">
        <w:tc>
          <w:tcPr>
            <w:tcW w:w="5670" w:type="dxa"/>
            <w:tcBorders>
              <w:left w:val="nil"/>
            </w:tcBorders>
            <w:shd w:val="clear" w:color="auto" w:fill="auto"/>
          </w:tcPr>
          <w:p w14:paraId="7F3BEA49" w14:textId="77777777" w:rsidR="00640D42" w:rsidRPr="009C2EB2" w:rsidRDefault="00640D42" w:rsidP="004B0586">
            <w:pPr>
              <w:tabs>
                <w:tab w:val="left" w:pos="357"/>
              </w:tabs>
              <w:spacing w:before="60" w:after="60"/>
            </w:pPr>
            <w:r>
              <w:tab/>
            </w:r>
            <w:r w:rsidRPr="009C2EB2">
              <w:t xml:space="preserve">Locality/availability </w:t>
            </w:r>
            <w:r>
              <w:t xml:space="preserve">of </w:t>
            </w:r>
            <w:r w:rsidRPr="009C2EB2">
              <w:t>community services</w:t>
            </w:r>
          </w:p>
        </w:tc>
        <w:tc>
          <w:tcPr>
            <w:tcW w:w="2268" w:type="dxa"/>
            <w:tcBorders>
              <w:right w:val="nil"/>
            </w:tcBorders>
            <w:shd w:val="clear" w:color="auto" w:fill="auto"/>
          </w:tcPr>
          <w:p w14:paraId="3897E862" w14:textId="77777777" w:rsidR="00640D42" w:rsidRPr="009C2EB2" w:rsidRDefault="00640D42" w:rsidP="001A792C">
            <w:pPr>
              <w:spacing w:before="40" w:after="40"/>
              <w:jc w:val="center"/>
            </w:pPr>
            <w:r w:rsidRPr="009C2EB2">
              <w:t>3</w:t>
            </w:r>
          </w:p>
        </w:tc>
      </w:tr>
      <w:tr w:rsidR="00640D42" w:rsidRPr="009C2EB2" w14:paraId="73421E03" w14:textId="77777777" w:rsidTr="001A792C">
        <w:tc>
          <w:tcPr>
            <w:tcW w:w="5670" w:type="dxa"/>
            <w:tcBorders>
              <w:left w:val="nil"/>
            </w:tcBorders>
            <w:shd w:val="clear" w:color="auto" w:fill="auto"/>
          </w:tcPr>
          <w:p w14:paraId="36698016" w14:textId="77777777" w:rsidR="00640D42" w:rsidRPr="009C2EB2" w:rsidRDefault="00640D42" w:rsidP="004B0586">
            <w:pPr>
              <w:tabs>
                <w:tab w:val="left" w:pos="357"/>
              </w:tabs>
              <w:spacing w:before="60" w:after="60"/>
            </w:pPr>
            <w:r>
              <w:tab/>
            </w:r>
            <w:r w:rsidRPr="009C2EB2">
              <w:t>National workforce</w:t>
            </w:r>
            <w:r>
              <w:t>-</w:t>
            </w:r>
            <w:r w:rsidRPr="009C2EB2">
              <w:t>related issues</w:t>
            </w:r>
          </w:p>
        </w:tc>
        <w:tc>
          <w:tcPr>
            <w:tcW w:w="2268" w:type="dxa"/>
            <w:tcBorders>
              <w:right w:val="nil"/>
            </w:tcBorders>
            <w:shd w:val="clear" w:color="auto" w:fill="auto"/>
          </w:tcPr>
          <w:p w14:paraId="0863AF20" w14:textId="77777777" w:rsidR="00640D42" w:rsidRPr="009C2EB2" w:rsidRDefault="00640D42" w:rsidP="001A792C">
            <w:pPr>
              <w:spacing w:before="40" w:after="40"/>
              <w:jc w:val="center"/>
            </w:pPr>
            <w:r w:rsidRPr="009C2EB2">
              <w:t>2</w:t>
            </w:r>
          </w:p>
        </w:tc>
      </w:tr>
      <w:tr w:rsidR="00640D42" w:rsidRPr="00B21E3E" w14:paraId="64729637" w14:textId="77777777" w:rsidTr="001A792C">
        <w:tc>
          <w:tcPr>
            <w:tcW w:w="5670" w:type="dxa"/>
            <w:tcBorders>
              <w:left w:val="nil"/>
            </w:tcBorders>
            <w:shd w:val="clear" w:color="auto" w:fill="auto"/>
          </w:tcPr>
          <w:p w14:paraId="4A864C8E" w14:textId="77777777" w:rsidR="00640D42" w:rsidRPr="00B21E3E" w:rsidRDefault="00640D42" w:rsidP="004B0586">
            <w:pPr>
              <w:spacing w:before="40" w:after="40"/>
              <w:rPr>
                <w:b/>
                <w:bCs/>
              </w:rPr>
            </w:pPr>
            <w:r w:rsidRPr="00B21E3E">
              <w:rPr>
                <w:b/>
                <w:bCs/>
              </w:rPr>
              <w:t>Overall total</w:t>
            </w:r>
          </w:p>
        </w:tc>
        <w:tc>
          <w:tcPr>
            <w:tcW w:w="2268" w:type="dxa"/>
            <w:tcBorders>
              <w:right w:val="nil"/>
            </w:tcBorders>
            <w:shd w:val="clear" w:color="auto" w:fill="auto"/>
          </w:tcPr>
          <w:p w14:paraId="1D33B9FB" w14:textId="77777777" w:rsidR="00640D42" w:rsidRPr="00B21E3E" w:rsidRDefault="00640D42" w:rsidP="001A792C">
            <w:pPr>
              <w:spacing w:before="40" w:after="40"/>
              <w:jc w:val="center"/>
              <w:rPr>
                <w:b/>
                <w:bCs/>
              </w:rPr>
            </w:pPr>
            <w:r w:rsidRPr="00B21E3E">
              <w:rPr>
                <w:b/>
                <w:bCs/>
              </w:rPr>
              <w:t>275</w:t>
            </w:r>
          </w:p>
        </w:tc>
      </w:tr>
    </w:tbl>
    <w:p w14:paraId="1AF9B97D" w14:textId="77777777" w:rsidR="00640D42" w:rsidRDefault="00640D42" w:rsidP="00E75D17">
      <w:pPr>
        <w:pStyle w:val="TeThhauoraheading4"/>
      </w:pPr>
      <w:bookmarkStart w:id="22" w:name="_Toc155958935"/>
      <w:bookmarkStart w:id="23" w:name="_Toc160178695"/>
      <w:r>
        <w:t>Person-focused findings</w:t>
      </w:r>
      <w:bookmarkEnd w:id="22"/>
      <w:bookmarkEnd w:id="23"/>
    </w:p>
    <w:p w14:paraId="794DAD66" w14:textId="77777777" w:rsidR="00640D42" w:rsidRDefault="00640D42" w:rsidP="004B0586">
      <w:pPr>
        <w:pStyle w:val="TeThHauorabodytext"/>
      </w:pPr>
      <w:r>
        <w:t xml:space="preserve">Of the 275 findings, 215 (78 percent) were focused on the actions and behaviours of health care workers. This included 89 (32 percent) findings that described clinically focused failures in care by individuals at the time </w:t>
      </w:r>
      <w:r w:rsidRPr="006360ED">
        <w:t>of</w:t>
      </w:r>
      <w:r>
        <w:t xml:space="preserve"> the event. These included tasks that were not performed or not done to standard, decisions that were considered as wrong, failures to engage with the pregnant woman and birthing people, inadequate sharing of information with the pregnant woman and birthing people, missed opportunities and even one that just stated, ‘human error’.</w:t>
      </w:r>
    </w:p>
    <w:p w14:paraId="34021CB7" w14:textId="77777777" w:rsidR="00640D42" w:rsidRPr="00E716BB" w:rsidRDefault="00640D42" w:rsidP="00E75D17">
      <w:pPr>
        <w:pStyle w:val="TeThhauoraheading4"/>
      </w:pPr>
      <w:bookmarkStart w:id="24" w:name="_Toc160178705"/>
      <w:r>
        <w:t>No system findings</w:t>
      </w:r>
      <w:bookmarkEnd w:id="24"/>
      <w:r w:rsidRPr="000E53BC">
        <w:t xml:space="preserve"> </w:t>
      </w:r>
    </w:p>
    <w:p w14:paraId="5014594B" w14:textId="161B611C" w:rsidR="00640D42" w:rsidRDefault="00640D42" w:rsidP="004B0586">
      <w:pPr>
        <w:pStyle w:val="TeThHauorabodytext"/>
      </w:pPr>
      <w:r>
        <w:t>Of the reviews analysed, despite harm occurring, 29 (18 percent) of the total 160 events had no specific findings, as they concluded that the care and interventions were provided well by individuals or to expected standards as per policies and guidelines. As a result in all these cases, no recommendations for improvement were developed.</w:t>
      </w:r>
    </w:p>
    <w:p w14:paraId="37B270A8" w14:textId="77777777" w:rsidR="00640D42" w:rsidRDefault="00640D42" w:rsidP="00E75D17">
      <w:pPr>
        <w:pStyle w:val="TeThhauoraheading4"/>
      </w:pPr>
      <w:bookmarkStart w:id="25" w:name="_Toc155958936"/>
      <w:bookmarkStart w:id="26" w:name="_Toc160178696"/>
      <w:r>
        <w:t>Policy and guidelines</w:t>
      </w:r>
      <w:bookmarkEnd w:id="25"/>
      <w:bookmarkEnd w:id="26"/>
    </w:p>
    <w:p w14:paraId="5398B1C6" w14:textId="67BB79ED" w:rsidR="00640D42" w:rsidRDefault="00640D42" w:rsidP="004B0586">
      <w:pPr>
        <w:pStyle w:val="TeThHauorabodytext"/>
      </w:pPr>
      <w:r>
        <w:t xml:space="preserve">Poor compliance with policy and guidelines by health care workers was directly or indirectly mentioned in 52 (19 percent) findings, but no further context was provided. An additional 13 findings (4.8 percent) indicated problems where policies and pathways were unclear or did not exist. Policies and pathways not being followed was identified as a factor delaying the transition of care from primary to hospital services. The use of the maternity early warning system (MEWS) was raised in reviews following its national introduction at the end of 2020. Nine findings identified outcomes where either </w:t>
      </w:r>
      <w:r w:rsidR="00A83AEF">
        <w:t xml:space="preserve">the </w:t>
      </w:r>
      <w:r>
        <w:t xml:space="preserve">MEWS was not fully </w:t>
      </w:r>
      <w:proofErr w:type="gramStart"/>
      <w:r>
        <w:t>implemented</w:t>
      </w:r>
      <w:proofErr w:type="gramEnd"/>
      <w:r>
        <w:t xml:space="preserve"> or individual MEWS scores </w:t>
      </w:r>
      <w:r w:rsidR="00A83AEF">
        <w:t>were not</w:t>
      </w:r>
      <w:r>
        <w:t xml:space="preserve"> calculated. </w:t>
      </w:r>
    </w:p>
    <w:p w14:paraId="23E8E37B" w14:textId="77777777" w:rsidR="00640D42" w:rsidRDefault="00640D42" w:rsidP="00E75D17">
      <w:pPr>
        <w:pStyle w:val="TeThhauoraheading4"/>
      </w:pPr>
      <w:bookmarkStart w:id="27" w:name="_Toc155958937"/>
      <w:bookmarkStart w:id="28" w:name="_Toc160178697"/>
      <w:r>
        <w:t>Communication</w:t>
      </w:r>
      <w:bookmarkEnd w:id="27"/>
      <w:bookmarkEnd w:id="28"/>
    </w:p>
    <w:p w14:paraId="386BA466" w14:textId="28E198AB" w:rsidR="00640D42" w:rsidRPr="00FB5E67" w:rsidRDefault="00640D42" w:rsidP="004B0586">
      <w:pPr>
        <w:pStyle w:val="TeThHauorabodytext"/>
      </w:pPr>
      <w:r>
        <w:t xml:space="preserve">Communication </w:t>
      </w:r>
      <w:r w:rsidR="00844F32">
        <w:t>problems</w:t>
      </w:r>
      <w:r>
        <w:t xml:space="preserve"> relating to both written and verbal communication appeared in 25 findings (9 percent). Inadequate written </w:t>
      </w:r>
      <w:r w:rsidRPr="006360ED">
        <w:t>documentation</w:t>
      </w:r>
      <w:r>
        <w:t xml:space="preserve"> was discussed at point of handover, transitions of care (specifically between primary birthing and hospitals) or between providers. Verbal communication </w:t>
      </w:r>
      <w:r w:rsidR="00844F32">
        <w:t>problems</w:t>
      </w:r>
      <w:r>
        <w:t xml:space="preserve"> were identified between lead maternity carers (LMCs), hospital midwives and doctors. However, exactly what is meant by communication </w:t>
      </w:r>
      <w:r w:rsidR="002C6571">
        <w:t>problems</w:t>
      </w:r>
      <w:r>
        <w:t xml:space="preserve"> was rarely explored. Examples included not using telehealth where available, no early discussion to facilitate timely transfer to a higher level of care, poor handover communication, poor transfer of relevant clinical information or ineffective communication between practitioners.</w:t>
      </w:r>
    </w:p>
    <w:p w14:paraId="148EB82C" w14:textId="77777777" w:rsidR="00640D42" w:rsidRDefault="00640D42" w:rsidP="00E75D17">
      <w:pPr>
        <w:pStyle w:val="TeThhauoraheading4"/>
      </w:pPr>
      <w:bookmarkStart w:id="29" w:name="_Toc155958938"/>
      <w:bookmarkStart w:id="30" w:name="_Toc160178698"/>
      <w:r>
        <w:t>Delays in escalation</w:t>
      </w:r>
      <w:bookmarkEnd w:id="29"/>
      <w:bookmarkEnd w:id="30"/>
    </w:p>
    <w:p w14:paraId="423C1EAA" w14:textId="1E4162E6" w:rsidR="00640D42" w:rsidRDefault="00640D42" w:rsidP="004B0586">
      <w:pPr>
        <w:pStyle w:val="TeThHauorabodytext"/>
      </w:pPr>
      <w:r>
        <w:t xml:space="preserve">A total of 26 (9.5 percent) findings specifically mentioned delayed recognition of risk factors, </w:t>
      </w:r>
      <w:proofErr w:type="gramStart"/>
      <w:r>
        <w:t>deterioration</w:t>
      </w:r>
      <w:proofErr w:type="gramEnd"/>
      <w:r>
        <w:t xml:space="preserve"> or inadequate communication as </w:t>
      </w:r>
      <w:r w:rsidR="0051420B">
        <w:t xml:space="preserve">a </w:t>
      </w:r>
      <w:r>
        <w:t xml:space="preserve">reason for delayed escalation of care. The delays in escalation to more specialist or senior care were not further analysed to identify other influencing factors. </w:t>
      </w:r>
    </w:p>
    <w:p w14:paraId="17713FD2" w14:textId="4D7BD750" w:rsidR="00640D42" w:rsidRDefault="00640D42" w:rsidP="00E75D17">
      <w:pPr>
        <w:pStyle w:val="TeThhauoraheading4"/>
      </w:pPr>
      <w:bookmarkStart w:id="31" w:name="_Toc155958939"/>
      <w:bookmarkStart w:id="32" w:name="_Toc160178699"/>
      <w:r>
        <w:t>Cardiotocography</w:t>
      </w:r>
      <w:bookmarkEnd w:id="31"/>
      <w:bookmarkEnd w:id="32"/>
    </w:p>
    <w:p w14:paraId="6EAA0984" w14:textId="63EE8474" w:rsidR="00640D42" w:rsidRDefault="00640D42" w:rsidP="004B0586">
      <w:pPr>
        <w:pStyle w:val="TeThHauorabodytext"/>
      </w:pPr>
      <w:r>
        <w:t xml:space="preserve">Reported events involving </w:t>
      </w:r>
      <w:r w:rsidR="0051420B">
        <w:t>c</w:t>
      </w:r>
      <w:r w:rsidR="0051420B" w:rsidRPr="0051420B">
        <w:t xml:space="preserve">ardiotocography </w:t>
      </w:r>
      <w:r w:rsidR="0051420B">
        <w:t>(</w:t>
      </w:r>
      <w:r>
        <w:t>CTG</w:t>
      </w:r>
      <w:r w:rsidR="00A762EC">
        <w:t>)</w:t>
      </w:r>
      <w:r w:rsidR="00B52D53">
        <w:rPr>
          <w:rStyle w:val="FootnoteReference"/>
        </w:rPr>
        <w:footnoteReference w:id="4"/>
      </w:r>
      <w:r>
        <w:t xml:space="preserve"> usually focused on the actions of people </w:t>
      </w:r>
      <w:r w:rsidR="00A762EC">
        <w:t>even though</w:t>
      </w:r>
      <w:r>
        <w:t xml:space="preserve"> CTG is a technology. The 29 (10.5 percent) findings related to CTG included active failures in CTG interpretation or inappropriate decisions regarding the use of </w:t>
      </w:r>
      <w:proofErr w:type="spellStart"/>
      <w:r>
        <w:t>fetal</w:t>
      </w:r>
      <w:proofErr w:type="spellEnd"/>
      <w:r>
        <w:t xml:space="preserve"> heart rate monitoring versus intermittent auscultation. The misinterpretation of CTG traces during the intrapartum period was described as leading to subsequent </w:t>
      </w:r>
      <w:r w:rsidRPr="006360ED">
        <w:t>poor</w:t>
      </w:r>
      <w:r>
        <w:t xml:space="preserve"> management decisions. Two findings mentioned the availability and appropriateness of equipment used for continuous CTG monitoring.</w:t>
      </w:r>
    </w:p>
    <w:p w14:paraId="0C3C0FEE" w14:textId="77777777" w:rsidR="00640D42" w:rsidRDefault="00640D42" w:rsidP="00E75D17">
      <w:pPr>
        <w:pStyle w:val="TeThhauoraheading4"/>
      </w:pPr>
      <w:bookmarkStart w:id="33" w:name="_Toc155958940"/>
      <w:bookmarkStart w:id="34" w:name="_Toc160178700"/>
      <w:proofErr w:type="spellStart"/>
      <w:r>
        <w:t>Fetal</w:t>
      </w:r>
      <w:proofErr w:type="spellEnd"/>
      <w:r>
        <w:t xml:space="preserve"> </w:t>
      </w:r>
      <w:bookmarkEnd w:id="33"/>
      <w:r>
        <w:t>surveillance</w:t>
      </w:r>
      <w:bookmarkEnd w:id="34"/>
    </w:p>
    <w:p w14:paraId="773BE46A" w14:textId="7BBAC113" w:rsidR="00640D42" w:rsidRDefault="00640D42" w:rsidP="004B0586">
      <w:pPr>
        <w:pStyle w:val="TeThHauorabodytext"/>
      </w:pPr>
      <w:r>
        <w:t xml:space="preserve">In total, 11 findings (4 percent) identified problems with clinicians’ </w:t>
      </w:r>
      <w:r w:rsidR="00FC02AF">
        <w:t xml:space="preserve">assessments of </w:t>
      </w:r>
      <w:proofErr w:type="spellStart"/>
      <w:r>
        <w:t>fetal</w:t>
      </w:r>
      <w:proofErr w:type="spellEnd"/>
      <w:r>
        <w:t xml:space="preserve"> growth. Ultrasound scanning for </w:t>
      </w:r>
      <w:proofErr w:type="spellStart"/>
      <w:r>
        <w:t>fetal</w:t>
      </w:r>
      <w:proofErr w:type="spellEnd"/>
      <w:r>
        <w:t xml:space="preserve"> surveillance featured in 13 findings (5 percent) relating to either scans not being </w:t>
      </w:r>
      <w:proofErr w:type="gramStart"/>
      <w:r>
        <w:t>done</w:t>
      </w:r>
      <w:proofErr w:type="gramEnd"/>
      <w:r>
        <w:t xml:space="preserve"> or communication challenges associated with requests for or reporting of scans. One finding mentioned an inability to obtain a community scan. </w:t>
      </w:r>
    </w:p>
    <w:p w14:paraId="4FB6B73C" w14:textId="77777777" w:rsidR="00640D42" w:rsidRDefault="00640D42" w:rsidP="00E75D17">
      <w:pPr>
        <w:pStyle w:val="TeThhauoraheading4"/>
      </w:pPr>
      <w:bookmarkStart w:id="35" w:name="_Toc155958941"/>
      <w:bookmarkStart w:id="36" w:name="_Toc160178701"/>
      <w:r>
        <w:t xml:space="preserve">Person </w:t>
      </w:r>
      <w:proofErr w:type="gramStart"/>
      <w:r>
        <w:t>focused</w:t>
      </w:r>
      <w:bookmarkEnd w:id="35"/>
      <w:bookmarkEnd w:id="36"/>
      <w:proofErr w:type="gramEnd"/>
    </w:p>
    <w:p w14:paraId="2FA05509" w14:textId="77777777" w:rsidR="00640D42" w:rsidRDefault="00640D42" w:rsidP="004B0586">
      <w:pPr>
        <w:pStyle w:val="TeThHauorabodytext"/>
      </w:pPr>
      <w:r>
        <w:t>Seven findings identified the pregnant woman and birthing people as contributing to the adverse outcome. These related to the pregnant woman and birthing peoples’ decisions and actions surrounding late booking, lack of engagement with the service or maternal physique. However, the findings did not identify the underlying reasons, such as lack of access to care or consumers feeling culturally or spiritually unsafe with the care available. Without this wider analysis, we do not yet fully understand the reasons why pregnant woman and birthing people did not access care.</w:t>
      </w:r>
    </w:p>
    <w:p w14:paraId="34EB04C0" w14:textId="77777777" w:rsidR="00640D42" w:rsidRDefault="00640D42" w:rsidP="00E75D17">
      <w:pPr>
        <w:pStyle w:val="TeThhauoraheading4"/>
      </w:pPr>
      <w:bookmarkStart w:id="37" w:name="_Toc155958942"/>
      <w:bookmarkStart w:id="38" w:name="_Toc160178702"/>
      <w:r>
        <w:t>Neonat</w:t>
      </w:r>
      <w:bookmarkEnd w:id="37"/>
      <w:r>
        <w:t>al events</w:t>
      </w:r>
      <w:bookmarkEnd w:id="38"/>
    </w:p>
    <w:p w14:paraId="3722025B" w14:textId="468E034B" w:rsidR="00640D42" w:rsidRDefault="00640D42" w:rsidP="004B0586">
      <w:pPr>
        <w:pStyle w:val="TeThHauorabodytext"/>
      </w:pPr>
      <w:r>
        <w:t xml:space="preserve">In events where the outcome resulted in neonatal encephalopathy, reports solely focused on the period during labour and delivery, so the findings emphasised the clinical care given to the pregnant woman and birthing people at that time. Examples included problems with recognising maternal risk factors, CTG interpretation and escalation of care. In some of these reviews, the findings described care as good and/or meeting the required standards, regardless of the neonatal outcome. </w:t>
      </w:r>
    </w:p>
    <w:p w14:paraId="2EC13746" w14:textId="77777777" w:rsidR="00640D42" w:rsidRPr="00097C9C" w:rsidRDefault="00640D42" w:rsidP="004B0586">
      <w:pPr>
        <w:pStyle w:val="TeThHauorabodytext"/>
      </w:pPr>
      <w:r>
        <w:t>In events where reports focused on other neonatal outcomes, two findings highlighted difficulties in coordination of care and communication during the transfer from a primary unit to a neonatal unit. Four findings covered delays in appropriate administration of glucose for low blood sugars or a lack of close monitoring or completion of vital signs. The lack of a transitional care unit for higher-risk babies was mentioned twice.</w:t>
      </w:r>
    </w:p>
    <w:p w14:paraId="45724694" w14:textId="77777777" w:rsidR="00640D42" w:rsidRDefault="00640D42" w:rsidP="00E75D17">
      <w:pPr>
        <w:pStyle w:val="TeThhauoraheading4"/>
      </w:pPr>
      <w:bookmarkStart w:id="39" w:name="_Toc155958943"/>
      <w:bookmarkStart w:id="40" w:name="_Toc160178703"/>
      <w:r>
        <w:t>Workforce</w:t>
      </w:r>
      <w:bookmarkEnd w:id="39"/>
      <w:bookmarkEnd w:id="40"/>
    </w:p>
    <w:p w14:paraId="4C0A86EA" w14:textId="77777777" w:rsidR="00640D42" w:rsidRPr="006360ED" w:rsidRDefault="00640D42" w:rsidP="004B0586">
      <w:pPr>
        <w:pStyle w:val="TeThHauorabodytext"/>
      </w:pPr>
      <w:r>
        <w:t xml:space="preserve">In total, </w:t>
      </w:r>
      <w:r w:rsidRPr="006360ED">
        <w:t>18 (6</w:t>
      </w:r>
      <w:r>
        <w:t xml:space="preserve"> percent</w:t>
      </w:r>
      <w:r w:rsidRPr="006360ED">
        <w:t>) findings mentioned the</w:t>
      </w:r>
      <w:r>
        <w:t xml:space="preserve"> lack of adequate</w:t>
      </w:r>
      <w:r w:rsidRPr="006360ED">
        <w:t xml:space="preserve"> midwifery workforce</w:t>
      </w:r>
      <w:r>
        <w:t>,</w:t>
      </w:r>
      <w:r w:rsidRPr="006360ED">
        <w:t xml:space="preserve"> </w:t>
      </w:r>
      <w:r>
        <w:t xml:space="preserve">and </w:t>
      </w:r>
      <w:r w:rsidRPr="006360ED">
        <w:t xml:space="preserve">two of those focused on national workforce pressures. </w:t>
      </w:r>
      <w:r>
        <w:t>F</w:t>
      </w:r>
      <w:r w:rsidRPr="006360ED">
        <w:t xml:space="preserve">our findings related to medical staffing, but none related to other professional workforce groups. </w:t>
      </w:r>
      <w:r>
        <w:t>Examples included a mismatch between case acuity and available resourcing as well as the presence of multiple demands or staff shortages.</w:t>
      </w:r>
      <w:r w:rsidRPr="006360ED">
        <w:t xml:space="preserve"> One finding mentioned the border closure due to the COVID-19 pandemic as responsible for the lack of recruitment capability.</w:t>
      </w:r>
    </w:p>
    <w:p w14:paraId="4AE68F1B" w14:textId="77777777" w:rsidR="00640D42" w:rsidRDefault="00640D42" w:rsidP="00E75D17">
      <w:pPr>
        <w:pStyle w:val="TeThhauoraheading4"/>
      </w:pPr>
      <w:bookmarkStart w:id="41" w:name="_Toc155958944"/>
      <w:bookmarkStart w:id="42" w:name="_Toc160178704"/>
      <w:r>
        <w:t>External and environmental factors</w:t>
      </w:r>
      <w:bookmarkEnd w:id="41"/>
      <w:bookmarkEnd w:id="42"/>
      <w:r>
        <w:t xml:space="preserve"> </w:t>
      </w:r>
    </w:p>
    <w:p w14:paraId="0A0CDF52" w14:textId="512124CB" w:rsidR="00640D42" w:rsidRDefault="00640D42" w:rsidP="004B0586">
      <w:pPr>
        <w:pStyle w:val="TeThHauorabodytext"/>
      </w:pPr>
      <w:r>
        <w:t xml:space="preserve">Only a few reports discussed how the care environment or external factors influenced events. These included factors such as how the physical layout of organisations led to fragmented care and caused delays due to transport distances to and from operating theatre. Three findings discussed challenges around the availability of emergency transfer methods to hospital (one was due to weather). Two findings discussed problems with internal paging and phone systems. Three mentioned </w:t>
      </w:r>
      <w:proofErr w:type="gramStart"/>
      <w:r>
        <w:t>availability</w:t>
      </w:r>
      <w:proofErr w:type="gramEnd"/>
      <w:r>
        <w:t xml:space="preserve"> of services: one relating to community ultrasound and two to the availability of operating theatres after hours.</w:t>
      </w:r>
    </w:p>
    <w:p w14:paraId="2ADFFE78" w14:textId="77777777" w:rsidR="00640D42" w:rsidRPr="006F320F" w:rsidRDefault="00640D42" w:rsidP="00E75D17">
      <w:pPr>
        <w:pStyle w:val="TeThHauorahead3"/>
      </w:pPr>
      <w:bookmarkStart w:id="43" w:name="_Toc155958947"/>
      <w:bookmarkStart w:id="44" w:name="_Toc160178706"/>
      <w:bookmarkStart w:id="45" w:name="_Toc161843065"/>
      <w:r>
        <w:t>Review</w:t>
      </w:r>
      <w:r w:rsidRPr="0022786F">
        <w:t xml:space="preserve"> </w:t>
      </w:r>
      <w:proofErr w:type="gramStart"/>
      <w:r w:rsidRPr="0022786F">
        <w:t>recommendations</w:t>
      </w:r>
      <w:bookmarkEnd w:id="43"/>
      <w:bookmarkEnd w:id="44"/>
      <w:bookmarkEnd w:id="45"/>
      <w:proofErr w:type="gramEnd"/>
    </w:p>
    <w:p w14:paraId="6E32057A" w14:textId="7F8D63B2" w:rsidR="00640D42" w:rsidRPr="002D2EDF" w:rsidRDefault="00640D42" w:rsidP="004B0586">
      <w:pPr>
        <w:pStyle w:val="TeThHauorabodytext"/>
      </w:pPr>
      <w:r>
        <w:t xml:space="preserve">The 160 event reviews analysed contained 562 recommendations. As mentioned, 29 reviews had no recommendations because the findings stated that, despite harm occurring, all care was provided by individuals well or as per policies and guidelines. The remaining 131 events each had multiple recommendations, with the majority focused on correcting behaviour. See Table 4 for the type and focus of recommendations. For specific transcribed examples of recommendations see </w:t>
      </w:r>
      <w:r w:rsidR="00496C49">
        <w:t>A</w:t>
      </w:r>
      <w:r>
        <w:t>ppendix 2.</w:t>
      </w:r>
    </w:p>
    <w:p w14:paraId="02498D36" w14:textId="77777777" w:rsidR="00496C49" w:rsidRDefault="00496C49">
      <w:pPr>
        <w:autoSpaceDE/>
        <w:autoSpaceDN/>
        <w:adjustRightInd/>
        <w:spacing w:after="0" w:line="240" w:lineRule="auto"/>
        <w:rPr>
          <w:b/>
        </w:rPr>
      </w:pPr>
      <w:r>
        <w:br w:type="page"/>
      </w:r>
    </w:p>
    <w:p w14:paraId="100908E4" w14:textId="49B3657F" w:rsidR="00640D42" w:rsidRPr="00EB2DA3" w:rsidRDefault="00640D42" w:rsidP="004B0586">
      <w:pPr>
        <w:pStyle w:val="TeThHauoratablefigurecaption"/>
      </w:pPr>
      <w:r w:rsidRPr="00400227">
        <w:t>Table 4:</w:t>
      </w:r>
      <w:r w:rsidRPr="00A53E17">
        <w:t xml:space="preserve"> </w:t>
      </w:r>
      <w:r>
        <w:t>Type and number of recommendations</w:t>
      </w:r>
    </w:p>
    <w:tbl>
      <w:tblPr>
        <w:tblStyle w:val="TableGrid"/>
        <w:tblW w:w="8931" w:type="dxa"/>
        <w:tblLook w:val="04A0" w:firstRow="1" w:lastRow="0" w:firstColumn="1" w:lastColumn="0" w:noHBand="0" w:noVBand="1"/>
      </w:tblPr>
      <w:tblGrid>
        <w:gridCol w:w="6663"/>
        <w:gridCol w:w="2268"/>
      </w:tblGrid>
      <w:tr w:rsidR="00640D42" w:rsidRPr="00E15C7C" w14:paraId="25D64819" w14:textId="77777777" w:rsidTr="00B80975">
        <w:tc>
          <w:tcPr>
            <w:tcW w:w="6663" w:type="dxa"/>
            <w:tcBorders>
              <w:left w:val="nil"/>
              <w:bottom w:val="single" w:sz="4" w:space="0" w:color="auto"/>
            </w:tcBorders>
            <w:shd w:val="clear" w:color="auto" w:fill="F2F2F2" w:themeFill="background1" w:themeFillShade="F2"/>
          </w:tcPr>
          <w:p w14:paraId="45A6D823" w14:textId="77777777" w:rsidR="00640D42" w:rsidRPr="00E15C7C" w:rsidRDefault="00640D42" w:rsidP="004B0586">
            <w:pPr>
              <w:spacing w:before="40" w:after="40"/>
              <w:rPr>
                <w:b/>
                <w:bCs/>
              </w:rPr>
            </w:pPr>
            <w:r w:rsidRPr="00E15C7C">
              <w:rPr>
                <w:b/>
                <w:bCs/>
              </w:rPr>
              <w:t>Recommendation focus</w:t>
            </w:r>
          </w:p>
        </w:tc>
        <w:tc>
          <w:tcPr>
            <w:tcW w:w="2268" w:type="dxa"/>
            <w:tcBorders>
              <w:bottom w:val="single" w:sz="4" w:space="0" w:color="auto"/>
            </w:tcBorders>
            <w:shd w:val="clear" w:color="auto" w:fill="F2F2F2" w:themeFill="background1" w:themeFillShade="F2"/>
          </w:tcPr>
          <w:p w14:paraId="2CBE913B" w14:textId="77777777" w:rsidR="00640D42" w:rsidRPr="00E15C7C" w:rsidRDefault="00640D42" w:rsidP="004B0586">
            <w:pPr>
              <w:spacing w:before="40" w:after="40"/>
              <w:jc w:val="center"/>
              <w:rPr>
                <w:b/>
                <w:bCs/>
              </w:rPr>
            </w:pPr>
            <w:r w:rsidRPr="00E15C7C">
              <w:rPr>
                <w:b/>
                <w:bCs/>
              </w:rPr>
              <w:t>Number</w:t>
            </w:r>
          </w:p>
        </w:tc>
      </w:tr>
      <w:tr w:rsidR="00640D42" w:rsidRPr="00BF0B42" w14:paraId="018DD034" w14:textId="77777777" w:rsidTr="00B80975">
        <w:tc>
          <w:tcPr>
            <w:tcW w:w="8931" w:type="dxa"/>
            <w:gridSpan w:val="2"/>
            <w:tcBorders>
              <w:left w:val="nil"/>
              <w:right w:val="single" w:sz="4" w:space="0" w:color="auto"/>
            </w:tcBorders>
            <w:shd w:val="clear" w:color="auto" w:fill="F2F2F2" w:themeFill="background1" w:themeFillShade="F2"/>
          </w:tcPr>
          <w:p w14:paraId="28989B62" w14:textId="77777777" w:rsidR="00640D42" w:rsidRPr="00BF0B42" w:rsidRDefault="00640D42" w:rsidP="004B0586">
            <w:pPr>
              <w:spacing w:before="40" w:after="40"/>
            </w:pPr>
            <w:r w:rsidRPr="00BF0B42">
              <w:t>Person focused</w:t>
            </w:r>
          </w:p>
        </w:tc>
      </w:tr>
      <w:tr w:rsidR="00640D42" w14:paraId="756352F7" w14:textId="77777777" w:rsidTr="00B80975">
        <w:tc>
          <w:tcPr>
            <w:tcW w:w="6663" w:type="dxa"/>
            <w:tcBorders>
              <w:left w:val="nil"/>
            </w:tcBorders>
          </w:tcPr>
          <w:p w14:paraId="387906F3" w14:textId="77777777" w:rsidR="00640D42" w:rsidRPr="00E15C7C" w:rsidRDefault="00640D42" w:rsidP="004B0586">
            <w:pPr>
              <w:tabs>
                <w:tab w:val="left" w:pos="357"/>
              </w:tabs>
              <w:spacing w:before="60" w:after="60"/>
            </w:pPr>
            <w:r>
              <w:tab/>
            </w:r>
            <w:r w:rsidRPr="00E15C7C">
              <w:t xml:space="preserve">Education and training </w:t>
            </w:r>
          </w:p>
        </w:tc>
        <w:tc>
          <w:tcPr>
            <w:tcW w:w="2268" w:type="dxa"/>
          </w:tcPr>
          <w:p w14:paraId="160C6AA1" w14:textId="77777777" w:rsidR="00640D42" w:rsidRPr="00E15C7C" w:rsidRDefault="00640D42" w:rsidP="004B0586">
            <w:pPr>
              <w:spacing w:before="60" w:after="60"/>
              <w:jc w:val="center"/>
            </w:pPr>
            <w:r w:rsidRPr="00E15C7C">
              <w:t>81</w:t>
            </w:r>
          </w:p>
        </w:tc>
      </w:tr>
      <w:tr w:rsidR="00640D42" w14:paraId="26F51922" w14:textId="77777777" w:rsidTr="00B80975">
        <w:tc>
          <w:tcPr>
            <w:tcW w:w="6663" w:type="dxa"/>
            <w:tcBorders>
              <w:left w:val="nil"/>
            </w:tcBorders>
          </w:tcPr>
          <w:p w14:paraId="7E72BB92" w14:textId="77777777" w:rsidR="00640D42" w:rsidRPr="00E15C7C" w:rsidRDefault="00640D42" w:rsidP="004B0586">
            <w:pPr>
              <w:tabs>
                <w:tab w:val="left" w:pos="357"/>
              </w:tabs>
              <w:spacing w:before="40" w:after="40"/>
              <w:ind w:left="357" w:hanging="357"/>
            </w:pPr>
            <w:r>
              <w:tab/>
            </w:r>
            <w:r w:rsidRPr="00E15C7C">
              <w:t>Policy</w:t>
            </w:r>
            <w:r>
              <w:t>/</w:t>
            </w:r>
            <w:r w:rsidRPr="00E15C7C">
              <w:t xml:space="preserve">guideline or form </w:t>
            </w:r>
          </w:p>
        </w:tc>
        <w:tc>
          <w:tcPr>
            <w:tcW w:w="2268" w:type="dxa"/>
          </w:tcPr>
          <w:p w14:paraId="1292DB55" w14:textId="77777777" w:rsidR="00640D42" w:rsidRPr="00E15C7C" w:rsidRDefault="00640D42" w:rsidP="004B0586">
            <w:pPr>
              <w:spacing w:before="60" w:after="60"/>
              <w:jc w:val="center"/>
            </w:pPr>
            <w:r w:rsidRPr="00E15C7C">
              <w:t>78</w:t>
            </w:r>
          </w:p>
        </w:tc>
      </w:tr>
      <w:tr w:rsidR="00640D42" w14:paraId="2B021621" w14:textId="77777777" w:rsidTr="00B80975">
        <w:tc>
          <w:tcPr>
            <w:tcW w:w="6663" w:type="dxa"/>
            <w:tcBorders>
              <w:left w:val="nil"/>
            </w:tcBorders>
          </w:tcPr>
          <w:p w14:paraId="23D1EB3F" w14:textId="77777777" w:rsidR="00640D42" w:rsidRPr="00E15C7C" w:rsidRDefault="00640D42" w:rsidP="004B0586">
            <w:pPr>
              <w:tabs>
                <w:tab w:val="left" w:pos="357"/>
              </w:tabs>
              <w:spacing w:before="40" w:after="40"/>
              <w:ind w:left="357" w:hanging="357"/>
            </w:pPr>
            <w:r>
              <w:tab/>
            </w:r>
            <w:r w:rsidRPr="00E15C7C">
              <w:t>CTG/</w:t>
            </w:r>
            <w:proofErr w:type="spellStart"/>
            <w:r>
              <w:t>f</w:t>
            </w:r>
            <w:r w:rsidRPr="00E15C7C">
              <w:t>etal</w:t>
            </w:r>
            <w:proofErr w:type="spellEnd"/>
            <w:r w:rsidRPr="00E15C7C">
              <w:t xml:space="preserve"> wellbeing assessment</w:t>
            </w:r>
          </w:p>
        </w:tc>
        <w:tc>
          <w:tcPr>
            <w:tcW w:w="2268" w:type="dxa"/>
          </w:tcPr>
          <w:p w14:paraId="473A84B6" w14:textId="77777777" w:rsidR="00640D42" w:rsidRPr="00E15C7C" w:rsidRDefault="00640D42" w:rsidP="004B0586">
            <w:pPr>
              <w:spacing w:before="60" w:after="60"/>
              <w:jc w:val="center"/>
            </w:pPr>
            <w:r w:rsidRPr="00E15C7C">
              <w:t>56</w:t>
            </w:r>
          </w:p>
        </w:tc>
      </w:tr>
      <w:tr w:rsidR="00640D42" w14:paraId="1B631D45" w14:textId="77777777" w:rsidTr="00B80975">
        <w:tc>
          <w:tcPr>
            <w:tcW w:w="6663" w:type="dxa"/>
            <w:tcBorders>
              <w:left w:val="nil"/>
            </w:tcBorders>
          </w:tcPr>
          <w:p w14:paraId="0A17CBEE" w14:textId="77777777" w:rsidR="00640D42" w:rsidRPr="00E15C7C" w:rsidRDefault="00640D42" w:rsidP="004B0586">
            <w:pPr>
              <w:tabs>
                <w:tab w:val="left" w:pos="357"/>
              </w:tabs>
              <w:spacing w:before="40" w:after="40"/>
              <w:ind w:left="357" w:hanging="357"/>
            </w:pPr>
            <w:r>
              <w:tab/>
            </w:r>
            <w:r w:rsidRPr="00E15C7C">
              <w:t>Alert/remind people to do things, socialise (share information)</w:t>
            </w:r>
          </w:p>
        </w:tc>
        <w:tc>
          <w:tcPr>
            <w:tcW w:w="2268" w:type="dxa"/>
          </w:tcPr>
          <w:p w14:paraId="4DF71811" w14:textId="77777777" w:rsidR="00640D42" w:rsidRPr="00E15C7C" w:rsidRDefault="00640D42" w:rsidP="004B0586">
            <w:pPr>
              <w:spacing w:before="60" w:after="60"/>
              <w:jc w:val="center"/>
            </w:pPr>
            <w:r w:rsidRPr="00E15C7C">
              <w:t>51</w:t>
            </w:r>
          </w:p>
        </w:tc>
      </w:tr>
      <w:tr w:rsidR="00640D42" w14:paraId="1AE0CFA7" w14:textId="77777777" w:rsidTr="00B80975">
        <w:tc>
          <w:tcPr>
            <w:tcW w:w="6663" w:type="dxa"/>
            <w:tcBorders>
              <w:left w:val="nil"/>
            </w:tcBorders>
          </w:tcPr>
          <w:p w14:paraId="4466926B" w14:textId="77777777" w:rsidR="00640D42" w:rsidRPr="00E15C7C" w:rsidRDefault="00640D42" w:rsidP="004B0586">
            <w:pPr>
              <w:tabs>
                <w:tab w:val="left" w:pos="357"/>
              </w:tabs>
              <w:spacing w:before="40" w:after="40"/>
              <w:ind w:left="357" w:hanging="357"/>
            </w:pPr>
            <w:r>
              <w:tab/>
            </w:r>
            <w:r w:rsidRPr="00E15C7C">
              <w:t xml:space="preserve">Recommendations that state </w:t>
            </w:r>
            <w:r>
              <w:t xml:space="preserve">specific </w:t>
            </w:r>
            <w:r w:rsidRPr="00E15C7C">
              <w:t>actions clinicians</w:t>
            </w:r>
            <w:r>
              <w:t xml:space="preserve"> are required to complete </w:t>
            </w:r>
            <w:r w:rsidRPr="00E15C7C">
              <w:t>(no plan</w:t>
            </w:r>
            <w:r>
              <w:t xml:space="preserve"> of how </w:t>
            </w:r>
            <w:r w:rsidRPr="00E15C7C">
              <w:t>included)</w:t>
            </w:r>
          </w:p>
        </w:tc>
        <w:tc>
          <w:tcPr>
            <w:tcW w:w="2268" w:type="dxa"/>
          </w:tcPr>
          <w:p w14:paraId="2E0BEF1C" w14:textId="77777777" w:rsidR="00640D42" w:rsidRPr="00E15C7C" w:rsidRDefault="00640D42" w:rsidP="004B0586">
            <w:pPr>
              <w:spacing w:before="60" w:after="60"/>
              <w:jc w:val="center"/>
            </w:pPr>
            <w:r w:rsidRPr="00E15C7C">
              <w:t>37</w:t>
            </w:r>
          </w:p>
        </w:tc>
      </w:tr>
      <w:tr w:rsidR="00640D42" w14:paraId="5A28B517" w14:textId="77777777" w:rsidTr="00B80975">
        <w:tc>
          <w:tcPr>
            <w:tcW w:w="6663" w:type="dxa"/>
            <w:tcBorders>
              <w:left w:val="nil"/>
            </w:tcBorders>
          </w:tcPr>
          <w:p w14:paraId="3D8B0246" w14:textId="77777777" w:rsidR="00640D42" w:rsidRPr="00E15C7C" w:rsidRDefault="00640D42" w:rsidP="004B0586">
            <w:pPr>
              <w:tabs>
                <w:tab w:val="left" w:pos="357"/>
              </w:tabs>
              <w:spacing w:before="40" w:after="40"/>
              <w:ind w:left="313" w:hanging="313"/>
            </w:pPr>
            <w:r>
              <w:tab/>
            </w:r>
            <w:r w:rsidRPr="00E15C7C">
              <w:t>Discuss/</w:t>
            </w:r>
            <w:r>
              <w:t>s</w:t>
            </w:r>
            <w:r w:rsidRPr="00E15C7C">
              <w:t>hare findings at forums</w:t>
            </w:r>
          </w:p>
        </w:tc>
        <w:tc>
          <w:tcPr>
            <w:tcW w:w="2268" w:type="dxa"/>
          </w:tcPr>
          <w:p w14:paraId="18E311A5" w14:textId="77777777" w:rsidR="00640D42" w:rsidRPr="00E15C7C" w:rsidRDefault="00640D42" w:rsidP="004B0586">
            <w:pPr>
              <w:spacing w:before="60" w:after="60"/>
              <w:jc w:val="center"/>
            </w:pPr>
            <w:r w:rsidRPr="00E15C7C">
              <w:t>21</w:t>
            </w:r>
          </w:p>
        </w:tc>
      </w:tr>
      <w:tr w:rsidR="00640D42" w14:paraId="31EC5FE0" w14:textId="77777777" w:rsidTr="00B80975">
        <w:tc>
          <w:tcPr>
            <w:tcW w:w="6663" w:type="dxa"/>
            <w:tcBorders>
              <w:left w:val="nil"/>
            </w:tcBorders>
          </w:tcPr>
          <w:p w14:paraId="66B81E80" w14:textId="77777777" w:rsidR="00640D42" w:rsidRPr="00E15C7C" w:rsidRDefault="00640D42" w:rsidP="004B0586">
            <w:pPr>
              <w:tabs>
                <w:tab w:val="left" w:pos="357"/>
              </w:tabs>
              <w:spacing w:before="40" w:after="40"/>
              <w:ind w:left="313" w:hanging="313"/>
            </w:pPr>
            <w:r>
              <w:tab/>
            </w:r>
            <w:r w:rsidRPr="00E15C7C">
              <w:t>Targeted individual performance actions</w:t>
            </w:r>
          </w:p>
        </w:tc>
        <w:tc>
          <w:tcPr>
            <w:tcW w:w="2268" w:type="dxa"/>
          </w:tcPr>
          <w:p w14:paraId="40770AF6" w14:textId="77777777" w:rsidR="00640D42" w:rsidRPr="00E15C7C" w:rsidRDefault="00640D42" w:rsidP="004B0586">
            <w:pPr>
              <w:spacing w:before="60" w:after="60"/>
              <w:jc w:val="center"/>
            </w:pPr>
            <w:r w:rsidRPr="00E15C7C">
              <w:t>15</w:t>
            </w:r>
          </w:p>
        </w:tc>
      </w:tr>
      <w:tr w:rsidR="00640D42" w14:paraId="1DB343AF" w14:textId="77777777" w:rsidTr="00B80975">
        <w:tc>
          <w:tcPr>
            <w:tcW w:w="6663" w:type="dxa"/>
            <w:tcBorders>
              <w:left w:val="nil"/>
            </w:tcBorders>
          </w:tcPr>
          <w:p w14:paraId="5426EC6A" w14:textId="77777777" w:rsidR="00640D42" w:rsidRPr="00E15C7C" w:rsidRDefault="00640D42" w:rsidP="004B0586">
            <w:pPr>
              <w:tabs>
                <w:tab w:val="left" w:pos="357"/>
              </w:tabs>
              <w:spacing w:before="40" w:after="40"/>
              <w:ind w:left="313" w:hanging="313"/>
            </w:pPr>
            <w:r>
              <w:tab/>
              <w:t>P</w:t>
            </w:r>
            <w:r w:rsidRPr="00E15C7C">
              <w:t>erson focused (consumer)</w:t>
            </w:r>
          </w:p>
        </w:tc>
        <w:tc>
          <w:tcPr>
            <w:tcW w:w="2268" w:type="dxa"/>
          </w:tcPr>
          <w:p w14:paraId="744888C1" w14:textId="77777777" w:rsidR="00640D42" w:rsidRPr="00E15C7C" w:rsidRDefault="00640D42" w:rsidP="004B0586">
            <w:pPr>
              <w:spacing w:before="60" w:after="60"/>
              <w:jc w:val="center"/>
            </w:pPr>
            <w:r w:rsidRPr="00E15C7C">
              <w:t>13</w:t>
            </w:r>
          </w:p>
        </w:tc>
      </w:tr>
      <w:tr w:rsidR="00640D42" w14:paraId="6169060F" w14:textId="77777777" w:rsidTr="00B80975">
        <w:tc>
          <w:tcPr>
            <w:tcW w:w="6663" w:type="dxa"/>
            <w:tcBorders>
              <w:left w:val="nil"/>
            </w:tcBorders>
          </w:tcPr>
          <w:p w14:paraId="013855E3" w14:textId="77777777" w:rsidR="00640D42" w:rsidRPr="00E15C7C" w:rsidRDefault="00640D42" w:rsidP="004B0586">
            <w:pPr>
              <w:tabs>
                <w:tab w:val="left" w:pos="357"/>
              </w:tabs>
              <w:spacing w:before="40" w:after="40"/>
              <w:ind w:left="313" w:hanging="313"/>
            </w:pPr>
            <w:r>
              <w:tab/>
            </w:r>
            <w:r w:rsidRPr="00E15C7C">
              <w:t>Communication</w:t>
            </w:r>
            <w:r>
              <w:t xml:space="preserve"> </w:t>
            </w:r>
            <w:r w:rsidRPr="00E15C7C">
              <w:t>focused</w:t>
            </w:r>
          </w:p>
        </w:tc>
        <w:tc>
          <w:tcPr>
            <w:tcW w:w="2268" w:type="dxa"/>
          </w:tcPr>
          <w:p w14:paraId="6943999D" w14:textId="77777777" w:rsidR="00640D42" w:rsidRPr="00E15C7C" w:rsidRDefault="00640D42" w:rsidP="004B0586">
            <w:pPr>
              <w:spacing w:before="60" w:after="60"/>
              <w:jc w:val="center"/>
            </w:pPr>
            <w:r w:rsidRPr="00E15C7C">
              <w:t>11</w:t>
            </w:r>
          </w:p>
        </w:tc>
      </w:tr>
      <w:tr w:rsidR="00640D42" w14:paraId="1569FE0C" w14:textId="77777777" w:rsidTr="00B80975">
        <w:tc>
          <w:tcPr>
            <w:tcW w:w="6663" w:type="dxa"/>
            <w:tcBorders>
              <w:left w:val="nil"/>
              <w:bottom w:val="single" w:sz="4" w:space="0" w:color="auto"/>
            </w:tcBorders>
          </w:tcPr>
          <w:p w14:paraId="151A5394" w14:textId="77777777" w:rsidR="00640D42" w:rsidRPr="00E15C7C" w:rsidRDefault="00640D42" w:rsidP="004B0586">
            <w:pPr>
              <w:tabs>
                <w:tab w:val="left" w:pos="357"/>
              </w:tabs>
              <w:spacing w:before="40" w:after="40"/>
              <w:ind w:left="313" w:hanging="313"/>
            </w:pPr>
            <w:r>
              <w:tab/>
            </w:r>
            <w:r w:rsidRPr="00E15C7C">
              <w:t>Provide feedback to other services</w:t>
            </w:r>
          </w:p>
        </w:tc>
        <w:tc>
          <w:tcPr>
            <w:tcW w:w="2268" w:type="dxa"/>
            <w:tcBorders>
              <w:bottom w:val="single" w:sz="4" w:space="0" w:color="auto"/>
            </w:tcBorders>
          </w:tcPr>
          <w:p w14:paraId="2E051E59" w14:textId="77777777" w:rsidR="00640D42" w:rsidRPr="00E15C7C" w:rsidRDefault="00640D42" w:rsidP="004B0586">
            <w:pPr>
              <w:spacing w:before="60" w:after="60"/>
              <w:jc w:val="center"/>
            </w:pPr>
            <w:r w:rsidRPr="00E15C7C">
              <w:t>4</w:t>
            </w:r>
          </w:p>
        </w:tc>
      </w:tr>
      <w:tr w:rsidR="00640D42" w:rsidRPr="00A321EA" w14:paraId="2AC140A1" w14:textId="77777777" w:rsidTr="00B80975">
        <w:tc>
          <w:tcPr>
            <w:tcW w:w="8931" w:type="dxa"/>
            <w:gridSpan w:val="2"/>
            <w:tcBorders>
              <w:left w:val="nil"/>
              <w:right w:val="single" w:sz="4" w:space="0" w:color="auto"/>
            </w:tcBorders>
            <w:shd w:val="clear" w:color="auto" w:fill="F2F2F2" w:themeFill="background1" w:themeFillShade="F2"/>
          </w:tcPr>
          <w:p w14:paraId="1E43D14D" w14:textId="77777777" w:rsidR="00640D42" w:rsidRPr="00A321EA" w:rsidRDefault="00640D42" w:rsidP="004B0586">
            <w:pPr>
              <w:spacing w:before="40" w:after="40"/>
            </w:pPr>
            <w:r w:rsidRPr="00A321EA">
              <w:t>Task/process focused</w:t>
            </w:r>
          </w:p>
        </w:tc>
      </w:tr>
      <w:tr w:rsidR="00640D42" w14:paraId="4622A3DD" w14:textId="77777777" w:rsidTr="00B80975">
        <w:tc>
          <w:tcPr>
            <w:tcW w:w="6663" w:type="dxa"/>
            <w:tcBorders>
              <w:left w:val="nil"/>
            </w:tcBorders>
          </w:tcPr>
          <w:p w14:paraId="52D9292B" w14:textId="77777777" w:rsidR="00640D42" w:rsidRPr="00E15C7C" w:rsidRDefault="00640D42" w:rsidP="004B0586">
            <w:pPr>
              <w:tabs>
                <w:tab w:val="left" w:pos="357"/>
              </w:tabs>
              <w:spacing w:before="40" w:after="40"/>
              <w:ind w:left="357" w:hanging="357"/>
            </w:pPr>
            <w:r>
              <w:tab/>
            </w:r>
            <w:r w:rsidRPr="00E15C7C">
              <w:t>Develop, review, update or implement a process or pathway</w:t>
            </w:r>
          </w:p>
        </w:tc>
        <w:tc>
          <w:tcPr>
            <w:tcW w:w="2268" w:type="dxa"/>
          </w:tcPr>
          <w:p w14:paraId="700D37CD" w14:textId="77777777" w:rsidR="00640D42" w:rsidRPr="00E15C7C" w:rsidRDefault="00640D42" w:rsidP="004B0586">
            <w:pPr>
              <w:spacing w:before="60" w:after="60"/>
              <w:jc w:val="center"/>
            </w:pPr>
            <w:r w:rsidRPr="00E15C7C">
              <w:t>43</w:t>
            </w:r>
          </w:p>
        </w:tc>
      </w:tr>
      <w:tr w:rsidR="00640D42" w14:paraId="4CEACB32" w14:textId="77777777" w:rsidTr="00B80975">
        <w:tc>
          <w:tcPr>
            <w:tcW w:w="6663" w:type="dxa"/>
            <w:tcBorders>
              <w:left w:val="nil"/>
              <w:bottom w:val="single" w:sz="4" w:space="0" w:color="auto"/>
            </w:tcBorders>
          </w:tcPr>
          <w:p w14:paraId="39F540CF" w14:textId="77777777" w:rsidR="00640D42" w:rsidRPr="00E15C7C" w:rsidRDefault="00640D42" w:rsidP="004B0586">
            <w:pPr>
              <w:tabs>
                <w:tab w:val="left" w:pos="357"/>
              </w:tabs>
              <w:spacing w:before="40" w:after="40"/>
            </w:pPr>
            <w:r>
              <w:tab/>
            </w:r>
            <w:r w:rsidRPr="00E15C7C">
              <w:t>Auditing</w:t>
            </w:r>
          </w:p>
        </w:tc>
        <w:tc>
          <w:tcPr>
            <w:tcW w:w="2268" w:type="dxa"/>
            <w:tcBorders>
              <w:bottom w:val="single" w:sz="4" w:space="0" w:color="auto"/>
            </w:tcBorders>
          </w:tcPr>
          <w:p w14:paraId="10C411C7" w14:textId="77777777" w:rsidR="00640D42" w:rsidRPr="00E15C7C" w:rsidRDefault="00640D42" w:rsidP="004B0586">
            <w:pPr>
              <w:spacing w:before="60" w:after="60"/>
              <w:jc w:val="center"/>
            </w:pPr>
            <w:r w:rsidRPr="00E15C7C">
              <w:t>17</w:t>
            </w:r>
          </w:p>
        </w:tc>
      </w:tr>
      <w:tr w:rsidR="00640D42" w:rsidRPr="00A321EA" w14:paraId="27BC32E8" w14:textId="77777777" w:rsidTr="00B80975">
        <w:tc>
          <w:tcPr>
            <w:tcW w:w="8931" w:type="dxa"/>
            <w:gridSpan w:val="2"/>
            <w:tcBorders>
              <w:left w:val="nil"/>
              <w:right w:val="single" w:sz="4" w:space="0" w:color="auto"/>
            </w:tcBorders>
            <w:shd w:val="clear" w:color="auto" w:fill="F2F2F2" w:themeFill="background1" w:themeFillShade="F2"/>
          </w:tcPr>
          <w:p w14:paraId="66821713" w14:textId="77777777" w:rsidR="00640D42" w:rsidRPr="00A321EA" w:rsidRDefault="00640D42" w:rsidP="004B0586">
            <w:pPr>
              <w:spacing w:before="40" w:after="40"/>
            </w:pPr>
            <w:r w:rsidRPr="00A321EA">
              <w:t>Tools/technology focused</w:t>
            </w:r>
          </w:p>
        </w:tc>
      </w:tr>
      <w:tr w:rsidR="00640D42" w14:paraId="270B54F6" w14:textId="77777777" w:rsidTr="00B80975">
        <w:tc>
          <w:tcPr>
            <w:tcW w:w="6663" w:type="dxa"/>
            <w:tcBorders>
              <w:left w:val="nil"/>
            </w:tcBorders>
          </w:tcPr>
          <w:p w14:paraId="79F9C38C" w14:textId="77777777" w:rsidR="00640D42" w:rsidRPr="00E15C7C" w:rsidRDefault="00640D42" w:rsidP="004B0586">
            <w:pPr>
              <w:tabs>
                <w:tab w:val="left" w:pos="357"/>
              </w:tabs>
              <w:spacing w:before="40" w:after="40"/>
              <w:ind w:left="357" w:hanging="357"/>
            </w:pPr>
            <w:r>
              <w:tab/>
            </w:r>
            <w:r w:rsidRPr="00E15C7C">
              <w:t>IT electronic record specific</w:t>
            </w:r>
          </w:p>
        </w:tc>
        <w:tc>
          <w:tcPr>
            <w:tcW w:w="2268" w:type="dxa"/>
          </w:tcPr>
          <w:p w14:paraId="7DCFC6D2" w14:textId="77777777" w:rsidR="00640D42" w:rsidRPr="00E15C7C" w:rsidRDefault="00640D42" w:rsidP="004B0586">
            <w:pPr>
              <w:spacing w:before="60" w:after="60"/>
              <w:jc w:val="center"/>
            </w:pPr>
            <w:r w:rsidRPr="00E15C7C">
              <w:t>4</w:t>
            </w:r>
          </w:p>
        </w:tc>
      </w:tr>
      <w:tr w:rsidR="00640D42" w14:paraId="4DD7C681" w14:textId="77777777" w:rsidTr="00B80975">
        <w:tc>
          <w:tcPr>
            <w:tcW w:w="6663" w:type="dxa"/>
            <w:tcBorders>
              <w:left w:val="nil"/>
            </w:tcBorders>
          </w:tcPr>
          <w:p w14:paraId="78C71FC8" w14:textId="77777777" w:rsidR="00640D42" w:rsidRPr="00E15C7C" w:rsidRDefault="00640D42" w:rsidP="004B0586">
            <w:pPr>
              <w:tabs>
                <w:tab w:val="left" w:pos="357"/>
              </w:tabs>
              <w:spacing w:before="40" w:after="40"/>
              <w:ind w:left="357" w:hanging="357"/>
            </w:pPr>
            <w:r>
              <w:tab/>
            </w:r>
            <w:r w:rsidRPr="00E15C7C">
              <w:t>Improve IT availability</w:t>
            </w:r>
          </w:p>
        </w:tc>
        <w:tc>
          <w:tcPr>
            <w:tcW w:w="2268" w:type="dxa"/>
          </w:tcPr>
          <w:p w14:paraId="0A1B2143" w14:textId="77777777" w:rsidR="00640D42" w:rsidRPr="00E15C7C" w:rsidRDefault="00640D42" w:rsidP="004B0586">
            <w:pPr>
              <w:spacing w:before="60" w:after="60"/>
              <w:jc w:val="center"/>
            </w:pPr>
            <w:r w:rsidRPr="00E15C7C">
              <w:t>8</w:t>
            </w:r>
          </w:p>
        </w:tc>
      </w:tr>
      <w:tr w:rsidR="00640D42" w14:paraId="2E1B0951" w14:textId="77777777" w:rsidTr="00B80975">
        <w:tc>
          <w:tcPr>
            <w:tcW w:w="6663" w:type="dxa"/>
            <w:tcBorders>
              <w:left w:val="nil"/>
            </w:tcBorders>
          </w:tcPr>
          <w:p w14:paraId="69E7216C" w14:textId="6E36AFB4" w:rsidR="00640D42" w:rsidRPr="00E15C7C" w:rsidRDefault="00640D42" w:rsidP="004B0586">
            <w:pPr>
              <w:tabs>
                <w:tab w:val="left" w:pos="357"/>
              </w:tabs>
              <w:spacing w:before="40" w:after="40"/>
              <w:ind w:left="357" w:hanging="357"/>
            </w:pPr>
            <w:r>
              <w:tab/>
            </w:r>
            <w:r w:rsidRPr="00E15C7C">
              <w:t>Equipment upgrade/availability</w:t>
            </w:r>
          </w:p>
        </w:tc>
        <w:tc>
          <w:tcPr>
            <w:tcW w:w="2268" w:type="dxa"/>
          </w:tcPr>
          <w:p w14:paraId="62FA0EEA" w14:textId="77777777" w:rsidR="00640D42" w:rsidRPr="00E15C7C" w:rsidRDefault="00640D42" w:rsidP="004B0586">
            <w:pPr>
              <w:spacing w:before="60" w:after="60"/>
              <w:jc w:val="center"/>
            </w:pPr>
            <w:r w:rsidRPr="00E15C7C">
              <w:t>21</w:t>
            </w:r>
          </w:p>
        </w:tc>
      </w:tr>
      <w:tr w:rsidR="00640D42" w14:paraId="28E82EC1" w14:textId="77777777" w:rsidTr="00B80975">
        <w:tc>
          <w:tcPr>
            <w:tcW w:w="6663" w:type="dxa"/>
            <w:tcBorders>
              <w:left w:val="nil"/>
              <w:bottom w:val="single" w:sz="4" w:space="0" w:color="auto"/>
            </w:tcBorders>
          </w:tcPr>
          <w:p w14:paraId="5E4127E3" w14:textId="77777777" w:rsidR="00640D42" w:rsidRPr="00E15C7C" w:rsidRDefault="00640D42" w:rsidP="004B0586">
            <w:pPr>
              <w:tabs>
                <w:tab w:val="left" w:pos="357"/>
              </w:tabs>
              <w:spacing w:before="40" w:after="40"/>
              <w:ind w:left="357" w:hanging="357"/>
            </w:pPr>
            <w:r>
              <w:tab/>
            </w:r>
            <w:r w:rsidRPr="00E15C7C">
              <w:t>Develop cognitive aids</w:t>
            </w:r>
          </w:p>
        </w:tc>
        <w:tc>
          <w:tcPr>
            <w:tcW w:w="2268" w:type="dxa"/>
            <w:tcBorders>
              <w:bottom w:val="single" w:sz="4" w:space="0" w:color="auto"/>
            </w:tcBorders>
          </w:tcPr>
          <w:p w14:paraId="04A429E7" w14:textId="77777777" w:rsidR="00640D42" w:rsidRPr="00E15C7C" w:rsidRDefault="00640D42" w:rsidP="004B0586">
            <w:pPr>
              <w:spacing w:before="60" w:after="60"/>
              <w:jc w:val="center"/>
            </w:pPr>
            <w:r w:rsidRPr="00E15C7C">
              <w:t>12</w:t>
            </w:r>
          </w:p>
        </w:tc>
      </w:tr>
      <w:tr w:rsidR="00640D42" w:rsidRPr="00A321EA" w14:paraId="029CA255" w14:textId="77777777" w:rsidTr="00B80975">
        <w:tc>
          <w:tcPr>
            <w:tcW w:w="8931" w:type="dxa"/>
            <w:gridSpan w:val="2"/>
            <w:tcBorders>
              <w:left w:val="nil"/>
              <w:right w:val="single" w:sz="4" w:space="0" w:color="auto"/>
            </w:tcBorders>
            <w:shd w:val="clear" w:color="auto" w:fill="F2F2F2" w:themeFill="background1" w:themeFillShade="F2"/>
          </w:tcPr>
          <w:p w14:paraId="6E565F8D" w14:textId="77777777" w:rsidR="00640D42" w:rsidRPr="00A321EA" w:rsidRDefault="00640D42" w:rsidP="004B0586">
            <w:pPr>
              <w:spacing w:before="40" w:after="40"/>
            </w:pPr>
            <w:r w:rsidRPr="00A321EA">
              <w:t>Organisation</w:t>
            </w:r>
            <w:r>
              <w:t xml:space="preserve"> focused</w:t>
            </w:r>
          </w:p>
        </w:tc>
      </w:tr>
      <w:tr w:rsidR="00640D42" w14:paraId="777654F1" w14:textId="77777777" w:rsidTr="00B80975">
        <w:tc>
          <w:tcPr>
            <w:tcW w:w="6663" w:type="dxa"/>
            <w:tcBorders>
              <w:left w:val="nil"/>
            </w:tcBorders>
          </w:tcPr>
          <w:p w14:paraId="4E0C3EF7" w14:textId="77777777" w:rsidR="00640D42" w:rsidRPr="00E15C7C" w:rsidRDefault="00640D42" w:rsidP="004B0586">
            <w:pPr>
              <w:tabs>
                <w:tab w:val="left" w:pos="357"/>
              </w:tabs>
              <w:spacing w:before="40" w:after="40"/>
              <w:ind w:left="357" w:hanging="357"/>
            </w:pPr>
            <w:r>
              <w:tab/>
            </w:r>
            <w:r w:rsidRPr="00E15C7C">
              <w:t>Workforce</w:t>
            </w:r>
          </w:p>
        </w:tc>
        <w:tc>
          <w:tcPr>
            <w:tcW w:w="2268" w:type="dxa"/>
          </w:tcPr>
          <w:p w14:paraId="46D86A64" w14:textId="77777777" w:rsidR="00640D42" w:rsidRPr="00E15C7C" w:rsidRDefault="00640D42" w:rsidP="004B0586">
            <w:pPr>
              <w:spacing w:before="60" w:after="60"/>
              <w:jc w:val="center"/>
            </w:pPr>
            <w:r w:rsidRPr="00E15C7C">
              <w:t>23</w:t>
            </w:r>
          </w:p>
        </w:tc>
      </w:tr>
      <w:tr w:rsidR="00640D42" w14:paraId="4200F398" w14:textId="77777777" w:rsidTr="00B80975">
        <w:tc>
          <w:tcPr>
            <w:tcW w:w="6663" w:type="dxa"/>
            <w:tcBorders>
              <w:left w:val="nil"/>
            </w:tcBorders>
          </w:tcPr>
          <w:p w14:paraId="11A5A0DB" w14:textId="77777777" w:rsidR="00640D42" w:rsidRPr="00E15C7C" w:rsidRDefault="00640D42" w:rsidP="004B0586">
            <w:pPr>
              <w:tabs>
                <w:tab w:val="left" w:pos="357"/>
              </w:tabs>
              <w:spacing w:before="40" w:after="40"/>
              <w:ind w:left="357" w:hanging="357"/>
            </w:pPr>
            <w:r>
              <w:tab/>
            </w:r>
            <w:r w:rsidRPr="00E15C7C">
              <w:t xml:space="preserve">Risk register workforce </w:t>
            </w:r>
          </w:p>
        </w:tc>
        <w:tc>
          <w:tcPr>
            <w:tcW w:w="2268" w:type="dxa"/>
          </w:tcPr>
          <w:p w14:paraId="1A18BC6A" w14:textId="77777777" w:rsidR="00640D42" w:rsidRPr="00E15C7C" w:rsidRDefault="00640D42" w:rsidP="004B0586">
            <w:pPr>
              <w:spacing w:before="60" w:after="60"/>
              <w:jc w:val="center"/>
            </w:pPr>
            <w:r w:rsidRPr="00E15C7C">
              <w:t>2</w:t>
            </w:r>
          </w:p>
        </w:tc>
      </w:tr>
      <w:tr w:rsidR="00640D42" w14:paraId="6A80252B" w14:textId="77777777" w:rsidTr="00B80975">
        <w:tc>
          <w:tcPr>
            <w:tcW w:w="6663" w:type="dxa"/>
            <w:tcBorders>
              <w:left w:val="nil"/>
            </w:tcBorders>
          </w:tcPr>
          <w:p w14:paraId="398DD3D4" w14:textId="77777777" w:rsidR="00640D42" w:rsidRPr="00E15C7C" w:rsidRDefault="00640D42" w:rsidP="004B0586">
            <w:pPr>
              <w:tabs>
                <w:tab w:val="left" w:pos="357"/>
              </w:tabs>
              <w:spacing w:before="40" w:after="40"/>
              <w:ind w:left="357" w:hanging="357"/>
            </w:pPr>
            <w:r>
              <w:tab/>
            </w:r>
            <w:r w:rsidRPr="00E15C7C">
              <w:t>Facilities/infrastructure</w:t>
            </w:r>
          </w:p>
        </w:tc>
        <w:tc>
          <w:tcPr>
            <w:tcW w:w="2268" w:type="dxa"/>
          </w:tcPr>
          <w:p w14:paraId="11043C0B" w14:textId="77777777" w:rsidR="00640D42" w:rsidRPr="00E15C7C" w:rsidRDefault="00640D42" w:rsidP="004B0586">
            <w:pPr>
              <w:spacing w:before="60" w:after="60"/>
              <w:jc w:val="center"/>
            </w:pPr>
            <w:r w:rsidRPr="00E15C7C">
              <w:t>4</w:t>
            </w:r>
          </w:p>
        </w:tc>
      </w:tr>
      <w:tr w:rsidR="00640D42" w14:paraId="097E3E28" w14:textId="77777777" w:rsidTr="00B80975">
        <w:tc>
          <w:tcPr>
            <w:tcW w:w="6663" w:type="dxa"/>
            <w:tcBorders>
              <w:left w:val="nil"/>
              <w:bottom w:val="single" w:sz="4" w:space="0" w:color="auto"/>
            </w:tcBorders>
          </w:tcPr>
          <w:p w14:paraId="511EE525" w14:textId="77777777" w:rsidR="00640D42" w:rsidRPr="00E15C7C" w:rsidRDefault="00640D42" w:rsidP="004B0586">
            <w:pPr>
              <w:tabs>
                <w:tab w:val="left" w:pos="357"/>
              </w:tabs>
              <w:spacing w:before="40" w:after="40"/>
              <w:ind w:left="357" w:hanging="357"/>
            </w:pPr>
            <w:r>
              <w:tab/>
            </w:r>
            <w:r w:rsidRPr="00E15C7C">
              <w:t>Additional services required</w:t>
            </w:r>
          </w:p>
        </w:tc>
        <w:tc>
          <w:tcPr>
            <w:tcW w:w="2268" w:type="dxa"/>
            <w:tcBorders>
              <w:bottom w:val="single" w:sz="4" w:space="0" w:color="auto"/>
            </w:tcBorders>
          </w:tcPr>
          <w:p w14:paraId="2949A651" w14:textId="77777777" w:rsidR="00640D42" w:rsidRPr="00E15C7C" w:rsidRDefault="00640D42" w:rsidP="004B0586">
            <w:pPr>
              <w:spacing w:before="60" w:after="60"/>
              <w:jc w:val="center"/>
            </w:pPr>
            <w:r w:rsidRPr="00E15C7C">
              <w:t>3</w:t>
            </w:r>
          </w:p>
        </w:tc>
      </w:tr>
      <w:tr w:rsidR="00640D42" w:rsidRPr="007857B7" w14:paraId="21287667" w14:textId="77777777" w:rsidTr="00B80975">
        <w:tc>
          <w:tcPr>
            <w:tcW w:w="8931" w:type="dxa"/>
            <w:gridSpan w:val="2"/>
            <w:tcBorders>
              <w:left w:val="nil"/>
              <w:right w:val="single" w:sz="4" w:space="0" w:color="auto"/>
            </w:tcBorders>
            <w:shd w:val="clear" w:color="auto" w:fill="F2F2F2" w:themeFill="background1" w:themeFillShade="F2"/>
          </w:tcPr>
          <w:p w14:paraId="4B233802" w14:textId="77777777" w:rsidR="00640D42" w:rsidRPr="007857B7" w:rsidRDefault="00640D42" w:rsidP="004B0586">
            <w:pPr>
              <w:spacing w:before="40" w:after="40"/>
            </w:pPr>
            <w:r w:rsidRPr="007857B7">
              <w:t>Wider system focused</w:t>
            </w:r>
          </w:p>
        </w:tc>
      </w:tr>
      <w:tr w:rsidR="00640D42" w14:paraId="54DDD654" w14:textId="77777777" w:rsidTr="00B80975">
        <w:tc>
          <w:tcPr>
            <w:tcW w:w="6663" w:type="dxa"/>
            <w:tcBorders>
              <w:left w:val="nil"/>
            </w:tcBorders>
          </w:tcPr>
          <w:p w14:paraId="28530072" w14:textId="77777777" w:rsidR="00640D42" w:rsidRPr="00E15C7C" w:rsidRDefault="00640D42" w:rsidP="004B0586">
            <w:pPr>
              <w:tabs>
                <w:tab w:val="left" w:pos="357"/>
              </w:tabs>
              <w:spacing w:before="40" w:after="40"/>
              <w:ind w:left="357" w:hanging="357"/>
            </w:pPr>
            <w:r>
              <w:tab/>
            </w:r>
            <w:r w:rsidRPr="00E15C7C">
              <w:t>Community-focused recommendations</w:t>
            </w:r>
          </w:p>
        </w:tc>
        <w:tc>
          <w:tcPr>
            <w:tcW w:w="2268" w:type="dxa"/>
          </w:tcPr>
          <w:p w14:paraId="1344E3A4" w14:textId="77777777" w:rsidR="00640D42" w:rsidRPr="00E15C7C" w:rsidRDefault="00640D42" w:rsidP="004B0586">
            <w:pPr>
              <w:spacing w:before="60" w:after="60"/>
              <w:jc w:val="center"/>
            </w:pPr>
            <w:r w:rsidRPr="00E15C7C">
              <w:t>3</w:t>
            </w:r>
          </w:p>
        </w:tc>
      </w:tr>
      <w:tr w:rsidR="00640D42" w14:paraId="351C6392" w14:textId="77777777" w:rsidTr="00B80975">
        <w:tc>
          <w:tcPr>
            <w:tcW w:w="6663" w:type="dxa"/>
            <w:tcBorders>
              <w:left w:val="nil"/>
            </w:tcBorders>
          </w:tcPr>
          <w:p w14:paraId="5D7446DB" w14:textId="77777777" w:rsidR="00640D42" w:rsidRPr="00E15C7C" w:rsidRDefault="00640D42" w:rsidP="004B0586">
            <w:pPr>
              <w:tabs>
                <w:tab w:val="left" w:pos="357"/>
              </w:tabs>
              <w:spacing w:before="40" w:after="40"/>
              <w:ind w:left="357" w:hanging="357"/>
            </w:pPr>
            <w:r>
              <w:tab/>
            </w:r>
            <w:r w:rsidRPr="00E15C7C">
              <w:t>National/regional actions</w:t>
            </w:r>
          </w:p>
        </w:tc>
        <w:tc>
          <w:tcPr>
            <w:tcW w:w="2268" w:type="dxa"/>
          </w:tcPr>
          <w:p w14:paraId="50CF2071" w14:textId="77777777" w:rsidR="00640D42" w:rsidRPr="00E15C7C" w:rsidRDefault="00640D42" w:rsidP="004B0586">
            <w:pPr>
              <w:spacing w:before="60" w:after="60"/>
              <w:jc w:val="center"/>
            </w:pPr>
            <w:r w:rsidRPr="00E15C7C">
              <w:t>4</w:t>
            </w:r>
          </w:p>
        </w:tc>
      </w:tr>
      <w:tr w:rsidR="00640D42" w14:paraId="4B6F29A8" w14:textId="77777777" w:rsidTr="00B80975">
        <w:tc>
          <w:tcPr>
            <w:tcW w:w="6663" w:type="dxa"/>
            <w:tcBorders>
              <w:left w:val="nil"/>
            </w:tcBorders>
          </w:tcPr>
          <w:p w14:paraId="1D24ADAF" w14:textId="77777777" w:rsidR="00640D42" w:rsidRPr="00E15C7C" w:rsidRDefault="00640D42" w:rsidP="004B0586">
            <w:pPr>
              <w:tabs>
                <w:tab w:val="left" w:pos="357"/>
              </w:tabs>
              <w:spacing w:before="40" w:after="40"/>
              <w:ind w:left="357" w:hanging="357"/>
            </w:pPr>
            <w:r>
              <w:tab/>
            </w:r>
            <w:r w:rsidRPr="00E15C7C">
              <w:t>Discussion with regional/national groups</w:t>
            </w:r>
          </w:p>
        </w:tc>
        <w:tc>
          <w:tcPr>
            <w:tcW w:w="2268" w:type="dxa"/>
          </w:tcPr>
          <w:p w14:paraId="2327DDA8" w14:textId="77777777" w:rsidR="00640D42" w:rsidRPr="00E15C7C" w:rsidRDefault="00640D42" w:rsidP="004B0586">
            <w:pPr>
              <w:spacing w:before="60" w:after="60"/>
              <w:jc w:val="center"/>
            </w:pPr>
            <w:r w:rsidRPr="00E15C7C">
              <w:t>1</w:t>
            </w:r>
          </w:p>
        </w:tc>
      </w:tr>
      <w:tr w:rsidR="00640D42" w14:paraId="7C853B8B" w14:textId="77777777" w:rsidTr="00B80975">
        <w:tc>
          <w:tcPr>
            <w:tcW w:w="6663" w:type="dxa"/>
            <w:tcBorders>
              <w:left w:val="nil"/>
            </w:tcBorders>
            <w:shd w:val="clear" w:color="auto" w:fill="FFFFFF" w:themeFill="background1"/>
          </w:tcPr>
          <w:p w14:paraId="029DF1A5" w14:textId="77777777" w:rsidR="00640D42" w:rsidRPr="00E15C7C" w:rsidRDefault="00640D42" w:rsidP="004B0586">
            <w:pPr>
              <w:spacing w:before="40" w:after="40"/>
              <w:rPr>
                <w:b/>
                <w:bCs/>
              </w:rPr>
            </w:pPr>
            <w:r w:rsidRPr="00E15C7C">
              <w:rPr>
                <w:b/>
                <w:bCs/>
              </w:rPr>
              <w:t>Overall total recommendations</w:t>
            </w:r>
          </w:p>
        </w:tc>
        <w:tc>
          <w:tcPr>
            <w:tcW w:w="2268" w:type="dxa"/>
            <w:shd w:val="clear" w:color="auto" w:fill="FFFFFF" w:themeFill="background1"/>
          </w:tcPr>
          <w:p w14:paraId="004BF1BB" w14:textId="77777777" w:rsidR="00640D42" w:rsidRPr="00E15C7C" w:rsidRDefault="00640D42" w:rsidP="004B0586">
            <w:pPr>
              <w:spacing w:before="60" w:after="60"/>
              <w:jc w:val="center"/>
            </w:pPr>
            <w:r w:rsidRPr="00E15C7C">
              <w:t>562</w:t>
            </w:r>
          </w:p>
        </w:tc>
      </w:tr>
    </w:tbl>
    <w:p w14:paraId="1E4A4592" w14:textId="77777777" w:rsidR="00640D42" w:rsidRPr="00A8276A" w:rsidRDefault="00640D42" w:rsidP="00342084">
      <w:pPr>
        <w:spacing w:before="120"/>
        <w:rPr>
          <w:sz w:val="20"/>
          <w:szCs w:val="20"/>
        </w:rPr>
      </w:pPr>
      <w:r w:rsidRPr="00A8276A">
        <w:rPr>
          <w:sz w:val="20"/>
          <w:szCs w:val="20"/>
        </w:rPr>
        <w:t xml:space="preserve">Note: No recommendations were created for 29 </w:t>
      </w:r>
      <w:r>
        <w:rPr>
          <w:sz w:val="20"/>
          <w:szCs w:val="20"/>
        </w:rPr>
        <w:t xml:space="preserve">reported </w:t>
      </w:r>
      <w:r w:rsidRPr="00A8276A">
        <w:rPr>
          <w:sz w:val="20"/>
          <w:szCs w:val="20"/>
        </w:rPr>
        <w:t>events.</w:t>
      </w:r>
    </w:p>
    <w:p w14:paraId="225BA1EC" w14:textId="77777777" w:rsidR="00640D42" w:rsidRDefault="00640D42" w:rsidP="00E75D17">
      <w:pPr>
        <w:pStyle w:val="TeThhauoraheading4"/>
      </w:pPr>
      <w:bookmarkStart w:id="46" w:name="_Toc155958948"/>
      <w:bookmarkStart w:id="47" w:name="_Toc160178707"/>
      <w:r>
        <w:t>Person-focused recommendations</w:t>
      </w:r>
      <w:bookmarkEnd w:id="46"/>
      <w:bookmarkEnd w:id="47"/>
    </w:p>
    <w:p w14:paraId="305F90D5" w14:textId="77777777" w:rsidR="00640D42" w:rsidRDefault="00640D42" w:rsidP="004B0586">
      <w:pPr>
        <w:pStyle w:val="TeThHauorabodytext"/>
      </w:pPr>
      <w:r>
        <w:t>Most r</w:t>
      </w:r>
      <w:r w:rsidRPr="008D3A96">
        <w:t>ecommendations</w:t>
      </w:r>
      <w:r>
        <w:t xml:space="preserve"> (427; 76 percent) reviewed for this analysis focused on person-centred actions. These included education, policy/guideline review and alerting health care workers to actions they should take, policies or guidelines they should follow and the sharing of findings at closed forums. Task-focused recommendations highlighted the need to review, update or develop a new pathway or process for health care workers to follow. </w:t>
      </w:r>
    </w:p>
    <w:p w14:paraId="5D441AC3" w14:textId="77777777" w:rsidR="00640D42" w:rsidRDefault="00640D42" w:rsidP="00E75D17">
      <w:pPr>
        <w:pStyle w:val="TeThhauoraheading4"/>
      </w:pPr>
      <w:bookmarkStart w:id="48" w:name="_Toc155958949"/>
      <w:bookmarkStart w:id="49" w:name="_Toc160178708"/>
      <w:r>
        <w:t>Education</w:t>
      </w:r>
      <w:bookmarkEnd w:id="48"/>
      <w:bookmarkEnd w:id="49"/>
      <w:r>
        <w:t xml:space="preserve"> </w:t>
      </w:r>
    </w:p>
    <w:p w14:paraId="18C38D73" w14:textId="77777777" w:rsidR="00640D42" w:rsidRDefault="00640D42" w:rsidP="004B0586">
      <w:pPr>
        <w:pStyle w:val="TeThHauorabodytext"/>
      </w:pPr>
      <w:r>
        <w:t xml:space="preserve">The need for individuals to attend education courses was mentioned in 81 recommendations, as well as an additional 18 recommendations specific to CTG and </w:t>
      </w:r>
      <w:proofErr w:type="spellStart"/>
      <w:r>
        <w:t>fetal</w:t>
      </w:r>
      <w:proofErr w:type="spellEnd"/>
      <w:r>
        <w:t xml:space="preserve"> surveillance education. Five recommendations discussed the need to audit practitioner compliance with attending required education. Education included directing individuals to complete nationally recognised programmes such as neonatal resuscitation or </w:t>
      </w:r>
      <w:proofErr w:type="spellStart"/>
      <w:r>
        <w:t>fetal</w:t>
      </w:r>
      <w:proofErr w:type="spellEnd"/>
      <w:r>
        <w:t xml:space="preserve"> surveillance education programmes. Most of the education or professional development recommendations involved sessions at a local level on a wide variety of aspects involved in maternity care. Some mentioned creating standardised orientation education packages for new staff or the need to increase knowledge or confidence in performing tasks. Many education recommendations stated that education was required on specific topics but did not explore how this would be achieved. Five recommendations mentioned using simulation as an education tool.</w:t>
      </w:r>
    </w:p>
    <w:p w14:paraId="211629C1" w14:textId="77777777" w:rsidR="00640D42" w:rsidRDefault="00640D42" w:rsidP="00E75D17">
      <w:pPr>
        <w:pStyle w:val="TeThhauoraheading4"/>
      </w:pPr>
      <w:bookmarkStart w:id="50" w:name="_Toc155958950"/>
      <w:bookmarkStart w:id="51" w:name="_Toc160178709"/>
      <w:r>
        <w:t>Reminders</w:t>
      </w:r>
      <w:bookmarkEnd w:id="50"/>
      <w:bookmarkEnd w:id="51"/>
    </w:p>
    <w:p w14:paraId="6A4C94B2" w14:textId="77777777" w:rsidR="00640D42" w:rsidRDefault="00640D42" w:rsidP="004B0586">
      <w:pPr>
        <w:pStyle w:val="TeThHauorabodytext"/>
      </w:pPr>
      <w:r>
        <w:t>Notably, 88 recommendations involved alerting people to their responsibilities, the actions they should take and the need to socialise policies and guidelines. An additional 21 discussed sharing the findings at forums. A few recommendations highlighted that support was needed for junior medical staff and LMCs providing care for pregnant woman and birthing people with higher acuity needs but without specific actions to achieve this.</w:t>
      </w:r>
    </w:p>
    <w:p w14:paraId="16F16ABA" w14:textId="77777777" w:rsidR="00640D42" w:rsidRDefault="00640D42" w:rsidP="00E75D17">
      <w:pPr>
        <w:pStyle w:val="TeThhauoraheading4"/>
      </w:pPr>
      <w:bookmarkStart w:id="52" w:name="_Toc155958951"/>
      <w:bookmarkStart w:id="53" w:name="_Toc160178710"/>
      <w:r>
        <w:t xml:space="preserve">Policies, </w:t>
      </w:r>
      <w:proofErr w:type="gramStart"/>
      <w:r>
        <w:t>guidelines</w:t>
      </w:r>
      <w:proofErr w:type="gramEnd"/>
      <w:r>
        <w:t xml:space="preserve"> and pathways</w:t>
      </w:r>
      <w:bookmarkEnd w:id="52"/>
      <w:bookmarkEnd w:id="53"/>
    </w:p>
    <w:p w14:paraId="469810ED" w14:textId="77777777" w:rsidR="00640D42" w:rsidRPr="00D6025C" w:rsidRDefault="00640D42" w:rsidP="004B0586">
      <w:pPr>
        <w:pStyle w:val="TeThHauorabodytext"/>
      </w:pPr>
      <w:r>
        <w:t xml:space="preserve">A total of 78 recommendations required a policy, </w:t>
      </w:r>
      <w:proofErr w:type="gramStart"/>
      <w:r>
        <w:t>form</w:t>
      </w:r>
      <w:proofErr w:type="gramEnd"/>
      <w:r>
        <w:t xml:space="preserve"> or guideline to be updated. Additionally, 43 recommendations required people to develop, update or implement pathways or processes such as transfer-of-care pathways, models of care, implementation of MEWS and referral processes. There were 12 recommendations that suggested the development of simple cognitive aids that would support practitioners when providing care or provide cues on actions to take during high-stress situations. The need to audit compliance with policy was mentioned within 17 recommendations.</w:t>
      </w:r>
    </w:p>
    <w:p w14:paraId="52CE2625" w14:textId="77777777" w:rsidR="00640D42" w:rsidRDefault="00640D42" w:rsidP="00E75D17">
      <w:pPr>
        <w:pStyle w:val="TeThhauoraheading4"/>
      </w:pPr>
      <w:bookmarkStart w:id="54" w:name="_Toc155958952"/>
      <w:bookmarkStart w:id="55" w:name="_Toc160178711"/>
      <w:r>
        <w:t>Communication</w:t>
      </w:r>
      <w:bookmarkEnd w:id="54"/>
      <w:bookmarkEnd w:id="55"/>
    </w:p>
    <w:p w14:paraId="499A2F4F" w14:textId="77777777" w:rsidR="00640D42" w:rsidRDefault="00640D42" w:rsidP="004B0586">
      <w:pPr>
        <w:pStyle w:val="TeThHauorabodytext"/>
      </w:pPr>
      <w:r>
        <w:t>Despite the large number of communication-related findings, only 11 recommendations focused specifically on communication methods. The implementation of the communication tool ‘ISBAR’</w:t>
      </w:r>
      <w:r>
        <w:rPr>
          <w:rStyle w:val="FootnoteReference"/>
        </w:rPr>
        <w:footnoteReference w:id="5"/>
      </w:r>
      <w:r>
        <w:t xml:space="preserve"> was suggested to improve communication across transitions of care and enable escalation and handover processes. Written communication through documentation was mentioned, with recommendations focused on the effectiveness of current record-keeping systems and the need for a consistent and accessible approach that communicates across the transitions of care, minimising the duplication of documentation in several places. </w:t>
      </w:r>
    </w:p>
    <w:p w14:paraId="3B15C9AF" w14:textId="797B4142" w:rsidR="00640D42" w:rsidRDefault="00F6221E" w:rsidP="00E75D17">
      <w:pPr>
        <w:pStyle w:val="TeThhauoraheading4"/>
      </w:pPr>
      <w:bookmarkStart w:id="56" w:name="_Toc155958953"/>
      <w:bookmarkStart w:id="57" w:name="_Toc160178712"/>
      <w:r>
        <w:t>CTG</w:t>
      </w:r>
      <w:bookmarkEnd w:id="56"/>
      <w:bookmarkEnd w:id="57"/>
    </w:p>
    <w:p w14:paraId="4DE70C33" w14:textId="0883690E" w:rsidR="00640D42" w:rsidRDefault="00640D42" w:rsidP="004B0586">
      <w:pPr>
        <w:pStyle w:val="TeThHauorabodytext"/>
      </w:pPr>
      <w:r>
        <w:t>The 56 CTG-related recommendations included the need to attend approved training courses (</w:t>
      </w:r>
      <w:proofErr w:type="spellStart"/>
      <w:r>
        <w:t>eg</w:t>
      </w:r>
      <w:proofErr w:type="spellEnd"/>
      <w:r>
        <w:t xml:space="preserve">, </w:t>
      </w:r>
      <w:proofErr w:type="spellStart"/>
      <w:r>
        <w:t>fetal</w:t>
      </w:r>
      <w:proofErr w:type="spellEnd"/>
      <w:r w:rsidRPr="005E3715">
        <w:t xml:space="preserve"> </w:t>
      </w:r>
      <w:r w:rsidRPr="006360ED">
        <w:t>electronic</w:t>
      </w:r>
      <w:r w:rsidRPr="005E3715">
        <w:t xml:space="preserve"> surveillance programme)</w:t>
      </w:r>
      <w:r>
        <w:t xml:space="preserve"> and education days within organisations. Several mentioned the requirement to introduce or remind health care workers of the need for ‘fresh eyes’ across CTGs, record keeping for education and policies related to </w:t>
      </w:r>
      <w:proofErr w:type="spellStart"/>
      <w:r>
        <w:t>fetal</w:t>
      </w:r>
      <w:proofErr w:type="spellEnd"/>
      <w:r>
        <w:t xml:space="preserve"> surveillance and choice of </w:t>
      </w:r>
      <w:proofErr w:type="spellStart"/>
      <w:r>
        <w:t>fetal</w:t>
      </w:r>
      <w:proofErr w:type="spellEnd"/>
      <w:r>
        <w:t xml:space="preserve"> monitoring. One recommendation suggested the need for electronic centralised monitoring of CTGs and </w:t>
      </w:r>
      <w:r w:rsidR="002C6571">
        <w:t xml:space="preserve">another </w:t>
      </w:r>
      <w:r>
        <w:t>two requested updated and transportable CTG equipment.</w:t>
      </w:r>
    </w:p>
    <w:p w14:paraId="33CBE143" w14:textId="77777777" w:rsidR="00640D42" w:rsidRDefault="00640D42" w:rsidP="00E75D17">
      <w:pPr>
        <w:pStyle w:val="TeThhauoraheading4"/>
      </w:pPr>
      <w:bookmarkStart w:id="58" w:name="_Toc155958954"/>
      <w:bookmarkStart w:id="59" w:name="_Toc160178713"/>
      <w:r>
        <w:t>Equipment</w:t>
      </w:r>
      <w:bookmarkEnd w:id="58"/>
      <w:bookmarkEnd w:id="59"/>
    </w:p>
    <w:p w14:paraId="2F8D8DEC" w14:textId="77777777" w:rsidR="00640D42" w:rsidRDefault="00640D42" w:rsidP="004B0586">
      <w:pPr>
        <w:pStyle w:val="TeThHauorabodytext"/>
      </w:pPr>
      <w:r>
        <w:t>Equipment required to support health care workers in providing good care was mentioned in 21 recommendations. These included purchasing a variety of updated equipment and increasing the supply of equipment (</w:t>
      </w:r>
      <w:proofErr w:type="spellStart"/>
      <w:r>
        <w:t>eg</w:t>
      </w:r>
      <w:proofErr w:type="spellEnd"/>
      <w:r>
        <w:t xml:space="preserve">, electronic blood pressure monitor, neonatal resuscitation trolleys, </w:t>
      </w:r>
      <w:r w:rsidRPr="006360ED">
        <w:t>CTG</w:t>
      </w:r>
      <w:r>
        <w:t xml:space="preserve"> machines, premade intravenous infusions, accessible neonatal resuscitation equipment and towel warmers).</w:t>
      </w:r>
    </w:p>
    <w:p w14:paraId="648A749E" w14:textId="77777777" w:rsidR="00640D42" w:rsidRDefault="00640D42" w:rsidP="00E75D17">
      <w:pPr>
        <w:pStyle w:val="TeThhauoraheading4"/>
      </w:pPr>
      <w:bookmarkStart w:id="60" w:name="_Toc155958955"/>
      <w:bookmarkStart w:id="61" w:name="_Toc160178714"/>
      <w:r>
        <w:t>The neonate</w:t>
      </w:r>
      <w:bookmarkEnd w:id="60"/>
      <w:bookmarkEnd w:id="61"/>
    </w:p>
    <w:p w14:paraId="2EA8C218" w14:textId="77777777" w:rsidR="00640D42" w:rsidRDefault="00640D42" w:rsidP="004B0586">
      <w:pPr>
        <w:pStyle w:val="TeThHauorabodytext"/>
      </w:pPr>
      <w:r>
        <w:t>Where the neonatal outcome was the reason for the review, the number of recommendations was small. These included three that suggested the need for the implementation of newborn early warning scores in maternity wards as well as a variety of educational interventions, including the need for team simulation sessions. Other recommendations included the review of policies and guidelines and the use of the maternity quality and safety programme to monitor neonatal encephalopathy rates.</w:t>
      </w:r>
    </w:p>
    <w:p w14:paraId="1B2ACD64" w14:textId="77777777" w:rsidR="00640D42" w:rsidRDefault="00640D42" w:rsidP="00E75D17">
      <w:pPr>
        <w:pStyle w:val="TeThhauoraheading4"/>
      </w:pPr>
      <w:bookmarkStart w:id="62" w:name="_Toc155958956"/>
      <w:bookmarkStart w:id="63" w:name="_Toc160178715"/>
      <w:r>
        <w:t>Wider recommendations</w:t>
      </w:r>
      <w:bookmarkEnd w:id="62"/>
      <w:bookmarkEnd w:id="63"/>
    </w:p>
    <w:p w14:paraId="5416316B" w14:textId="77777777" w:rsidR="00640D42" w:rsidRDefault="00640D42" w:rsidP="004B0586">
      <w:pPr>
        <w:pStyle w:val="TeThHauorabodytext"/>
      </w:pPr>
      <w:r w:rsidRPr="006360ED">
        <w:t>A small group of recommendations focus</w:t>
      </w:r>
      <w:r>
        <w:t>ed</w:t>
      </w:r>
      <w:r w:rsidRPr="006360ED">
        <w:t xml:space="preserve"> on wider system drivers that influenced the adverse events. The need for improved </w:t>
      </w:r>
      <w:r>
        <w:t>i</w:t>
      </w:r>
      <w:r w:rsidRPr="006360ED">
        <w:t xml:space="preserve">nformation technology (IT) to support communication and good care was mentioned several times. </w:t>
      </w:r>
      <w:r>
        <w:t>Recommendations included the updating of the maternity-specific electronic record</w:t>
      </w:r>
      <w:r>
        <w:rPr>
          <w:rStyle w:val="FootnoteReference"/>
        </w:rPr>
        <w:footnoteReference w:id="6"/>
      </w:r>
      <w:r>
        <w:t xml:space="preserve"> (</w:t>
      </w:r>
      <w:proofErr w:type="spellStart"/>
      <w:r>
        <w:t>BadgerNet</w:t>
      </w:r>
      <w:proofErr w:type="spellEnd"/>
      <w:r>
        <w:t xml:space="preserve">) so it would be fit for purpose in the Aotearoa New Zealand context, cover the entire journey of pregnancy and be implemented nationally across the maternity sector. </w:t>
      </w:r>
    </w:p>
    <w:p w14:paraId="7272C9A2" w14:textId="77777777" w:rsidR="00640D42" w:rsidRPr="00420B6E" w:rsidRDefault="00640D42" w:rsidP="004B0586">
      <w:pPr>
        <w:pStyle w:val="TeThHauorabodytext"/>
      </w:pPr>
      <w:r w:rsidRPr="00420B6E">
        <w:t>There were 23 recommendations that related to workforce. These suggested the development of additional local positions, recruitment of more midwives and using a national approach to address the wider maternity workforce shortage.</w:t>
      </w:r>
    </w:p>
    <w:p w14:paraId="38AE3E0B" w14:textId="223CA9E1" w:rsidR="00640D42" w:rsidRDefault="00640D42" w:rsidP="004B0586">
      <w:pPr>
        <w:pStyle w:val="TeThHauorabodytext"/>
      </w:pPr>
      <w:r w:rsidRPr="00420B6E">
        <w:t>Six recommendations discussed the need for additional local services</w:t>
      </w:r>
      <w:r>
        <w:t>:</w:t>
      </w:r>
      <w:r w:rsidRPr="00420B6E">
        <w:t xml:space="preserve"> two for community ultrasound resource and four covering </w:t>
      </w:r>
      <w:r w:rsidR="00332168">
        <w:t>topics</w:t>
      </w:r>
      <w:r w:rsidRPr="00420B6E">
        <w:t xml:space="preserve"> such as the need for a neonatal transitional care unit, additional antenatal </w:t>
      </w:r>
      <w:proofErr w:type="gramStart"/>
      <w:r w:rsidRPr="00420B6E">
        <w:t>services</w:t>
      </w:r>
      <w:proofErr w:type="gramEnd"/>
      <w:r w:rsidRPr="00420B6E">
        <w:t xml:space="preserve"> and support for bereaved whānau. </w:t>
      </w:r>
      <w:r>
        <w:t>F</w:t>
      </w:r>
      <w:r w:rsidRPr="00420B6E">
        <w:t>ive recommendations focused on improving regional and national processes across the maternity sector, along with an additional</w:t>
      </w:r>
      <w:r w:rsidRPr="006360ED">
        <w:t xml:space="preserve"> three recommendations that discussed reviewing the model of care within organisations.</w:t>
      </w:r>
    </w:p>
    <w:p w14:paraId="0F8EFEF2" w14:textId="77777777" w:rsidR="00640D42" w:rsidRDefault="00640D42" w:rsidP="00E75D17">
      <w:pPr>
        <w:pStyle w:val="TeThhauoraheading4"/>
      </w:pPr>
      <w:bookmarkStart w:id="64" w:name="_Toc160178716"/>
      <w:r>
        <w:t xml:space="preserve">Themes arising from the findings and recommendations for this </w:t>
      </w:r>
      <w:proofErr w:type="gramStart"/>
      <w:r>
        <w:t>analysis</w:t>
      </w:r>
      <w:bookmarkEnd w:id="64"/>
      <w:proofErr w:type="gramEnd"/>
    </w:p>
    <w:p w14:paraId="7BD7404F" w14:textId="77777777" w:rsidR="00640D42" w:rsidRDefault="00640D42" w:rsidP="004B0586">
      <w:pPr>
        <w:spacing w:before="120"/>
        <w:jc w:val="both"/>
        <w:rPr>
          <w:rStyle w:val="Hyperlink"/>
        </w:rPr>
      </w:pPr>
      <w:r>
        <w:t xml:space="preserve">This analysis identified a series of themes for ongoing discussion across the maternity sector. These were tabled at the national maternity quality forum on 6 December </w:t>
      </w:r>
      <w:r w:rsidRPr="00F127C3">
        <w:t>2023</w:t>
      </w:r>
      <w:r w:rsidRPr="00F127C3">
        <w:rPr>
          <w:rStyle w:val="Hyperlink"/>
          <w:color w:val="auto"/>
          <w:u w:val="none"/>
        </w:rPr>
        <w:t xml:space="preserve"> as part of the discussion to evaluate potential projects for improvement across the wider maternity sector.</w:t>
      </w:r>
      <w:r w:rsidRPr="00F127C3">
        <w:rPr>
          <w:rStyle w:val="Hyperlink"/>
          <w:color w:val="auto"/>
        </w:rPr>
        <w:t xml:space="preserve"> </w:t>
      </w:r>
    </w:p>
    <w:p w14:paraId="087CB634" w14:textId="3A01C8BD" w:rsidR="00640D42" w:rsidRDefault="00640D42" w:rsidP="00187980">
      <w:pPr>
        <w:pStyle w:val="TeThHauorabodytext"/>
        <w:numPr>
          <w:ilvl w:val="0"/>
          <w:numId w:val="36"/>
        </w:numPr>
        <w:spacing w:before="120" w:after="60"/>
        <w:ind w:left="357" w:hanging="357"/>
      </w:pPr>
      <w:r>
        <w:t xml:space="preserve">Challenges within escalation of care processes and practices, </w:t>
      </w:r>
      <w:proofErr w:type="spellStart"/>
      <w:r>
        <w:t>eg</w:t>
      </w:r>
      <w:proofErr w:type="spellEnd"/>
      <w:r>
        <w:t>, between primary maternity care and hospitals.</w:t>
      </w:r>
      <w:r w:rsidR="00D601DD">
        <w:t xml:space="preserve"> Since t</w:t>
      </w:r>
      <w:r w:rsidR="00C276C5">
        <w:t>hen</w:t>
      </w:r>
      <w:r w:rsidR="0057265F">
        <w:t>,</w:t>
      </w:r>
      <w:r w:rsidR="00C276C5">
        <w:t xml:space="preserve"> there are new referral guidelines.</w:t>
      </w:r>
    </w:p>
    <w:p w14:paraId="3366A655" w14:textId="77777777" w:rsidR="00640D42" w:rsidRDefault="00640D42" w:rsidP="00187980">
      <w:pPr>
        <w:pStyle w:val="TeThHauorabodytext"/>
        <w:numPr>
          <w:ilvl w:val="0"/>
          <w:numId w:val="36"/>
        </w:numPr>
        <w:spacing w:after="60"/>
        <w:ind w:left="357" w:hanging="357"/>
      </w:pPr>
      <w:r>
        <w:t>Ongoing issues with the application and interpretation of, and response to, CTG findings.</w:t>
      </w:r>
    </w:p>
    <w:p w14:paraId="0407E2A0" w14:textId="235703F7" w:rsidR="00640D42" w:rsidRDefault="00640D42" w:rsidP="00187980">
      <w:pPr>
        <w:pStyle w:val="TeThHauorabodytext"/>
        <w:numPr>
          <w:ilvl w:val="0"/>
          <w:numId w:val="36"/>
        </w:numPr>
        <w:spacing w:after="60"/>
        <w:ind w:left="357" w:hanging="357"/>
      </w:pPr>
      <w:r>
        <w:t>Lack of a</w:t>
      </w:r>
      <w:r w:rsidRPr="00122E3F">
        <w:t xml:space="preserve"> centralise</w:t>
      </w:r>
      <w:r>
        <w:t>d</w:t>
      </w:r>
      <w:r w:rsidRPr="00122E3F">
        <w:t xml:space="preserve"> electronic record that spans </w:t>
      </w:r>
      <w:r>
        <w:t xml:space="preserve">the pregnancy journey </w:t>
      </w:r>
      <w:r w:rsidRPr="00122E3F">
        <w:t xml:space="preserve">across primary and </w:t>
      </w:r>
      <w:r>
        <w:t>hospital</w:t>
      </w:r>
      <w:r w:rsidRPr="00122E3F">
        <w:t xml:space="preserve"> maternity care</w:t>
      </w:r>
      <w:r>
        <w:t>.</w:t>
      </w:r>
      <w:r w:rsidR="00522C33">
        <w:t xml:space="preserve"> Currently a</w:t>
      </w:r>
      <w:r w:rsidR="0057265F">
        <w:t>n</w:t>
      </w:r>
      <w:r w:rsidR="00522C33">
        <w:t xml:space="preserve"> e-maternity </w:t>
      </w:r>
      <w:r w:rsidR="00332168">
        <w:t>record is in play.</w:t>
      </w:r>
    </w:p>
    <w:p w14:paraId="3D8DBC23" w14:textId="2F2897C7" w:rsidR="00640D42" w:rsidRDefault="00640D42" w:rsidP="00187980">
      <w:pPr>
        <w:pStyle w:val="TeThHauorabodytext"/>
        <w:numPr>
          <w:ilvl w:val="0"/>
          <w:numId w:val="36"/>
        </w:numPr>
        <w:spacing w:after="60"/>
        <w:ind w:left="357" w:hanging="357"/>
      </w:pPr>
      <w:r>
        <w:t xml:space="preserve">Ongoing communication challenges between professions </w:t>
      </w:r>
      <w:r w:rsidR="00A74D73">
        <w:t xml:space="preserve">as above </w:t>
      </w:r>
      <w:r>
        <w:t>and across boundaries of care.</w:t>
      </w:r>
    </w:p>
    <w:p w14:paraId="01776468" w14:textId="77777777" w:rsidR="00640D42" w:rsidRDefault="00640D42" w:rsidP="00187980">
      <w:pPr>
        <w:pStyle w:val="TeThHauorabodytext"/>
        <w:numPr>
          <w:ilvl w:val="0"/>
          <w:numId w:val="36"/>
        </w:numPr>
        <w:spacing w:after="60"/>
        <w:ind w:left="357" w:hanging="357"/>
      </w:pPr>
      <w:r>
        <w:t xml:space="preserve">Challenges regarding the development, accessibility, quantity, quality and implementation of policies, </w:t>
      </w:r>
      <w:proofErr w:type="gramStart"/>
      <w:r>
        <w:t>pathways</w:t>
      </w:r>
      <w:proofErr w:type="gramEnd"/>
      <w:r>
        <w:t xml:space="preserve"> and guidelines in maternity care.</w:t>
      </w:r>
    </w:p>
    <w:p w14:paraId="5C53AD84" w14:textId="6EDABC73" w:rsidR="00640D42" w:rsidRPr="00122E3F" w:rsidRDefault="00640D42" w:rsidP="004B0586">
      <w:pPr>
        <w:pStyle w:val="TeThHauorabodytext"/>
        <w:numPr>
          <w:ilvl w:val="0"/>
          <w:numId w:val="36"/>
        </w:numPr>
        <w:ind w:left="357" w:hanging="357"/>
      </w:pPr>
      <w:r>
        <w:t xml:space="preserve">An ongoing gap between the actions of health care workers and the </w:t>
      </w:r>
      <w:r w:rsidR="39F2E813">
        <w:t xml:space="preserve">procedural </w:t>
      </w:r>
      <w:r w:rsidR="00726127">
        <w:t xml:space="preserve">work as done verses work as imagined </w:t>
      </w:r>
      <w:r>
        <w:t>descriptions of their work.</w:t>
      </w:r>
    </w:p>
    <w:p w14:paraId="11348297" w14:textId="3052FDC3" w:rsidR="00640D42" w:rsidRPr="00116C9D" w:rsidRDefault="00640D42" w:rsidP="004B0586">
      <w:pPr>
        <w:pStyle w:val="TeThHauorabodytext"/>
      </w:pPr>
      <w:r w:rsidRPr="00116C9D">
        <w:t>Subthemes</w:t>
      </w:r>
      <w:r w:rsidR="0078552A">
        <w:t>:</w:t>
      </w:r>
    </w:p>
    <w:p w14:paraId="26828D6F" w14:textId="0FD45616" w:rsidR="00640D42" w:rsidRDefault="00C71349" w:rsidP="008A1A61">
      <w:pPr>
        <w:pStyle w:val="TeThHauorabodytext"/>
        <w:numPr>
          <w:ilvl w:val="0"/>
          <w:numId w:val="36"/>
        </w:numPr>
        <w:spacing w:after="60"/>
        <w:ind w:left="357" w:hanging="357"/>
      </w:pPr>
      <w:r>
        <w:t>A</w:t>
      </w:r>
      <w:r w:rsidR="001334F8">
        <w:t xml:space="preserve"> </w:t>
      </w:r>
      <w:r w:rsidR="00640D42">
        <w:t xml:space="preserve">need for </w:t>
      </w:r>
      <w:r w:rsidR="00640D42" w:rsidRPr="00122E3F">
        <w:t xml:space="preserve">workforce </w:t>
      </w:r>
      <w:r w:rsidR="00640D42">
        <w:t>development and changing models of care</w:t>
      </w:r>
      <w:r w:rsidR="0057265F">
        <w:t>.</w:t>
      </w:r>
    </w:p>
    <w:p w14:paraId="7978A619" w14:textId="6331A4B4" w:rsidR="00640D42" w:rsidRPr="00122E3F" w:rsidRDefault="00B33A1F" w:rsidP="008A1A61">
      <w:pPr>
        <w:pStyle w:val="TeThHauorabodytext"/>
        <w:numPr>
          <w:ilvl w:val="0"/>
          <w:numId w:val="36"/>
        </w:numPr>
        <w:spacing w:after="60"/>
        <w:ind w:left="357" w:hanging="357"/>
      </w:pPr>
      <w:r>
        <w:t>Challenges</w:t>
      </w:r>
      <w:r w:rsidR="00640D42">
        <w:t xml:space="preserve"> surrounding </w:t>
      </w:r>
      <w:r w:rsidR="00967180">
        <w:t xml:space="preserve">the </w:t>
      </w:r>
      <w:r>
        <w:t>provi</w:t>
      </w:r>
      <w:r w:rsidR="00967180">
        <w:t>sion of</w:t>
      </w:r>
      <w:r>
        <w:t xml:space="preserve"> additional </w:t>
      </w:r>
      <w:r w:rsidR="00640D42" w:rsidRPr="00122E3F">
        <w:t xml:space="preserve">low acuity </w:t>
      </w:r>
      <w:r>
        <w:t xml:space="preserve">clinical </w:t>
      </w:r>
      <w:r w:rsidR="00640D42" w:rsidRPr="00122E3F">
        <w:t xml:space="preserve">care </w:t>
      </w:r>
      <w:r w:rsidR="00640D42">
        <w:t>for high-risk babies</w:t>
      </w:r>
      <w:r w:rsidR="00CD79CC">
        <w:t xml:space="preserve"> (need for</w:t>
      </w:r>
      <w:r w:rsidR="00967180">
        <w:t xml:space="preserve"> neonatal</w:t>
      </w:r>
      <w:r w:rsidR="00CD79CC">
        <w:t xml:space="preserve"> transitional care units)</w:t>
      </w:r>
      <w:r w:rsidR="0057265F">
        <w:t>.</w:t>
      </w:r>
    </w:p>
    <w:p w14:paraId="248917ED" w14:textId="39301594" w:rsidR="00640D42" w:rsidRPr="006360ED" w:rsidRDefault="00313084" w:rsidP="004B0586">
      <w:pPr>
        <w:pStyle w:val="TeThHauorabodytext"/>
        <w:numPr>
          <w:ilvl w:val="0"/>
          <w:numId w:val="36"/>
        </w:numPr>
        <w:ind w:left="357" w:hanging="357"/>
      </w:pPr>
      <w:r>
        <w:t>L</w:t>
      </w:r>
      <w:r w:rsidR="00640D42">
        <w:t>ack of visible voice from the pregnant woman and birthing people or whānau.</w:t>
      </w:r>
    </w:p>
    <w:p w14:paraId="3A67A8E7" w14:textId="77777777" w:rsidR="00640D42" w:rsidRDefault="00640D42" w:rsidP="00E75D17">
      <w:pPr>
        <w:pStyle w:val="TeThHauorahead2"/>
      </w:pPr>
      <w:bookmarkStart w:id="65" w:name="_Toc155958958"/>
      <w:bookmarkStart w:id="66" w:name="_Toc161843066"/>
      <w:bookmarkStart w:id="67" w:name="_Toc170388977"/>
      <w:r>
        <w:t>Discussion</w:t>
      </w:r>
      <w:bookmarkEnd w:id="65"/>
      <w:bookmarkEnd w:id="66"/>
      <w:bookmarkEnd w:id="67"/>
    </w:p>
    <w:p w14:paraId="35C77C89" w14:textId="77777777" w:rsidR="00640D42" w:rsidRDefault="00640D42" w:rsidP="00E75D17">
      <w:pPr>
        <w:pStyle w:val="TeThHauorahead3"/>
      </w:pPr>
      <w:bookmarkStart w:id="68" w:name="_Toc160178717"/>
      <w:bookmarkStart w:id="69" w:name="_Toc161843067"/>
      <w:r>
        <w:t>Analysing the system: what we see</w:t>
      </w:r>
      <w:bookmarkEnd w:id="68"/>
      <w:bookmarkEnd w:id="69"/>
      <w:r>
        <w:t xml:space="preserve"> </w:t>
      </w:r>
    </w:p>
    <w:p w14:paraId="41016CB6" w14:textId="77777777" w:rsidR="00640D42" w:rsidRDefault="00640D42" w:rsidP="004B0586">
      <w:pPr>
        <w:pStyle w:val="TeThHauorabodytext"/>
      </w:pPr>
      <w:r w:rsidRPr="008D3A96">
        <w:t>Th</w:t>
      </w:r>
      <w:r>
        <w:t>is analysis</w:t>
      </w:r>
      <w:r w:rsidRPr="008D3A96">
        <w:t xml:space="preserve"> was undertaken to </w:t>
      </w:r>
      <w:r>
        <w:t>better understand what was learned from maternity adverse events across a 5-year period using the tools and model of safety that underpinned reviews during this time.</w:t>
      </w:r>
      <w:r w:rsidRPr="004C1CF0">
        <w:t xml:space="preserve"> </w:t>
      </w:r>
      <w:r w:rsidRPr="00420B6E">
        <w:t xml:space="preserve">It is important to note that </w:t>
      </w:r>
      <w:r>
        <w:t xml:space="preserve">organisations </w:t>
      </w:r>
      <w:proofErr w:type="gramStart"/>
      <w:r>
        <w:t>most commonly used</w:t>
      </w:r>
      <w:proofErr w:type="gramEnd"/>
      <w:r>
        <w:t xml:space="preserve"> </w:t>
      </w:r>
      <w:r w:rsidRPr="00420B6E">
        <w:t>root cause analysis</w:t>
      </w:r>
      <w:r>
        <w:rPr>
          <w:rStyle w:val="FootnoteReference"/>
        </w:rPr>
        <w:footnoteReference w:id="7"/>
      </w:r>
      <w:r w:rsidRPr="00420B6E">
        <w:t xml:space="preserve"> as</w:t>
      </w:r>
      <w:r>
        <w:t xml:space="preserve"> the</w:t>
      </w:r>
      <w:r w:rsidRPr="00420B6E">
        <w:t xml:space="preserve"> review method </w:t>
      </w:r>
      <w:r>
        <w:t>during the time period covered in this analysis</w:t>
      </w:r>
      <w:r w:rsidRPr="00420B6E">
        <w:t xml:space="preserve"> </w:t>
      </w:r>
      <w:r>
        <w:rPr>
          <w:noProof/>
        </w:rPr>
        <w:t>(Paradies and Unger 2000)</w:t>
      </w:r>
      <w:r w:rsidRPr="00420B6E">
        <w:t>. This method looks for specific causal factors and is</w:t>
      </w:r>
      <w:r>
        <w:t xml:space="preserve"> often</w:t>
      </w:r>
      <w:r w:rsidRPr="00420B6E">
        <w:t xml:space="preserve"> influenced by hindsight and outcome bias </w:t>
      </w:r>
      <w:r>
        <w:rPr>
          <w:noProof/>
        </w:rPr>
        <w:t>(Robbins et al 2021)</w:t>
      </w:r>
      <w:r w:rsidRPr="00420B6E">
        <w:t>.</w:t>
      </w:r>
    </w:p>
    <w:p w14:paraId="6EB44CE5" w14:textId="77777777" w:rsidR="00640D42" w:rsidRPr="002D2FA1" w:rsidRDefault="00640D42" w:rsidP="004B0586">
      <w:pPr>
        <w:pStyle w:val="TeThHauorabodytext"/>
      </w:pPr>
      <w:r>
        <w:t>Bringing together these reports improves our understanding of how the tools and underpinning safety models of the time have shaped both the findings and the recommendations. This allows us to move beyond aggregation of reports to analysis of the reporting systems.</w:t>
      </w:r>
    </w:p>
    <w:p w14:paraId="15F6D1AC" w14:textId="77777777" w:rsidR="00640D42" w:rsidRPr="004C1CF0" w:rsidRDefault="00640D42" w:rsidP="00E75D17">
      <w:pPr>
        <w:pStyle w:val="TeThhauoraheading4"/>
      </w:pPr>
      <w:bookmarkStart w:id="70" w:name="_Toc160178718"/>
      <w:r>
        <w:t>Person-centred focus</w:t>
      </w:r>
      <w:bookmarkEnd w:id="70"/>
    </w:p>
    <w:p w14:paraId="38D67D4A" w14:textId="77777777" w:rsidR="00640D42" w:rsidRPr="000F6BC4" w:rsidRDefault="00640D42" w:rsidP="004B0586">
      <w:pPr>
        <w:pStyle w:val="TeThHauorabodytext"/>
      </w:pPr>
      <w:r>
        <w:t xml:space="preserve">The review methods used during this time commonly emphasised the actions and decisions of health care workers closest to the event, often in isolation from the wider system factors that influenced these. A lack of information about the work context makes it difficult to </w:t>
      </w:r>
      <w:r w:rsidRPr="00644457">
        <w:t xml:space="preserve">determine the conditions that need adapting and strengthening (Read et al 2021). </w:t>
      </w:r>
      <w:r>
        <w:t xml:space="preserve">This is also consistent with the ‘fundamental attribution error’, which is the tendency to over-emphasise personnel characteristics or actions and under-emphasise situational or environmental factors when judging others’ behaviours. This can lead to a focus on individual actions or decisions rather than seeking to understand the context that influences </w:t>
      </w:r>
      <w:r w:rsidRPr="000F6BC4">
        <w:t xml:space="preserve">them.  </w:t>
      </w:r>
    </w:p>
    <w:p w14:paraId="17915681" w14:textId="77777777" w:rsidR="00640D42" w:rsidRPr="00E86A7A" w:rsidRDefault="00640D42" w:rsidP="004B0586">
      <w:pPr>
        <w:pStyle w:val="TeThHauorabodytext"/>
      </w:pPr>
      <w:r>
        <w:t xml:space="preserve">This emphasis on person-centred actions is also reinforced by investigative methods based on a ‘human error’ model of safety. In this model, errors and failures by individuals are seen as adequate explanations for harm occurring in complex systems. The risk is that ‘what you look for is what you find’. Once ‘human error’ is identified, this is seen as an adequate explanation, and we stop looking at the wider context </w:t>
      </w:r>
      <w:r>
        <w:rPr>
          <w:noProof/>
        </w:rPr>
        <w:t>(Lundberg et al 2009)</w:t>
      </w:r>
      <w:r>
        <w:t>.</w:t>
      </w:r>
    </w:p>
    <w:p w14:paraId="3DB04571" w14:textId="77777777" w:rsidR="00640D42" w:rsidRPr="00F43182" w:rsidRDefault="00640D42" w:rsidP="00E75D17">
      <w:pPr>
        <w:pStyle w:val="TeThhauoraheading4"/>
      </w:pPr>
      <w:bookmarkStart w:id="71" w:name="_Toc160178719"/>
      <w:r w:rsidRPr="00F43182">
        <w:t>Recommendations</w:t>
      </w:r>
      <w:bookmarkEnd w:id="71"/>
    </w:p>
    <w:p w14:paraId="2E64CAD5" w14:textId="77777777" w:rsidR="00640D42" w:rsidRPr="000F6BC4" w:rsidRDefault="00640D42" w:rsidP="004B0586">
      <w:pPr>
        <w:pStyle w:val="TeThHauorabodytext"/>
      </w:pPr>
      <w:r>
        <w:t xml:space="preserve">Unsurprisingly, recommendations follow a similar pattern, emphasising the need for person-centred solutions or remediation to correct what have been interpreted as errors by health care workers. A significant number of recommendations focus on standardisation and compliance, involving updating policies, </w:t>
      </w:r>
      <w:proofErr w:type="gramStart"/>
      <w:r>
        <w:t>processes</w:t>
      </w:r>
      <w:proofErr w:type="gramEnd"/>
      <w:r>
        <w:t xml:space="preserve"> and guidelines. </w:t>
      </w:r>
      <w:r w:rsidRPr="00095119">
        <w:t>Th</w:t>
      </w:r>
      <w:r>
        <w:t>is</w:t>
      </w:r>
      <w:r w:rsidRPr="00095119">
        <w:t xml:space="preserve"> demonstrate</w:t>
      </w:r>
      <w:r>
        <w:t>s</w:t>
      </w:r>
      <w:r w:rsidRPr="00095119">
        <w:t xml:space="preserve"> a focus on forcing individuals to ‘fit within the system’, regardless of its usability </w:t>
      </w:r>
      <w:r w:rsidRPr="00095119">
        <w:rPr>
          <w:noProof/>
        </w:rPr>
        <w:t>(Woodward 2019)</w:t>
      </w:r>
      <w:r w:rsidRPr="00095119">
        <w:t>.</w:t>
      </w:r>
      <w:r>
        <w:t xml:space="preserve"> I</w:t>
      </w:r>
      <w:r w:rsidRPr="00095119">
        <w:t xml:space="preserve">mprovement actions need to be balanced between person-centred and system-centred </w:t>
      </w:r>
      <w:r>
        <w:t>actions to create</w:t>
      </w:r>
      <w:r w:rsidRPr="00095119">
        <w:t xml:space="preserve"> more effective</w:t>
      </w:r>
      <w:r>
        <w:t xml:space="preserve"> </w:t>
      </w:r>
      <w:r w:rsidRPr="00095119">
        <w:t xml:space="preserve">sustainable </w:t>
      </w:r>
      <w:r w:rsidRPr="000F6BC4">
        <w:t>change (Robbins et al 2021).</w:t>
      </w:r>
    </w:p>
    <w:p w14:paraId="6BC60B7E" w14:textId="77777777" w:rsidR="00640D42" w:rsidRDefault="00640D42" w:rsidP="004B0586">
      <w:pPr>
        <w:pStyle w:val="TeThHauorabodytext"/>
      </w:pPr>
      <w:r>
        <w:t xml:space="preserve">Our analysis of these events highlighted some instances where recommendations demonstrated a lack of connection with the findings, indicating that ‘what you find, is not always what you fix’ </w:t>
      </w:r>
      <w:r w:rsidRPr="0CC60791">
        <w:rPr>
          <w:noProof/>
        </w:rPr>
        <w:t xml:space="preserve">(Hollnagel </w:t>
      </w:r>
      <w:r>
        <w:rPr>
          <w:noProof/>
        </w:rPr>
        <w:t>and</w:t>
      </w:r>
      <w:r w:rsidRPr="0CC60791">
        <w:rPr>
          <w:noProof/>
        </w:rPr>
        <w:t xml:space="preserve"> Amalberti 2001)</w:t>
      </w:r>
      <w:r>
        <w:t>. We also noted that recommendations often focused on things that the writers had direct control over, leaving underpinning system issues unaddressed.</w:t>
      </w:r>
    </w:p>
    <w:p w14:paraId="27B3D0DE" w14:textId="77777777" w:rsidR="00640D42" w:rsidRDefault="00640D42" w:rsidP="00E75D17">
      <w:pPr>
        <w:pStyle w:val="TeThhauoraheading4"/>
      </w:pPr>
      <w:bookmarkStart w:id="72" w:name="_Toc160178720"/>
      <w:r>
        <w:t>Policies and guidelines</w:t>
      </w:r>
      <w:bookmarkEnd w:id="72"/>
    </w:p>
    <w:p w14:paraId="3860A44C" w14:textId="77777777" w:rsidR="00640D42" w:rsidRDefault="00640D42" w:rsidP="004B0586">
      <w:pPr>
        <w:pStyle w:val="TeThHauorabodytext"/>
      </w:pPr>
      <w:r>
        <w:t xml:space="preserve">Findings in this report showed how health care workers were judged by whether they followed large volumes of policies and guidelines, with little focus on the practicalities of doing this in the context of the competing priorities of normal work. Although policies and guidelines have a place, there is minimal evidence evaluating their usability and accessibility </w:t>
      </w:r>
      <w:proofErr w:type="gramStart"/>
      <w:r>
        <w:t>in the midst of</w:t>
      </w:r>
      <w:proofErr w:type="gramEnd"/>
      <w:r>
        <w:t xml:space="preserve"> busy challenging environments (Smith and Plunkett 2019). The tools used in these reviews make work more standardised through the implementation of updated policies, </w:t>
      </w:r>
      <w:proofErr w:type="gramStart"/>
      <w:r>
        <w:t>protocols</w:t>
      </w:r>
      <w:proofErr w:type="gramEnd"/>
      <w:r>
        <w:t xml:space="preserve"> and guidelines with the aim of covering every conceivable scenario. Reviewing and updating policies and guidelines does demonstrate a measurable fix. However, as health is constantly changing and evolving, the ability of health care workers to perform by imposing additional bureaucracy is limited, so updated policies are less likely to achieve safer care </w:t>
      </w:r>
      <w:r w:rsidRPr="0CC60791">
        <w:rPr>
          <w:noProof/>
        </w:rPr>
        <w:t>(Braithwaite et al</w:t>
      </w:r>
      <w:r>
        <w:rPr>
          <w:noProof/>
        </w:rPr>
        <w:t xml:space="preserve"> </w:t>
      </w:r>
      <w:r w:rsidRPr="0CC60791">
        <w:rPr>
          <w:noProof/>
        </w:rPr>
        <w:t>2020)</w:t>
      </w:r>
      <w:r>
        <w:t xml:space="preserve">. </w:t>
      </w:r>
    </w:p>
    <w:p w14:paraId="6E8BD4AB" w14:textId="77777777" w:rsidR="00640D42" w:rsidRDefault="00640D42" w:rsidP="00E75D17">
      <w:pPr>
        <w:pStyle w:val="TeThhauoraheading4"/>
      </w:pPr>
      <w:bookmarkStart w:id="73" w:name="_Toc160178721"/>
      <w:r>
        <w:t>Task complexity</w:t>
      </w:r>
      <w:bookmarkEnd w:id="73"/>
    </w:p>
    <w:p w14:paraId="056A94E4" w14:textId="77777777" w:rsidR="00640D42" w:rsidRDefault="00640D42" w:rsidP="004B0586">
      <w:pPr>
        <w:pStyle w:val="TeThHauorabodytext"/>
      </w:pPr>
      <w:r>
        <w:t xml:space="preserve">A focus on CTGs is evident across events but lacks recognition that the interpretation of CTG is a complex task. CTG analysis requires evaluation of all the interdependent influencing factors rather than a simple approach focused only on policy, </w:t>
      </w:r>
      <w:proofErr w:type="gramStart"/>
      <w:r>
        <w:t>equipment</w:t>
      </w:r>
      <w:proofErr w:type="gramEnd"/>
      <w:r>
        <w:t xml:space="preserve"> or an individual’s competency in interpretation </w:t>
      </w:r>
      <w:r>
        <w:rPr>
          <w:noProof/>
        </w:rPr>
        <w:t>(Lamé et al 2023)</w:t>
      </w:r>
      <w:r>
        <w:t>.</w:t>
      </w:r>
    </w:p>
    <w:p w14:paraId="64DEB08A" w14:textId="77777777" w:rsidR="00640D42" w:rsidRPr="00AA29EC" w:rsidRDefault="00640D42" w:rsidP="004B0586">
      <w:pPr>
        <w:pStyle w:val="TeThHauorabodytext"/>
      </w:pPr>
      <w:r>
        <w:t xml:space="preserve">For example, the concept of ‘fresh eyes’ was raised across reports in relation to the review of CTGs. However, this did not demonstrate consideration of factors such as whether clinicians were available to provide ‘fresh eyes’ or whether the culture supported staff to seek advice with CTG interpretation or escalation of concerns. Lamé et al (2023) identified many factors that influence CTG analysis, including equipment availability and functionality, the complexity of the task, a consensus on the criteria for escalation, availability of electronic systems to support changes in practice, organisational and team culture, communication processes, </w:t>
      </w:r>
      <w:proofErr w:type="gramStart"/>
      <w:r>
        <w:t>workload</w:t>
      </w:r>
      <w:proofErr w:type="gramEnd"/>
      <w:r>
        <w:t xml:space="preserve"> and workforce issues. Therefore, what may initially appear as clinician error in fact relates to the complexity of the task. This may indicate that a different approach is needed to consider the technical, </w:t>
      </w:r>
      <w:proofErr w:type="gramStart"/>
      <w:r>
        <w:t>contextual</w:t>
      </w:r>
      <w:proofErr w:type="gramEnd"/>
      <w:r>
        <w:t xml:space="preserve"> and social issues around CTG interpretation.</w:t>
      </w:r>
    </w:p>
    <w:p w14:paraId="4E27836F" w14:textId="77777777" w:rsidR="00640D42" w:rsidRDefault="00640D42" w:rsidP="00E75D17">
      <w:pPr>
        <w:pStyle w:val="TeThhauoraheading4"/>
      </w:pPr>
      <w:bookmarkStart w:id="74" w:name="_Toc160178722"/>
      <w:r>
        <w:t>Education</w:t>
      </w:r>
      <w:bookmarkEnd w:id="74"/>
    </w:p>
    <w:p w14:paraId="5CEA2957" w14:textId="77777777" w:rsidR="00640D42" w:rsidRDefault="00640D42" w:rsidP="004B0586">
      <w:pPr>
        <w:pStyle w:val="TeThHauorabodytext"/>
      </w:pPr>
      <w:r>
        <w:t xml:space="preserve">Reviews frequently recommended education or training for health care workers, implying a knowledge gap was central to the event. However, the reports analysed did not demonstrate either a knowledge gap analysis or an assessment of the effectiveness of previous education. Kirkpatrick and Kirkpatrick (2016) discussed the importance of understanding the barriers within the system, the </w:t>
      </w:r>
      <w:proofErr w:type="gramStart"/>
      <w:r>
        <w:t>culture</w:t>
      </w:r>
      <w:proofErr w:type="gramEnd"/>
      <w:r>
        <w:t xml:space="preserve"> and the everyday realities of work for those who need to apply education in their workplace. Changing behaviour through education is only effective if a knowledge gap has been identified and if the education is fit for purpose and demonstrates value over time </w:t>
      </w:r>
      <w:r w:rsidRPr="0CC60791">
        <w:rPr>
          <w:noProof/>
        </w:rPr>
        <w:t>(Kirkpatrick</w:t>
      </w:r>
      <w:r>
        <w:rPr>
          <w:noProof/>
        </w:rPr>
        <w:t xml:space="preserve"> and Kirkpatrick</w:t>
      </w:r>
      <w:r w:rsidRPr="0CC60791">
        <w:rPr>
          <w:noProof/>
        </w:rPr>
        <w:t xml:space="preserve"> 2016)</w:t>
      </w:r>
      <w:r>
        <w:t>.</w:t>
      </w:r>
    </w:p>
    <w:p w14:paraId="1E40DDA7" w14:textId="77777777" w:rsidR="00640D42" w:rsidRDefault="00640D42" w:rsidP="00E75D17">
      <w:pPr>
        <w:pStyle w:val="TeThhauoraheading4"/>
      </w:pPr>
      <w:bookmarkStart w:id="75" w:name="_Toc160178723"/>
      <w:r>
        <w:t>Sharing learning</w:t>
      </w:r>
      <w:bookmarkEnd w:id="75"/>
    </w:p>
    <w:p w14:paraId="39840A7D" w14:textId="77777777" w:rsidR="00640D42" w:rsidRPr="00116C9D" w:rsidRDefault="00640D42" w:rsidP="004B0586">
      <w:pPr>
        <w:pStyle w:val="TeThHauorabodytext"/>
        <w:rPr>
          <w:shd w:val="clear" w:color="auto" w:fill="FFFFFF"/>
        </w:rPr>
      </w:pPr>
      <w:r>
        <w:rPr>
          <w:shd w:val="clear" w:color="auto" w:fill="FFFFFF"/>
        </w:rPr>
        <w:t xml:space="preserve">Recommendations to share learning focused on passively transmitting information. Health care workers were not routinely engaged in sensemaking or thinking about ways to integrate any learning from events into their work. Open discussions at maternal morbidity and mortality meetings may be helpful only if the culture of the environment is psychologically safe and the discussion focuses on system issues </w:t>
      </w:r>
      <w:r>
        <w:rPr>
          <w:noProof/>
          <w:shd w:val="clear" w:color="auto" w:fill="FFFFFF"/>
        </w:rPr>
        <w:t>(Sujan 2015)</w:t>
      </w:r>
      <w:r>
        <w:rPr>
          <w:shd w:val="clear" w:color="auto" w:fill="FFFFFF"/>
        </w:rPr>
        <w:t xml:space="preserve">. If the conversation is focused on individual practice, it could lead to defensive responses, compounded </w:t>
      </w:r>
      <w:proofErr w:type="gramStart"/>
      <w:r>
        <w:rPr>
          <w:shd w:val="clear" w:color="auto" w:fill="FFFFFF"/>
        </w:rPr>
        <w:t>harm</w:t>
      </w:r>
      <w:proofErr w:type="gramEnd"/>
      <w:r>
        <w:rPr>
          <w:shd w:val="clear" w:color="auto" w:fill="FFFFFF"/>
        </w:rPr>
        <w:t xml:space="preserve"> and a lack of system learning. </w:t>
      </w:r>
    </w:p>
    <w:p w14:paraId="19932771" w14:textId="77777777" w:rsidR="00640D42" w:rsidRDefault="00640D42" w:rsidP="00E75D17">
      <w:pPr>
        <w:pStyle w:val="TeThHauorahead3"/>
      </w:pPr>
      <w:bookmarkStart w:id="76" w:name="_Toc155883112"/>
      <w:bookmarkStart w:id="77" w:name="_Toc160178724"/>
      <w:bookmarkStart w:id="78" w:name="_Toc161843068"/>
      <w:r>
        <w:t xml:space="preserve">Analysing the system: what is </w:t>
      </w:r>
      <w:proofErr w:type="gramStart"/>
      <w:r>
        <w:t>missing</w:t>
      </w:r>
      <w:bookmarkEnd w:id="76"/>
      <w:bookmarkEnd w:id="77"/>
      <w:bookmarkEnd w:id="78"/>
      <w:proofErr w:type="gramEnd"/>
    </w:p>
    <w:p w14:paraId="3D5CDF36" w14:textId="77777777" w:rsidR="00640D42" w:rsidRPr="002B61A7" w:rsidRDefault="00640D42" w:rsidP="00E75D17">
      <w:pPr>
        <w:pStyle w:val="TeThhauoraheading4"/>
      </w:pPr>
      <w:bookmarkStart w:id="79" w:name="_Toc160178725"/>
      <w:r>
        <w:t>The invisible context of work</w:t>
      </w:r>
      <w:bookmarkEnd w:id="79"/>
    </w:p>
    <w:p w14:paraId="2EEBE732" w14:textId="77777777" w:rsidR="00640D42" w:rsidRPr="000F6BC4" w:rsidRDefault="00640D42" w:rsidP="004B0586">
      <w:pPr>
        <w:pStyle w:val="TeThHauorabodytext"/>
      </w:pPr>
      <w:r>
        <w:t xml:space="preserve">The information provided to Te </w:t>
      </w:r>
      <w:proofErr w:type="spellStart"/>
      <w:r>
        <w:t>Tāhū</w:t>
      </w:r>
      <w:proofErr w:type="spellEnd"/>
      <w:r>
        <w:t xml:space="preserve"> Hauora, analysed across this </w:t>
      </w:r>
      <w:proofErr w:type="gramStart"/>
      <w:r>
        <w:t>time period</w:t>
      </w:r>
      <w:proofErr w:type="gramEnd"/>
      <w:r>
        <w:t xml:space="preserve"> contained minimal context that could identify wider factors that influenced adverse events. Issues such as competing goals, time pressures, availability of services, task complexity, staffing capacity, the physical environment and culture of the organisation were absent </w:t>
      </w:r>
      <w:r w:rsidRPr="0CC60791">
        <w:rPr>
          <w:noProof/>
        </w:rPr>
        <w:t>(Carayon et al</w:t>
      </w:r>
      <w:r>
        <w:rPr>
          <w:noProof/>
        </w:rPr>
        <w:t xml:space="preserve"> </w:t>
      </w:r>
      <w:r w:rsidRPr="0CC60791">
        <w:rPr>
          <w:noProof/>
        </w:rPr>
        <w:t>2014)</w:t>
      </w:r>
      <w:r>
        <w:t xml:space="preserve">. Focusing on individual components or people means the wider system influences remain invisible. Consistent with the paucity of system-focused findings, there was a </w:t>
      </w:r>
      <w:r w:rsidRPr="000F6BC4">
        <w:t xml:space="preserve">corresponding lack of strong, system-focused recommendations. </w:t>
      </w:r>
    </w:p>
    <w:p w14:paraId="2B113511" w14:textId="77777777" w:rsidR="00640D42" w:rsidRDefault="00640D42" w:rsidP="00E75D17">
      <w:pPr>
        <w:pStyle w:val="TeThhauoraheading4"/>
      </w:pPr>
      <w:bookmarkStart w:id="80" w:name="_Toc160178726"/>
      <w:r>
        <w:t>Implementation</w:t>
      </w:r>
      <w:bookmarkEnd w:id="80"/>
    </w:p>
    <w:p w14:paraId="4E2DA717" w14:textId="77777777" w:rsidR="00640D42" w:rsidRDefault="00640D42" w:rsidP="004B0586">
      <w:pPr>
        <w:pStyle w:val="TeThHauorabodytext"/>
      </w:pPr>
      <w:r>
        <w:t xml:space="preserve">Recommendations rarely expanded on how they would be implemented and what resources they required. For example, ISBAR was suggested as a tool to improve communication, but there was no detail about how this would be implemented or the current challenges in applying it.  </w:t>
      </w:r>
    </w:p>
    <w:p w14:paraId="486FF5FF" w14:textId="77777777" w:rsidR="00640D42" w:rsidRPr="00F43182" w:rsidRDefault="00640D42" w:rsidP="00E75D17">
      <w:pPr>
        <w:pStyle w:val="TeThhauoraheading4"/>
      </w:pPr>
      <w:bookmarkStart w:id="81" w:name="_Toc160178727"/>
      <w:r>
        <w:t>P</w:t>
      </w:r>
      <w:r w:rsidRPr="00F43182">
        <w:t>erson voice</w:t>
      </w:r>
      <w:bookmarkEnd w:id="81"/>
    </w:p>
    <w:p w14:paraId="0A3D0CE9" w14:textId="78ACE092" w:rsidR="00640D42" w:rsidRPr="00347DD1" w:rsidRDefault="00640D42" w:rsidP="004B0586">
      <w:pPr>
        <w:pStyle w:val="TeThHauorabodytext"/>
        <w:rPr>
          <w:lang w:val="mi-NZ"/>
        </w:rPr>
      </w:pPr>
      <w:r w:rsidRPr="0CC60791">
        <w:rPr>
          <w:lang w:val="mi-NZ"/>
        </w:rPr>
        <w:t xml:space="preserve">The </w:t>
      </w:r>
      <w:r w:rsidR="00AD7C96" w:rsidRPr="0CC60791">
        <w:rPr>
          <w:lang w:val="mi-NZ"/>
        </w:rPr>
        <w:t xml:space="preserve">National Adverse Event Policy </w:t>
      </w:r>
      <w:r w:rsidRPr="0CC60791">
        <w:rPr>
          <w:lang w:val="mi-NZ"/>
        </w:rPr>
        <w:t>2017</w:t>
      </w:r>
      <w:r>
        <w:rPr>
          <w:rStyle w:val="FootnoteReference"/>
          <w:lang w:val="mi-NZ"/>
        </w:rPr>
        <w:footnoteReference w:id="8"/>
      </w:r>
      <w:r w:rsidRPr="0CC60791">
        <w:rPr>
          <w:lang w:val="mi-NZ"/>
        </w:rPr>
        <w:t xml:space="preserve"> and the</w:t>
      </w:r>
      <w:r w:rsidRPr="0CC60791">
        <w:rPr>
          <w:rFonts w:eastAsia="Arial"/>
          <w:lang w:val="mi-NZ"/>
        </w:rPr>
        <w:t xml:space="preserve"> </w:t>
      </w:r>
      <w:r>
        <w:rPr>
          <w:rFonts w:eastAsia="Arial"/>
          <w:lang w:val="mi-NZ"/>
        </w:rPr>
        <w:t>m</w:t>
      </w:r>
      <w:r w:rsidRPr="0CC60791">
        <w:rPr>
          <w:rFonts w:eastAsia="Arial"/>
          <w:lang w:val="mi-NZ"/>
        </w:rPr>
        <w:t xml:space="preserve">aternal morbidity review toolkit </w:t>
      </w:r>
      <w:r>
        <w:rPr>
          <w:rFonts w:eastAsia="Arial"/>
          <w:lang w:val="mi-NZ"/>
        </w:rPr>
        <w:t xml:space="preserve">(Health Quality &amp; Safety Commission 2018) </w:t>
      </w:r>
      <w:r w:rsidRPr="0CC60791">
        <w:rPr>
          <w:rFonts w:eastAsia="Arial"/>
          <w:lang w:val="mi-NZ"/>
        </w:rPr>
        <w:t>both</w:t>
      </w:r>
      <w:r w:rsidRPr="0CC60791">
        <w:rPr>
          <w:lang w:val="mi-NZ"/>
        </w:rPr>
        <w:t xml:space="preserve"> provided guid</w:t>
      </w:r>
      <w:r>
        <w:rPr>
          <w:lang w:val="mi-NZ"/>
        </w:rPr>
        <w:t>a</w:t>
      </w:r>
      <w:r w:rsidRPr="0CC60791">
        <w:rPr>
          <w:lang w:val="mi-NZ"/>
        </w:rPr>
        <w:t xml:space="preserve">nce </w:t>
      </w:r>
      <w:r>
        <w:rPr>
          <w:lang w:val="mi-NZ"/>
        </w:rPr>
        <w:t>on</w:t>
      </w:r>
      <w:r w:rsidRPr="0CC60791">
        <w:rPr>
          <w:lang w:val="mi-NZ"/>
        </w:rPr>
        <w:t xml:space="preserve"> the importance of hearing the voice of the consumer. </w:t>
      </w:r>
      <w:r>
        <w:rPr>
          <w:lang w:val="mi-NZ"/>
        </w:rPr>
        <w:t>The analysed full reports included few examples of the consumer experience of an adverse event</w:t>
      </w:r>
      <w:r w:rsidRPr="0CC60791">
        <w:rPr>
          <w:lang w:val="mi-NZ"/>
        </w:rPr>
        <w:t>.</w:t>
      </w:r>
      <w:r>
        <w:t xml:space="preserve"> It remains unclear what consumer engagement was being undertaken to understand their perspective and ensure their needs were met. </w:t>
      </w:r>
    </w:p>
    <w:p w14:paraId="6324EEE1" w14:textId="77777777" w:rsidR="00640D42" w:rsidRPr="00F43182" w:rsidRDefault="00640D42" w:rsidP="00E75D17">
      <w:pPr>
        <w:pStyle w:val="TeThhauoraheading4"/>
      </w:pPr>
      <w:bookmarkStart w:id="82" w:name="_Toc160178728"/>
      <w:r w:rsidRPr="00F43182">
        <w:t>Cross</w:t>
      </w:r>
      <w:r>
        <w:t>-</w:t>
      </w:r>
      <w:r w:rsidRPr="00F43182">
        <w:t>boundary issues</w:t>
      </w:r>
      <w:bookmarkEnd w:id="82"/>
    </w:p>
    <w:p w14:paraId="1AED1C56" w14:textId="77777777" w:rsidR="00640D42" w:rsidRPr="00C11A1A" w:rsidRDefault="00640D42" w:rsidP="004B0586">
      <w:pPr>
        <w:pStyle w:val="TeThHauorabodytext"/>
        <w:rPr>
          <w:shd w:val="clear" w:color="auto" w:fill="FFFFFF"/>
        </w:rPr>
      </w:pPr>
      <w:r>
        <w:rPr>
          <w:shd w:val="clear" w:color="auto" w:fill="FFFFFF"/>
        </w:rPr>
        <w:t>Many of the reports highlighted the challenges of providing care across system boundaries, for example, care transitions between primary and secondary maternity care or escalating concerns across professional groups. Shorrock (2016) suggested that the best opportunities for system improvements occur across boundaries (between services, transitions of care), but this requires bringing together the differing perspectives of all those involved. However, most reviews in this cohort were hospital-based and did not involve primary care or ambulance practitioners.</w:t>
      </w:r>
    </w:p>
    <w:p w14:paraId="1564C69E" w14:textId="77777777" w:rsidR="00640D42" w:rsidRDefault="00640D42" w:rsidP="00E75D17">
      <w:pPr>
        <w:pStyle w:val="TeThhauoraheading4"/>
      </w:pPr>
      <w:bookmarkStart w:id="83" w:name="_Toc160178729"/>
      <w:r>
        <w:t>Culture and power</w:t>
      </w:r>
      <w:bookmarkEnd w:id="83"/>
    </w:p>
    <w:p w14:paraId="562457CA" w14:textId="77777777" w:rsidR="00640D42" w:rsidRDefault="00640D42" w:rsidP="004B0586">
      <w:pPr>
        <w:pStyle w:val="TeThHauorabodytext"/>
      </w:pPr>
      <w:r>
        <w:t xml:space="preserve">The reports contained no discussion about how work culture or power dynamics influenced an adverse event. These are recognised as important for the ability of different professional groups to work collaboratively and escalate concerns </w:t>
      </w:r>
      <w:r>
        <w:rPr>
          <w:noProof/>
        </w:rPr>
        <w:t>(Smith and Plunkett 2019)</w:t>
      </w:r>
      <w:r>
        <w:t>.</w:t>
      </w:r>
      <w:r w:rsidRPr="00E33AA7">
        <w:t xml:space="preserve"> </w:t>
      </w:r>
      <w:r>
        <w:t>This highlights the importance of seeking multiple perspectives</w:t>
      </w:r>
      <w:r w:rsidRPr="00E44FC0">
        <w:t xml:space="preserve"> </w:t>
      </w:r>
      <w:r>
        <w:t>to understand how the culture of an organisation contributes to adverse events.</w:t>
      </w:r>
    </w:p>
    <w:p w14:paraId="4B48C9A8" w14:textId="77777777" w:rsidR="00640D42" w:rsidRDefault="00640D42" w:rsidP="00E75D17">
      <w:pPr>
        <w:pStyle w:val="TeThhauoraheading4"/>
      </w:pPr>
      <w:bookmarkStart w:id="84" w:name="_Toc160178730"/>
      <w:r>
        <w:t>Workforce</w:t>
      </w:r>
      <w:bookmarkEnd w:id="84"/>
    </w:p>
    <w:p w14:paraId="426D13BD" w14:textId="5B5173C5" w:rsidR="00640D42" w:rsidRDefault="00640D42" w:rsidP="004B0586">
      <w:pPr>
        <w:pStyle w:val="TeThHauorabodytext"/>
      </w:pPr>
      <w:r>
        <w:t xml:space="preserve">Aotearoa New Zealand health workforce shortages, particularly in midwifery, are well documented by various national organisations. Consequently, we anticipated that workforce </w:t>
      </w:r>
      <w:r w:rsidR="000347ED">
        <w:t>problems</w:t>
      </w:r>
      <w:r>
        <w:t xml:space="preserve"> would be increasingly represented in the reports. However, although a few reports mentioned local recruitment and the creation of additional positions, there was little discussion of the systemic workforce </w:t>
      </w:r>
      <w:r w:rsidR="000347ED">
        <w:t>problems</w:t>
      </w:r>
      <w:r>
        <w:t xml:space="preserve"> and the need for a national solution.  </w:t>
      </w:r>
    </w:p>
    <w:p w14:paraId="6D9B0E1A" w14:textId="77777777" w:rsidR="00640D42" w:rsidRPr="00E52D7C" w:rsidRDefault="00640D42" w:rsidP="00E75D17">
      <w:pPr>
        <w:pStyle w:val="TeThHauorahead2"/>
      </w:pPr>
      <w:bookmarkStart w:id="85" w:name="_Toc155958973"/>
      <w:bookmarkStart w:id="86" w:name="_Toc161843069"/>
      <w:bookmarkStart w:id="87" w:name="_Toc170388978"/>
      <w:r w:rsidRPr="00040BCC">
        <w:t>Next steps</w:t>
      </w:r>
      <w:bookmarkEnd w:id="85"/>
      <w:bookmarkEnd w:id="86"/>
      <w:bookmarkEnd w:id="87"/>
    </w:p>
    <w:p w14:paraId="7078F07B" w14:textId="064C0C27" w:rsidR="00640D42" w:rsidRDefault="00640D42" w:rsidP="004B0586">
      <w:pPr>
        <w:pStyle w:val="TeThHauorabodytext"/>
      </w:pPr>
      <w:r>
        <w:t xml:space="preserve">This report clearly indicates the need to move from a focus on individual </w:t>
      </w:r>
      <w:r w:rsidRPr="00777893">
        <w:t>components</w:t>
      </w:r>
      <w:r>
        <w:t xml:space="preserve"> or people to evaluation of the interconnections and interactions across the wider system that influence adverse events. </w:t>
      </w:r>
      <w:r w:rsidRPr="00210B89">
        <w:t xml:space="preserve">The release of the </w:t>
      </w:r>
      <w:r w:rsidR="00D14F39">
        <w:t>Healing</w:t>
      </w:r>
      <w:r>
        <w:t xml:space="preserve">, </w:t>
      </w:r>
      <w:proofErr w:type="gramStart"/>
      <w:r>
        <w:t>learning</w:t>
      </w:r>
      <w:proofErr w:type="gramEnd"/>
      <w:r>
        <w:t xml:space="preserve"> and reporting from harm national adverse events </w:t>
      </w:r>
      <w:r w:rsidRPr="00210B89">
        <w:t>policy in July 2023</w:t>
      </w:r>
      <w:r>
        <w:t>,</w:t>
      </w:r>
      <w:r w:rsidRPr="00210B89">
        <w:t xml:space="preserve"> and the associated socialisation across the sector</w:t>
      </w:r>
      <w:r>
        <w:t>,</w:t>
      </w:r>
      <w:r w:rsidRPr="00210B89">
        <w:t xml:space="preserve"> aims to </w:t>
      </w:r>
      <w:r>
        <w:t>support a learning</w:t>
      </w:r>
      <w:r w:rsidRPr="00210B89">
        <w:t xml:space="preserve"> approach to safety and review practices</w:t>
      </w:r>
      <w:r>
        <w:t>, as</w:t>
      </w:r>
      <w:r w:rsidRPr="00210B89">
        <w:t xml:space="preserve"> raised in this analysis. </w:t>
      </w:r>
      <w:r>
        <w:t xml:space="preserve">The policy recommends use of the </w:t>
      </w:r>
      <w:r w:rsidR="00D14F39">
        <w:t>learning re</w:t>
      </w:r>
      <w:r>
        <w:t>view principles and restorative responses (5-year transition period), and we will assess how these are being implemented and their impact on the sector in future analyses.</w:t>
      </w:r>
    </w:p>
    <w:p w14:paraId="6AAE9465" w14:textId="00BF3F90" w:rsidR="00640D42" w:rsidRDefault="00640D42" w:rsidP="004B0586">
      <w:pPr>
        <w:pStyle w:val="TeThHauorabodytext"/>
      </w:pPr>
      <w:r>
        <w:t xml:space="preserve">A national approach and resourcing are needed to address the themes and potential opportunities to improve identified in this analysis. These </w:t>
      </w:r>
      <w:r w:rsidR="00006AA1">
        <w:t>were</w:t>
      </w:r>
      <w:r>
        <w:t xml:space="preserve"> tabled for discussion at the maternity quality forum to develop potential quality improvement activities.</w:t>
      </w:r>
    </w:p>
    <w:p w14:paraId="467FCE51" w14:textId="77777777" w:rsidR="00640D42" w:rsidRPr="00040BCC" w:rsidRDefault="00640D42" w:rsidP="00E75D17">
      <w:pPr>
        <w:pStyle w:val="TeThHauorahead2"/>
      </w:pPr>
      <w:bookmarkStart w:id="88" w:name="_Toc155958972"/>
      <w:bookmarkStart w:id="89" w:name="_Toc161843070"/>
      <w:bookmarkStart w:id="90" w:name="_Toc170388979"/>
      <w:r>
        <w:t>Conclusion</w:t>
      </w:r>
      <w:bookmarkEnd w:id="88"/>
      <w:bookmarkEnd w:id="89"/>
      <w:bookmarkEnd w:id="90"/>
    </w:p>
    <w:p w14:paraId="301ADB49" w14:textId="77777777" w:rsidR="00640D42" w:rsidRDefault="00640D42" w:rsidP="004B0586">
      <w:pPr>
        <w:pStyle w:val="TeThHauorabodytext"/>
      </w:pPr>
      <w:r>
        <w:t>Our findings highlight how the underpinning safety model and tools used in the past have led to a focus on individual actions with a relative absence of the wider system influences. As a result, this has limited our learning about the wider system and how best to improve the conditions in which care is provided. Our hope is that, by changing the underpinning safety model and tools, as described in the learning from harm policy, we can better understand the context and influences that shape care. This will mean bringing together multiple perspectives from within and across all layers of the system to develop sustainable system-focused improvements.</w:t>
      </w:r>
    </w:p>
    <w:p w14:paraId="115B3B8A" w14:textId="77777777" w:rsidR="00640D42" w:rsidRDefault="00640D42" w:rsidP="004B0586">
      <w:pPr>
        <w:spacing w:after="200"/>
        <w:rPr>
          <w:rFonts w:eastAsia="Times New Roman"/>
        </w:rPr>
      </w:pPr>
      <w:r>
        <w:rPr>
          <w:rFonts w:eastAsia="Times New Roman"/>
        </w:rPr>
        <w:br w:type="page"/>
      </w:r>
    </w:p>
    <w:p w14:paraId="7407E390" w14:textId="77777777" w:rsidR="00640D42" w:rsidRPr="00C557E9" w:rsidRDefault="00640D42" w:rsidP="00E75D17">
      <w:pPr>
        <w:pStyle w:val="TeThHauorahead2"/>
      </w:pPr>
      <w:bookmarkStart w:id="91" w:name="_Toc155958975"/>
      <w:bookmarkStart w:id="92" w:name="_Toc161843071"/>
      <w:bookmarkStart w:id="93" w:name="_Toc170388980"/>
      <w:r w:rsidRPr="00C557E9">
        <w:t>References</w:t>
      </w:r>
      <w:bookmarkEnd w:id="91"/>
      <w:bookmarkEnd w:id="92"/>
      <w:bookmarkEnd w:id="93"/>
    </w:p>
    <w:p w14:paraId="6DB2019F" w14:textId="77777777" w:rsidR="00640D42" w:rsidRPr="00BE02A6" w:rsidRDefault="00640D42" w:rsidP="004B0586">
      <w:pPr>
        <w:pStyle w:val="TeThHauorabodytext"/>
      </w:pPr>
      <w:r w:rsidRPr="00BE02A6">
        <w:t xml:space="preserve">Braithwaite J, </w:t>
      </w:r>
      <w:proofErr w:type="spellStart"/>
      <w:r w:rsidRPr="00BE02A6">
        <w:t>Glasziou</w:t>
      </w:r>
      <w:proofErr w:type="spellEnd"/>
      <w:r w:rsidRPr="00BE02A6">
        <w:t xml:space="preserve"> P, Westbrook J. 2020. The three numbers you need to know about healthcare: the 60-30-10 challenge. </w:t>
      </w:r>
      <w:r w:rsidRPr="00BE02A6">
        <w:rPr>
          <w:i/>
        </w:rPr>
        <w:t>BMC Medicine</w:t>
      </w:r>
      <w:r w:rsidRPr="00BE02A6">
        <w:t xml:space="preserve"> 18: </w:t>
      </w:r>
      <w:r>
        <w:t>102</w:t>
      </w:r>
      <w:r w:rsidRPr="00BE02A6">
        <w:t xml:space="preserve">. </w:t>
      </w:r>
      <w:hyperlink r:id="rId17" w:history="1">
        <w:r w:rsidRPr="00BE02A6">
          <w:t>DOI: 10.1186/s12916-020-01563-4</w:t>
        </w:r>
      </w:hyperlink>
      <w:r w:rsidRPr="00BE02A6">
        <w:t>.</w:t>
      </w:r>
    </w:p>
    <w:p w14:paraId="60F529C5" w14:textId="77777777" w:rsidR="00640D42" w:rsidRPr="00BE02A6" w:rsidRDefault="00640D42" w:rsidP="004B0586">
      <w:pPr>
        <w:pStyle w:val="TeThHauorabodytext"/>
      </w:pPr>
      <w:proofErr w:type="spellStart"/>
      <w:r w:rsidRPr="00BE02A6">
        <w:t>Carayon</w:t>
      </w:r>
      <w:proofErr w:type="spellEnd"/>
      <w:r w:rsidRPr="00BE02A6">
        <w:t xml:space="preserve"> P, Xie A, Kianfar S. 2014. Human factors and ergonomics as a patient safety practice. </w:t>
      </w:r>
      <w:r w:rsidRPr="00BE02A6">
        <w:rPr>
          <w:i/>
        </w:rPr>
        <w:t xml:space="preserve">BMJ Quality &amp; Safety </w:t>
      </w:r>
      <w:r w:rsidRPr="00BE02A6">
        <w:rPr>
          <w:iCs/>
        </w:rPr>
        <w:t>23</w:t>
      </w:r>
      <w:r w:rsidRPr="00BE02A6">
        <w:t>(3): 196–205. DOI: 10.1136/bmjqs-2013-001812.</w:t>
      </w:r>
    </w:p>
    <w:p w14:paraId="385051E5" w14:textId="77777777" w:rsidR="00640D42" w:rsidRDefault="00640D42" w:rsidP="004B0586">
      <w:pPr>
        <w:pStyle w:val="TeThHauorabodytext"/>
      </w:pPr>
      <w:r w:rsidRPr="00BE02A6">
        <w:t xml:space="preserve">Health Quality &amp; Safety Commission. 2018. Maternal morbidity review toolkit for maternity services | Te </w:t>
      </w:r>
      <w:proofErr w:type="spellStart"/>
      <w:r w:rsidRPr="00BE02A6">
        <w:t>kete</w:t>
      </w:r>
      <w:proofErr w:type="spellEnd"/>
      <w:r w:rsidRPr="00BE02A6">
        <w:t xml:space="preserve"> </w:t>
      </w:r>
      <w:proofErr w:type="spellStart"/>
      <w:r w:rsidRPr="00BE02A6">
        <w:t>arotake</w:t>
      </w:r>
      <w:proofErr w:type="spellEnd"/>
      <w:r w:rsidRPr="00BE02A6">
        <w:t xml:space="preserve"> mate </w:t>
      </w:r>
      <w:proofErr w:type="spellStart"/>
      <w:r w:rsidRPr="00BE02A6">
        <w:t>whakawhānau</w:t>
      </w:r>
      <w:proofErr w:type="spellEnd"/>
      <w:r w:rsidRPr="00BE02A6">
        <w:t xml:space="preserve"> </w:t>
      </w:r>
      <w:proofErr w:type="spellStart"/>
      <w:r w:rsidRPr="00BE02A6">
        <w:t>mō</w:t>
      </w:r>
      <w:proofErr w:type="spellEnd"/>
      <w:r w:rsidRPr="00BE02A6">
        <w:t xml:space="preserve"> </w:t>
      </w:r>
      <w:proofErr w:type="spellStart"/>
      <w:r w:rsidRPr="00BE02A6">
        <w:t>ngā</w:t>
      </w:r>
      <w:proofErr w:type="spellEnd"/>
      <w:r w:rsidRPr="00BE02A6">
        <w:t xml:space="preserve"> </w:t>
      </w:r>
      <w:proofErr w:type="spellStart"/>
      <w:r w:rsidRPr="00BE02A6">
        <w:t>ratonga</w:t>
      </w:r>
      <w:proofErr w:type="spellEnd"/>
      <w:r w:rsidRPr="00BE02A6">
        <w:t xml:space="preserve"> </w:t>
      </w:r>
      <w:proofErr w:type="spellStart"/>
      <w:r w:rsidRPr="00BE02A6">
        <w:t>whakawhānau</w:t>
      </w:r>
      <w:proofErr w:type="spellEnd"/>
      <w:r w:rsidRPr="00BE02A6">
        <w:t xml:space="preserve">. Wellington: Health Quality &amp; Safety Commission. URL: </w:t>
      </w:r>
      <w:hyperlink r:id="rId18" w:history="1">
        <w:r w:rsidRPr="003A6802">
          <w:rPr>
            <w:rStyle w:val="Hyperlink"/>
          </w:rPr>
          <w:t>www.hqsc.govt.nz/resources/resource-library/maternal-morbidity-review-toolkit-for-maternity-services-te-kete-arotake-mate-whakawhanau-mo-nga-ratonga-whakawhanau</w:t>
        </w:r>
      </w:hyperlink>
      <w:r w:rsidRPr="00BE02A6">
        <w:t>.</w:t>
      </w:r>
    </w:p>
    <w:p w14:paraId="7C62842C" w14:textId="77777777" w:rsidR="00640D42" w:rsidRPr="00BE02A6" w:rsidRDefault="00640D42" w:rsidP="004B0586">
      <w:pPr>
        <w:pStyle w:val="TeThHauorabodytext"/>
      </w:pPr>
      <w:r>
        <w:t xml:space="preserve">Health Quality &amp; Safety Commission. 2022. </w:t>
      </w:r>
      <w:r w:rsidRPr="00F82B40">
        <w:rPr>
          <w:i/>
          <w:iCs/>
        </w:rPr>
        <w:t xml:space="preserve">Fifteenth Annual Report of the Perinatal and Maternal Mortality Review Committee | Te </w:t>
      </w:r>
      <w:proofErr w:type="spellStart"/>
      <w:r w:rsidRPr="00F82B40">
        <w:rPr>
          <w:i/>
          <w:iCs/>
        </w:rPr>
        <w:t>Pūrongo</w:t>
      </w:r>
      <w:proofErr w:type="spellEnd"/>
      <w:r w:rsidRPr="00F82B40">
        <w:rPr>
          <w:i/>
          <w:iCs/>
        </w:rPr>
        <w:t xml:space="preserve"> ā-Tau </w:t>
      </w:r>
      <w:proofErr w:type="spellStart"/>
      <w:r w:rsidRPr="00F82B40">
        <w:rPr>
          <w:i/>
          <w:iCs/>
        </w:rPr>
        <w:t>Tekau</w:t>
      </w:r>
      <w:proofErr w:type="spellEnd"/>
      <w:r w:rsidRPr="00F82B40">
        <w:rPr>
          <w:i/>
          <w:iCs/>
        </w:rPr>
        <w:t xml:space="preserve"> </w:t>
      </w:r>
      <w:proofErr w:type="spellStart"/>
      <w:r w:rsidRPr="00F82B40">
        <w:rPr>
          <w:i/>
          <w:iCs/>
        </w:rPr>
        <w:t>mā</w:t>
      </w:r>
      <w:proofErr w:type="spellEnd"/>
      <w:r w:rsidRPr="00F82B40">
        <w:rPr>
          <w:i/>
          <w:iCs/>
        </w:rPr>
        <w:t xml:space="preserve"> Rima o </w:t>
      </w:r>
      <w:proofErr w:type="spellStart"/>
      <w:r w:rsidRPr="00F82B40">
        <w:rPr>
          <w:i/>
          <w:iCs/>
        </w:rPr>
        <w:t>te</w:t>
      </w:r>
      <w:proofErr w:type="spellEnd"/>
      <w:r w:rsidRPr="00F82B40">
        <w:rPr>
          <w:i/>
          <w:iCs/>
        </w:rPr>
        <w:t xml:space="preserve"> Komiti </w:t>
      </w:r>
      <w:proofErr w:type="spellStart"/>
      <w:r w:rsidRPr="00F82B40">
        <w:rPr>
          <w:i/>
          <w:iCs/>
        </w:rPr>
        <w:t>Arotake</w:t>
      </w:r>
      <w:proofErr w:type="spellEnd"/>
      <w:r w:rsidRPr="00F82B40">
        <w:rPr>
          <w:i/>
          <w:iCs/>
        </w:rPr>
        <w:t xml:space="preserve"> Mate </w:t>
      </w:r>
      <w:proofErr w:type="spellStart"/>
      <w:r w:rsidRPr="00F82B40">
        <w:rPr>
          <w:i/>
          <w:iCs/>
        </w:rPr>
        <w:t>Pēpi</w:t>
      </w:r>
      <w:proofErr w:type="spellEnd"/>
      <w:r w:rsidRPr="00F82B40">
        <w:rPr>
          <w:i/>
          <w:iCs/>
        </w:rPr>
        <w:t xml:space="preserve">, Mate </w:t>
      </w:r>
      <w:proofErr w:type="spellStart"/>
      <w:r w:rsidRPr="00F82B40">
        <w:rPr>
          <w:i/>
          <w:iCs/>
        </w:rPr>
        <w:t>Whaea</w:t>
      </w:r>
      <w:proofErr w:type="spellEnd"/>
      <w:r w:rsidRPr="00F82B40">
        <w:rPr>
          <w:i/>
          <w:iCs/>
        </w:rPr>
        <w:t xml:space="preserve"> Hoki. </w:t>
      </w:r>
      <w:r>
        <w:t xml:space="preserve">Wellington: Health Quality &amp; Safety Commission. URL: </w:t>
      </w:r>
      <w:hyperlink r:id="rId19" w:history="1">
        <w:r w:rsidRPr="00813053">
          <w:rPr>
            <w:rStyle w:val="Hyperlink"/>
          </w:rPr>
          <w:t>www.hqsc.govt.nz/resources/resource-library/fifteenth-annual-report-of-the-perinatal-and-maternal-mortality-review-committee-reporting-mortality-and-morbidity-2020</w:t>
        </w:r>
      </w:hyperlink>
      <w:r>
        <w:t>.</w:t>
      </w:r>
    </w:p>
    <w:p w14:paraId="6A757ED9" w14:textId="77777777" w:rsidR="00640D42" w:rsidRPr="00BE02A6" w:rsidRDefault="00640D42" w:rsidP="004B0586">
      <w:pPr>
        <w:pStyle w:val="TeThHauorabodytext"/>
      </w:pPr>
      <w:r w:rsidRPr="00BE02A6">
        <w:t>Holden R</w:t>
      </w:r>
      <w:r>
        <w:t>J</w:t>
      </w:r>
      <w:r w:rsidRPr="00BE02A6">
        <w:t xml:space="preserve">, </w:t>
      </w:r>
      <w:proofErr w:type="spellStart"/>
      <w:r w:rsidRPr="00BE02A6">
        <w:t>Carayon</w:t>
      </w:r>
      <w:proofErr w:type="spellEnd"/>
      <w:r w:rsidRPr="00BE02A6">
        <w:t xml:space="preserve"> P. 2021. </w:t>
      </w:r>
      <w:r>
        <w:t xml:space="preserve">SEIPS </w:t>
      </w:r>
      <w:r w:rsidRPr="00BE02A6">
        <w:t xml:space="preserve">101 and seven simple SEIPS tools. </w:t>
      </w:r>
      <w:r w:rsidRPr="00BE02A6">
        <w:rPr>
          <w:i/>
          <w:iCs/>
        </w:rPr>
        <w:t>BMJ Quality &amp; Safety</w:t>
      </w:r>
      <w:r w:rsidRPr="00BE02A6">
        <w:t xml:space="preserve"> </w:t>
      </w:r>
      <w:r>
        <w:t>30(11): 901–10. DOI: 10.1136/bmjqs-2020-012538.</w:t>
      </w:r>
    </w:p>
    <w:p w14:paraId="38903634" w14:textId="77777777" w:rsidR="00640D42" w:rsidRPr="00BE02A6" w:rsidRDefault="00640D42" w:rsidP="004B0586">
      <w:pPr>
        <w:pStyle w:val="TeThHauorabodytext"/>
      </w:pPr>
      <w:r w:rsidRPr="00BE02A6">
        <w:t xml:space="preserve">Holden RJ, </w:t>
      </w:r>
      <w:proofErr w:type="spellStart"/>
      <w:r w:rsidRPr="00BE02A6">
        <w:t>Carayon</w:t>
      </w:r>
      <w:proofErr w:type="spellEnd"/>
      <w:r w:rsidRPr="00BE02A6">
        <w:t xml:space="preserve"> P, </w:t>
      </w:r>
      <w:proofErr w:type="spellStart"/>
      <w:r w:rsidRPr="00BE02A6">
        <w:t>Gurses</w:t>
      </w:r>
      <w:proofErr w:type="spellEnd"/>
      <w:r w:rsidRPr="00BE02A6">
        <w:t xml:space="preserve"> AP, et al. 2013. SEIPS 2.0: a human factors framework for studying and improving the work of healthcare professionals and patients. </w:t>
      </w:r>
      <w:r w:rsidRPr="00BE02A6">
        <w:rPr>
          <w:i/>
        </w:rPr>
        <w:t xml:space="preserve">Ergonomics </w:t>
      </w:r>
      <w:r w:rsidRPr="00BE02A6">
        <w:rPr>
          <w:iCs/>
        </w:rPr>
        <w:t>56</w:t>
      </w:r>
      <w:r w:rsidRPr="00BE02A6">
        <w:t>(11): 1669–86. DOI: 10.1080/00140139.2013.838643.</w:t>
      </w:r>
    </w:p>
    <w:p w14:paraId="0F7C4DE6" w14:textId="77777777" w:rsidR="00640D42" w:rsidRPr="00BE02A6" w:rsidRDefault="00640D42" w:rsidP="004B0586">
      <w:pPr>
        <w:pStyle w:val="TeThHauorabodytext"/>
      </w:pPr>
      <w:r w:rsidRPr="00BE02A6">
        <w:t xml:space="preserve">Hollnagel E, Amalberti R. 2001. The emperor’s new clothes: Or whatever happened to “human error” </w:t>
      </w:r>
      <w:r>
        <w:t xml:space="preserve">[keynote presentation]. </w:t>
      </w:r>
      <w:r w:rsidRPr="00BE02A6">
        <w:t xml:space="preserve">4th international workshop on human error, </w:t>
      </w:r>
      <w:proofErr w:type="gramStart"/>
      <w:r w:rsidRPr="00BE02A6">
        <w:t>safety</w:t>
      </w:r>
      <w:proofErr w:type="gramEnd"/>
      <w:r w:rsidRPr="00BE02A6">
        <w:t xml:space="preserve"> and system development</w:t>
      </w:r>
      <w:r>
        <w:t>. Linköping: 11–12 June 2001.</w:t>
      </w:r>
    </w:p>
    <w:p w14:paraId="2EC51E56" w14:textId="77777777" w:rsidR="00640D42" w:rsidRPr="00BE02A6" w:rsidRDefault="00640D42" w:rsidP="004B0586">
      <w:pPr>
        <w:pStyle w:val="TeThHauorabodytext"/>
      </w:pPr>
      <w:r w:rsidRPr="00BE02A6">
        <w:t xml:space="preserve">Kirkpatrick JD, Kirkpatrick WK. 2016. </w:t>
      </w:r>
      <w:r w:rsidRPr="00BE02A6">
        <w:rPr>
          <w:i/>
          <w:iCs/>
        </w:rPr>
        <w:t xml:space="preserve">Kirkpatrick’s </w:t>
      </w:r>
      <w:r w:rsidRPr="00BE02A6">
        <w:rPr>
          <w:i/>
        </w:rPr>
        <w:t>Four levels of Training Evaluation</w:t>
      </w:r>
      <w:r w:rsidRPr="00BE02A6">
        <w:t xml:space="preserve">. Alexandria, VA: ATD Press. </w:t>
      </w:r>
    </w:p>
    <w:p w14:paraId="5B29A268" w14:textId="77777777" w:rsidR="00640D42" w:rsidRPr="00BE02A6" w:rsidRDefault="00640D42" w:rsidP="004B0586">
      <w:pPr>
        <w:pStyle w:val="TeThHauorabodytext"/>
      </w:pPr>
      <w:r w:rsidRPr="00BE02A6">
        <w:t xml:space="preserve">Lamé G, Liberati EG, Canham A, et al. 2024. Why is safety in intrapartum electronic </w:t>
      </w:r>
      <w:proofErr w:type="spellStart"/>
      <w:r w:rsidRPr="00BE02A6">
        <w:t>fetal</w:t>
      </w:r>
      <w:proofErr w:type="spellEnd"/>
      <w:r w:rsidRPr="00BE02A6">
        <w:t xml:space="preserve"> monitoring so hard? A qualitative study combining human factors/ergonomics and social science analysis. </w:t>
      </w:r>
      <w:r w:rsidRPr="00BE02A6">
        <w:rPr>
          <w:i/>
        </w:rPr>
        <w:t>BMJ Quality &amp; Safety</w:t>
      </w:r>
      <w:r w:rsidRPr="00BE02A6">
        <w:t xml:space="preserve"> [online ahead of print]. DOI: 10.1136/bmjqs-2023-016144</w:t>
      </w:r>
      <w:r>
        <w:t>.</w:t>
      </w:r>
      <w:r w:rsidRPr="00BE02A6">
        <w:t xml:space="preserve"> </w:t>
      </w:r>
    </w:p>
    <w:p w14:paraId="67484F76" w14:textId="77777777" w:rsidR="00640D42" w:rsidRPr="00BE02A6" w:rsidRDefault="00640D42" w:rsidP="004B0586">
      <w:pPr>
        <w:pStyle w:val="TeThHauorabodytext"/>
      </w:pPr>
      <w:r w:rsidRPr="00BE02A6">
        <w:t>Lundberg J, Rollenhagen C, Hollnagel E. 2009. What-You-Look-For-Is-What-You-Find</w:t>
      </w:r>
      <w:r>
        <w:t xml:space="preserve"> </w:t>
      </w:r>
      <w:r w:rsidRPr="00BE02A6">
        <w:t>–</w:t>
      </w:r>
      <w:r>
        <w:t xml:space="preserve"> </w:t>
      </w:r>
      <w:r w:rsidRPr="00BE02A6">
        <w:t xml:space="preserve">The consequences of underlying accident models in eight accident investigation manuals. </w:t>
      </w:r>
      <w:r w:rsidRPr="00BE02A6">
        <w:rPr>
          <w:i/>
        </w:rPr>
        <w:t xml:space="preserve">Safety Science </w:t>
      </w:r>
      <w:r w:rsidRPr="00BE02A6">
        <w:rPr>
          <w:iCs/>
        </w:rPr>
        <w:t>47</w:t>
      </w:r>
      <w:r w:rsidRPr="00BE02A6">
        <w:t>(10): 1297–311. DOI: 10.1016/j.ssci.2009.01.004.</w:t>
      </w:r>
    </w:p>
    <w:p w14:paraId="5C1D6058" w14:textId="77777777" w:rsidR="00640D42" w:rsidRPr="00BE02A6" w:rsidRDefault="00640D42" w:rsidP="004B0586">
      <w:pPr>
        <w:pStyle w:val="TeThHauorabodytext"/>
      </w:pPr>
      <w:r w:rsidRPr="00BE02A6">
        <w:t xml:space="preserve">Paradies M, Unger L. 2000. </w:t>
      </w:r>
      <w:r w:rsidRPr="00BE02A6">
        <w:rPr>
          <w:i/>
          <w:iCs/>
        </w:rPr>
        <w:t>Taproot:</w:t>
      </w:r>
      <w:r w:rsidRPr="00BE02A6">
        <w:t xml:space="preserve"> </w:t>
      </w:r>
      <w:r w:rsidRPr="00BE02A6">
        <w:rPr>
          <w:i/>
        </w:rPr>
        <w:t>The system for root cause analysis, problem investigation and proactive improvement</w:t>
      </w:r>
      <w:r w:rsidRPr="00BE02A6">
        <w:t xml:space="preserve"> (</w:t>
      </w:r>
      <w:r>
        <w:t>1</w:t>
      </w:r>
      <w:r w:rsidRPr="009705A4">
        <w:t>st</w:t>
      </w:r>
      <w:r>
        <w:t xml:space="preserve"> </w:t>
      </w:r>
      <w:r w:rsidRPr="00BE02A6">
        <w:t xml:space="preserve">edition). </w:t>
      </w:r>
      <w:r>
        <w:t xml:space="preserve">Knoxville, TN: </w:t>
      </w:r>
      <w:r w:rsidRPr="00BE02A6">
        <w:t xml:space="preserve">Systems Improvements Inc. </w:t>
      </w:r>
    </w:p>
    <w:p w14:paraId="6E06012F" w14:textId="77777777" w:rsidR="00640D42" w:rsidRPr="00BE02A6" w:rsidRDefault="00640D42" w:rsidP="004B0586">
      <w:pPr>
        <w:pStyle w:val="TeThHauorabodytext"/>
      </w:pPr>
      <w:r w:rsidRPr="00BE02A6">
        <w:t xml:space="preserve">Read GJM, Shorrock S, Walker GH, et al. 2021. State of science: evolving perspectives on 'human error'. </w:t>
      </w:r>
      <w:r w:rsidRPr="00BE02A6">
        <w:rPr>
          <w:i/>
        </w:rPr>
        <w:t xml:space="preserve">Ergonomics </w:t>
      </w:r>
      <w:r w:rsidRPr="00BE02A6">
        <w:rPr>
          <w:iCs/>
        </w:rPr>
        <w:t>64</w:t>
      </w:r>
      <w:r w:rsidRPr="00BE02A6">
        <w:t xml:space="preserve">(9): 1091–114. DOI: 10.1080/00140139.2021.1953615. </w:t>
      </w:r>
    </w:p>
    <w:p w14:paraId="77685385" w14:textId="77777777" w:rsidR="00640D42" w:rsidRPr="00BE02A6" w:rsidRDefault="00640D42" w:rsidP="004B0586">
      <w:pPr>
        <w:pStyle w:val="TeThHauorabodytext"/>
      </w:pPr>
      <w:r w:rsidRPr="00BE02A6">
        <w:t xml:space="preserve">Robbins T, Tipper S, King J, et al. 2021. Evaluation of learning teams versus root cause analysis for incident investigation in a large United Kingdom national health service hospital. </w:t>
      </w:r>
      <w:r w:rsidRPr="00BE02A6">
        <w:rPr>
          <w:i/>
        </w:rPr>
        <w:t xml:space="preserve">Journal of Patient Safety </w:t>
      </w:r>
      <w:r w:rsidRPr="00BE02A6">
        <w:rPr>
          <w:iCs/>
        </w:rPr>
        <w:t>17</w:t>
      </w:r>
      <w:r w:rsidRPr="00BE02A6">
        <w:t>(8): e1800</w:t>
      </w:r>
      <w:r>
        <w:t>–</w:t>
      </w:r>
      <w:r w:rsidRPr="00BE02A6">
        <w:t>5. DOI: 10.1097/PTS.0000000000000641.</w:t>
      </w:r>
    </w:p>
    <w:p w14:paraId="7859016F" w14:textId="77777777" w:rsidR="00640D42" w:rsidRDefault="00640D42" w:rsidP="004B0586">
      <w:pPr>
        <w:pStyle w:val="TeThHauorabodytext"/>
      </w:pPr>
      <w:r>
        <w:t xml:space="preserve">Shorrock S. 2016. The varieties of human work. Humanistic systems. URL: </w:t>
      </w:r>
      <w:r w:rsidRPr="009705A4">
        <w:t>humanisticsystems.com/2016/12/05/the-varieties-of-human-work</w:t>
      </w:r>
      <w:r>
        <w:t>.</w:t>
      </w:r>
    </w:p>
    <w:p w14:paraId="099903BA" w14:textId="77777777" w:rsidR="00640D42" w:rsidRPr="00BE02A6" w:rsidRDefault="00640D42" w:rsidP="004B0586">
      <w:pPr>
        <w:pStyle w:val="TeThHauorabodytext"/>
      </w:pPr>
      <w:r w:rsidRPr="00BE02A6">
        <w:t xml:space="preserve">Smith AF, Plunkett E. 2019. People, </w:t>
      </w:r>
      <w:proofErr w:type="gramStart"/>
      <w:r w:rsidRPr="00BE02A6">
        <w:t>systems</w:t>
      </w:r>
      <w:proofErr w:type="gramEnd"/>
      <w:r w:rsidRPr="00BE02A6">
        <w:t xml:space="preserve"> and safety: resilience and excellence in healthcare practice. </w:t>
      </w:r>
      <w:r w:rsidRPr="00BE02A6">
        <w:rPr>
          <w:i/>
        </w:rPr>
        <w:t xml:space="preserve">Anaesthesia </w:t>
      </w:r>
      <w:r w:rsidRPr="00BE02A6">
        <w:rPr>
          <w:iCs/>
        </w:rPr>
        <w:t>74</w:t>
      </w:r>
      <w:r w:rsidRPr="00BE02A6">
        <w:t>(4): 508–17. DOI: 10.1111/anae.14519.</w:t>
      </w:r>
    </w:p>
    <w:p w14:paraId="4E30A88C" w14:textId="77777777" w:rsidR="00640D42" w:rsidRPr="00BE02A6" w:rsidRDefault="00640D42" w:rsidP="004B0586">
      <w:pPr>
        <w:pStyle w:val="TeThHauorabodytext"/>
      </w:pPr>
      <w:r w:rsidRPr="00BE02A6">
        <w:t xml:space="preserve">Sujan M. 2015. An organisation without a memory: a qualitative study of hospital staff perceptions on reporting and organisational learning for patient safety. </w:t>
      </w:r>
      <w:r w:rsidRPr="00BE02A6">
        <w:rPr>
          <w:i/>
        </w:rPr>
        <w:t>Reliability Engineering &amp; System Safety</w:t>
      </w:r>
      <w:r w:rsidRPr="00BE02A6">
        <w:rPr>
          <w:iCs/>
        </w:rPr>
        <w:t xml:space="preserve"> 144:</w:t>
      </w:r>
      <w:r w:rsidRPr="00BE02A6">
        <w:t xml:space="preserve"> 45–52. DOI: 10.1016/j.ress.2015.07.011.</w:t>
      </w:r>
    </w:p>
    <w:p w14:paraId="3BBEE29E" w14:textId="77777777" w:rsidR="00640D42" w:rsidRPr="00BE02A6" w:rsidRDefault="00640D42" w:rsidP="004B0586">
      <w:pPr>
        <w:pStyle w:val="TeThHauorabodytext"/>
      </w:pPr>
      <w:r w:rsidRPr="00BE02A6">
        <w:t xml:space="preserve">Te </w:t>
      </w:r>
      <w:proofErr w:type="spellStart"/>
      <w:r w:rsidRPr="00BE02A6">
        <w:t>Tāhū</w:t>
      </w:r>
      <w:proofErr w:type="spellEnd"/>
      <w:r w:rsidRPr="00BE02A6">
        <w:t xml:space="preserve"> Hauora Health Quality &amp; Safety Commission. 2023. Code of expectations for health entities’ engagement with consumers and whānau. Wellington: Te </w:t>
      </w:r>
      <w:proofErr w:type="spellStart"/>
      <w:r w:rsidRPr="00BE02A6">
        <w:t>Tāhū</w:t>
      </w:r>
      <w:proofErr w:type="spellEnd"/>
      <w:r w:rsidRPr="00BE02A6">
        <w:t xml:space="preserve"> Hauora. URL: </w:t>
      </w:r>
      <w:hyperlink r:id="rId20" w:history="1">
        <w:r w:rsidRPr="00BE02A6">
          <w:rPr>
            <w:rStyle w:val="Hyperlink"/>
          </w:rPr>
          <w:t>www.hqsc.govt.nz/resources/resource-library/code-of-expectations-for-health-entities-engagement-with-consumers-and-whanau</w:t>
        </w:r>
      </w:hyperlink>
      <w:r w:rsidRPr="00BE02A6">
        <w:t>.</w:t>
      </w:r>
    </w:p>
    <w:p w14:paraId="2508A67C" w14:textId="6AAC7EFB" w:rsidR="00640D42" w:rsidRPr="003B1031" w:rsidRDefault="00640D42" w:rsidP="004B0586">
      <w:pPr>
        <w:pStyle w:val="TeThHauorabodytext"/>
      </w:pPr>
      <w:r>
        <w:t xml:space="preserve">Woodward S. 2019. Moving towards a safety II approach. </w:t>
      </w:r>
      <w:r w:rsidRPr="37731E50">
        <w:rPr>
          <w:i/>
          <w:iCs/>
        </w:rPr>
        <w:t>Journal of Patient Safety and Risk Management</w:t>
      </w:r>
      <w:r>
        <w:t xml:space="preserve"> 24(3): 96–9. DOI: 10.1177/2516043519855264.</w:t>
      </w:r>
    </w:p>
    <w:p w14:paraId="53411D83" w14:textId="11D96758" w:rsidR="00640D42" w:rsidRPr="001C78ED" w:rsidRDefault="00942606" w:rsidP="004B0586">
      <w:pPr>
        <w:autoSpaceDE/>
        <w:autoSpaceDN/>
        <w:adjustRightInd/>
        <w:spacing w:after="0"/>
        <w:rPr>
          <w:sz w:val="24"/>
          <w:szCs w:val="24"/>
        </w:rPr>
      </w:pPr>
      <w:r w:rsidRPr="37731E50">
        <w:rPr>
          <w:sz w:val="24"/>
          <w:szCs w:val="24"/>
        </w:rPr>
        <w:br w:type="page"/>
      </w:r>
    </w:p>
    <w:p w14:paraId="35EBB3E3" w14:textId="5AEB06D8" w:rsidR="00942606" w:rsidRPr="00DB74A8" w:rsidRDefault="00942606" w:rsidP="00126E1C">
      <w:pPr>
        <w:pStyle w:val="TeThHauorahead2"/>
      </w:pPr>
      <w:bookmarkStart w:id="94" w:name="Appendix1"/>
      <w:bookmarkStart w:id="95" w:name="_Toc155958976"/>
      <w:bookmarkStart w:id="96" w:name="_Toc160179308"/>
      <w:bookmarkStart w:id="97" w:name="_Toc170388981"/>
      <w:r>
        <w:t>Appendix 1</w:t>
      </w:r>
      <w:bookmarkEnd w:id="94"/>
      <w:r>
        <w:t>:</w:t>
      </w:r>
      <w:bookmarkEnd w:id="95"/>
      <w:r>
        <w:t xml:space="preserve"> </w:t>
      </w:r>
      <w:bookmarkStart w:id="98" w:name="_Toc155958977"/>
      <w:r>
        <w:t>Clinical management report class</w:t>
      </w:r>
      <w:bookmarkEnd w:id="96"/>
      <w:bookmarkEnd w:id="97"/>
      <w:bookmarkEnd w:id="98"/>
    </w:p>
    <w:p w14:paraId="2E60D3EC" w14:textId="43834FF7" w:rsidR="00942606" w:rsidRDefault="00942606" w:rsidP="004B0586">
      <w:pPr>
        <w:pStyle w:val="TeThHauorabodytext"/>
        <w:rPr>
          <w:lang w:eastAsia="en-NZ"/>
        </w:rPr>
      </w:pPr>
      <w:r w:rsidRPr="37731E50">
        <w:rPr>
          <w:lang w:eastAsia="en-NZ"/>
        </w:rPr>
        <w:t xml:space="preserve">Te </w:t>
      </w:r>
      <w:proofErr w:type="spellStart"/>
      <w:r w:rsidRPr="37731E50">
        <w:rPr>
          <w:lang w:eastAsia="en-NZ"/>
        </w:rPr>
        <w:t>Tāhū</w:t>
      </w:r>
      <w:proofErr w:type="spellEnd"/>
      <w:r w:rsidRPr="37731E50">
        <w:rPr>
          <w:lang w:eastAsia="en-NZ"/>
        </w:rPr>
        <w:t xml:space="preserve"> Hauora combines WHO codes 01, 02 and 14 into clinical management events as shown below.</w:t>
      </w:r>
    </w:p>
    <w:tbl>
      <w:tblPr>
        <w:tblW w:w="9010" w:type="dxa"/>
        <w:tblBorders>
          <w:top w:val="single" w:sz="4" w:space="0" w:color="auto"/>
          <w:left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11"/>
        <w:gridCol w:w="4899"/>
      </w:tblGrid>
      <w:tr w:rsidR="00942606" w:rsidRPr="00DB74A8" w14:paraId="1B57F716" w14:textId="77777777" w:rsidTr="00B80975">
        <w:trPr>
          <w:tblHeader/>
        </w:trPr>
        <w:tc>
          <w:tcPr>
            <w:tcW w:w="4111" w:type="dxa"/>
            <w:tcBorders>
              <w:left w:val="nil"/>
            </w:tcBorders>
            <w:shd w:val="clear" w:color="auto" w:fill="D9D9D9" w:themeFill="background1" w:themeFillShade="D9"/>
            <w:tcMar>
              <w:top w:w="75" w:type="dxa"/>
              <w:left w:w="180" w:type="dxa"/>
              <w:bottom w:w="75" w:type="dxa"/>
              <w:right w:w="180" w:type="dxa"/>
            </w:tcMar>
            <w:hideMark/>
          </w:tcPr>
          <w:p w14:paraId="53AED103" w14:textId="77777777" w:rsidR="00942606" w:rsidRPr="00045326" w:rsidRDefault="00942606" w:rsidP="004B0586">
            <w:pPr>
              <w:pStyle w:val="TeThHauoratablecolumnhead"/>
              <w:framePr w:hSpace="0" w:wrap="auto" w:vAnchor="margin" w:hAnchor="text" w:yAlign="inline"/>
              <w:spacing w:line="276" w:lineRule="auto"/>
            </w:pPr>
            <w:r w:rsidRPr="00045326">
              <w:t>Clinical management report classification</w:t>
            </w:r>
          </w:p>
        </w:tc>
        <w:tc>
          <w:tcPr>
            <w:tcW w:w="4899" w:type="dxa"/>
            <w:shd w:val="clear" w:color="auto" w:fill="D9D9D9" w:themeFill="background1" w:themeFillShade="D9"/>
            <w:tcMar>
              <w:top w:w="75" w:type="dxa"/>
              <w:left w:w="180" w:type="dxa"/>
              <w:bottom w:w="75" w:type="dxa"/>
              <w:right w:w="180" w:type="dxa"/>
            </w:tcMar>
            <w:hideMark/>
          </w:tcPr>
          <w:p w14:paraId="7495367B" w14:textId="77777777" w:rsidR="00942606" w:rsidRPr="00045326" w:rsidRDefault="00942606" w:rsidP="004B0586">
            <w:pPr>
              <w:pStyle w:val="TeThHauoratablecolumnhead"/>
              <w:framePr w:hSpace="0" w:wrap="auto" w:vAnchor="margin" w:hAnchor="text" w:yAlign="inline"/>
              <w:spacing w:line="276" w:lineRule="auto"/>
            </w:pPr>
            <w:r w:rsidRPr="00045326">
              <w:t>Description example (hypothetical)</w:t>
            </w:r>
          </w:p>
        </w:tc>
      </w:tr>
      <w:tr w:rsidR="00942606" w:rsidRPr="00DB74A8" w14:paraId="2C50A908" w14:textId="77777777" w:rsidTr="00B80975">
        <w:tc>
          <w:tcPr>
            <w:tcW w:w="4111" w:type="dxa"/>
            <w:tcBorders>
              <w:left w:val="nil"/>
            </w:tcBorders>
            <w:shd w:val="clear" w:color="auto" w:fill="auto"/>
            <w:tcMar>
              <w:top w:w="75" w:type="dxa"/>
              <w:left w:w="180" w:type="dxa"/>
              <w:bottom w:w="75" w:type="dxa"/>
              <w:right w:w="180" w:type="dxa"/>
            </w:tcMar>
            <w:hideMark/>
          </w:tcPr>
          <w:p w14:paraId="18AEB7C6" w14:textId="77777777" w:rsidR="00942606" w:rsidRPr="00D25358" w:rsidRDefault="00942606" w:rsidP="004B0586">
            <w:pPr>
              <w:pStyle w:val="TeThHauoratablecontent"/>
              <w:framePr w:hSpace="0" w:wrap="auto" w:vAnchor="margin" w:hAnchor="text" w:yAlign="inline"/>
              <w:spacing w:line="276" w:lineRule="auto"/>
            </w:pPr>
            <w:r w:rsidRPr="00D25358">
              <w:t>Adverse outcome</w:t>
            </w:r>
          </w:p>
        </w:tc>
        <w:tc>
          <w:tcPr>
            <w:tcW w:w="4899" w:type="dxa"/>
            <w:shd w:val="clear" w:color="auto" w:fill="auto"/>
            <w:tcMar>
              <w:top w:w="75" w:type="dxa"/>
              <w:left w:w="180" w:type="dxa"/>
              <w:bottom w:w="75" w:type="dxa"/>
              <w:right w:w="180" w:type="dxa"/>
            </w:tcMar>
            <w:hideMark/>
          </w:tcPr>
          <w:p w14:paraId="01CCE3ED" w14:textId="77777777" w:rsidR="00942606" w:rsidRPr="00D25358" w:rsidRDefault="00942606" w:rsidP="004B0586">
            <w:pPr>
              <w:pStyle w:val="TeThHauoratablecontent"/>
              <w:framePr w:hSpace="0" w:wrap="auto" w:vAnchor="margin" w:hAnchor="text" w:yAlign="inline"/>
              <w:spacing w:line="276" w:lineRule="auto"/>
            </w:pPr>
            <w:r w:rsidRPr="00D25358">
              <w:t>Unexpected consumer death or outcome</w:t>
            </w:r>
          </w:p>
        </w:tc>
      </w:tr>
      <w:tr w:rsidR="00942606" w:rsidRPr="00DB74A8" w14:paraId="12AFC5C4" w14:textId="77777777" w:rsidTr="00B80975">
        <w:tc>
          <w:tcPr>
            <w:tcW w:w="4111" w:type="dxa"/>
            <w:tcBorders>
              <w:left w:val="nil"/>
            </w:tcBorders>
            <w:shd w:val="clear" w:color="auto" w:fill="auto"/>
            <w:tcMar>
              <w:top w:w="75" w:type="dxa"/>
              <w:left w:w="180" w:type="dxa"/>
              <w:bottom w:w="75" w:type="dxa"/>
              <w:right w:w="180" w:type="dxa"/>
            </w:tcMar>
            <w:hideMark/>
          </w:tcPr>
          <w:p w14:paraId="2D7158A6" w14:textId="77777777" w:rsidR="00942606" w:rsidRPr="00D25358" w:rsidRDefault="00942606" w:rsidP="004B0586">
            <w:pPr>
              <w:pStyle w:val="TeThHauoratablecontent"/>
              <w:framePr w:hSpace="0" w:wrap="auto" w:vAnchor="margin" w:hAnchor="text" w:yAlign="inline"/>
              <w:spacing w:line="276" w:lineRule="auto"/>
            </w:pPr>
            <w:r w:rsidRPr="00D25358">
              <w:t>Assessment and diagnosis</w:t>
            </w:r>
          </w:p>
        </w:tc>
        <w:tc>
          <w:tcPr>
            <w:tcW w:w="4899" w:type="dxa"/>
            <w:shd w:val="clear" w:color="auto" w:fill="auto"/>
            <w:tcMar>
              <w:top w:w="75" w:type="dxa"/>
              <w:left w:w="180" w:type="dxa"/>
              <w:bottom w:w="75" w:type="dxa"/>
              <w:right w:w="180" w:type="dxa"/>
            </w:tcMar>
            <w:hideMark/>
          </w:tcPr>
          <w:p w14:paraId="7062A062" w14:textId="77777777" w:rsidR="00942606" w:rsidRPr="00D25358" w:rsidRDefault="00942606" w:rsidP="004B0586">
            <w:pPr>
              <w:pStyle w:val="TeThHauoratablecontent"/>
              <w:framePr w:hSpace="0" w:wrap="auto" w:vAnchor="margin" w:hAnchor="text" w:yAlign="inline"/>
              <w:spacing w:line="276" w:lineRule="auto"/>
            </w:pPr>
            <w:r w:rsidRPr="00D25358">
              <w:t>Initial assessment did not find the key clinical issue</w:t>
            </w:r>
          </w:p>
        </w:tc>
      </w:tr>
      <w:tr w:rsidR="00942606" w:rsidRPr="00DB74A8" w14:paraId="3113A958" w14:textId="77777777" w:rsidTr="00B80975">
        <w:tc>
          <w:tcPr>
            <w:tcW w:w="4111" w:type="dxa"/>
            <w:tcBorders>
              <w:left w:val="nil"/>
            </w:tcBorders>
            <w:shd w:val="clear" w:color="auto" w:fill="auto"/>
            <w:tcMar>
              <w:top w:w="75" w:type="dxa"/>
              <w:left w:w="180" w:type="dxa"/>
              <w:bottom w:w="75" w:type="dxa"/>
              <w:right w:w="180" w:type="dxa"/>
            </w:tcMar>
            <w:hideMark/>
          </w:tcPr>
          <w:p w14:paraId="7C42B4E9" w14:textId="77777777" w:rsidR="00942606" w:rsidRPr="00D25358" w:rsidRDefault="00942606" w:rsidP="004B0586">
            <w:pPr>
              <w:pStyle w:val="TeThHauoratablecontent"/>
              <w:framePr w:hSpace="0" w:wrap="auto" w:vAnchor="margin" w:hAnchor="text" w:yAlign="inline"/>
              <w:spacing w:line="276" w:lineRule="auto"/>
            </w:pPr>
            <w:r w:rsidRPr="00D25358">
              <w:t>Clinical process</w:t>
            </w:r>
          </w:p>
        </w:tc>
        <w:tc>
          <w:tcPr>
            <w:tcW w:w="4899" w:type="dxa"/>
            <w:shd w:val="clear" w:color="auto" w:fill="auto"/>
            <w:tcMar>
              <w:top w:w="75" w:type="dxa"/>
              <w:left w:w="180" w:type="dxa"/>
              <w:bottom w:w="75" w:type="dxa"/>
              <w:right w:w="180" w:type="dxa"/>
            </w:tcMar>
            <w:hideMark/>
          </w:tcPr>
          <w:p w14:paraId="26233E24" w14:textId="77777777" w:rsidR="00942606" w:rsidRPr="00D25358" w:rsidRDefault="00942606" w:rsidP="004B0586">
            <w:pPr>
              <w:pStyle w:val="TeThHauoratablecontent"/>
              <w:framePr w:hSpace="0" w:wrap="auto" w:vAnchor="margin" w:hAnchor="text" w:yAlign="inline"/>
              <w:spacing w:line="276" w:lineRule="auto"/>
            </w:pPr>
            <w:r w:rsidRPr="00D25358">
              <w:t>Incomplete process during care (</w:t>
            </w:r>
            <w:proofErr w:type="spellStart"/>
            <w:r w:rsidRPr="00D25358">
              <w:t>eg</w:t>
            </w:r>
            <w:proofErr w:type="spellEnd"/>
            <w:r w:rsidRPr="00D25358">
              <w:t>, consent, coordination of care)</w:t>
            </w:r>
          </w:p>
        </w:tc>
      </w:tr>
      <w:tr w:rsidR="00942606" w:rsidRPr="00DB74A8" w14:paraId="51656192" w14:textId="77777777" w:rsidTr="00B80975">
        <w:tc>
          <w:tcPr>
            <w:tcW w:w="4111" w:type="dxa"/>
            <w:tcBorders>
              <w:left w:val="nil"/>
            </w:tcBorders>
            <w:shd w:val="clear" w:color="auto" w:fill="auto"/>
            <w:tcMar>
              <w:top w:w="75" w:type="dxa"/>
              <w:left w:w="180" w:type="dxa"/>
              <w:bottom w:w="75" w:type="dxa"/>
              <w:right w:w="180" w:type="dxa"/>
            </w:tcMar>
            <w:hideMark/>
          </w:tcPr>
          <w:p w14:paraId="5A546CA2" w14:textId="77777777" w:rsidR="00942606" w:rsidRPr="00D25358" w:rsidRDefault="00942606" w:rsidP="004B0586">
            <w:pPr>
              <w:pStyle w:val="TeThHauoratablecontent"/>
              <w:framePr w:hSpace="0" w:wrap="auto" w:vAnchor="margin" w:hAnchor="text" w:yAlign="inline"/>
              <w:spacing w:line="276" w:lineRule="auto"/>
            </w:pPr>
            <w:r w:rsidRPr="00D25358">
              <w:t>Complication</w:t>
            </w:r>
          </w:p>
        </w:tc>
        <w:tc>
          <w:tcPr>
            <w:tcW w:w="4899" w:type="dxa"/>
            <w:shd w:val="clear" w:color="auto" w:fill="auto"/>
            <w:tcMar>
              <w:top w:w="75" w:type="dxa"/>
              <w:left w:w="180" w:type="dxa"/>
              <w:bottom w:w="75" w:type="dxa"/>
              <w:right w:w="180" w:type="dxa"/>
            </w:tcMar>
            <w:hideMark/>
          </w:tcPr>
          <w:p w14:paraId="73D8709E" w14:textId="77777777" w:rsidR="00942606" w:rsidRPr="00D25358" w:rsidRDefault="00942606" w:rsidP="004B0586">
            <w:pPr>
              <w:pStyle w:val="TeThHauoratablecontent"/>
              <w:framePr w:hSpace="0" w:wrap="auto" w:vAnchor="margin" w:hAnchor="text" w:yAlign="inline"/>
              <w:spacing w:line="276" w:lineRule="auto"/>
            </w:pPr>
            <w:r w:rsidRPr="00D25358">
              <w:t>Complication of treatment or procedure (</w:t>
            </w:r>
            <w:proofErr w:type="spellStart"/>
            <w:r w:rsidRPr="00D25358">
              <w:t>eg</w:t>
            </w:r>
            <w:proofErr w:type="spellEnd"/>
            <w:r w:rsidRPr="00D25358">
              <w:t>, stroke following surgery)</w:t>
            </w:r>
          </w:p>
        </w:tc>
      </w:tr>
      <w:tr w:rsidR="00942606" w:rsidRPr="00DB74A8" w14:paraId="2B02FA5B" w14:textId="77777777" w:rsidTr="00B80975">
        <w:tc>
          <w:tcPr>
            <w:tcW w:w="4111" w:type="dxa"/>
            <w:tcBorders>
              <w:left w:val="nil"/>
            </w:tcBorders>
            <w:shd w:val="clear" w:color="auto" w:fill="auto"/>
            <w:tcMar>
              <w:top w:w="75" w:type="dxa"/>
              <w:left w:w="180" w:type="dxa"/>
              <w:bottom w:w="75" w:type="dxa"/>
              <w:right w:w="180" w:type="dxa"/>
            </w:tcMar>
            <w:hideMark/>
          </w:tcPr>
          <w:p w14:paraId="395D07C3" w14:textId="77777777" w:rsidR="00942606" w:rsidRPr="00D25358" w:rsidRDefault="00942606" w:rsidP="004B0586">
            <w:pPr>
              <w:pStyle w:val="TeThHauoratablecontent"/>
              <w:framePr w:hSpace="0" w:wrap="auto" w:vAnchor="margin" w:hAnchor="text" w:yAlign="inline"/>
              <w:spacing w:line="276" w:lineRule="auto"/>
            </w:pPr>
            <w:r w:rsidRPr="00D25358">
              <w:t>Delayed diagnosis or treatment</w:t>
            </w:r>
          </w:p>
        </w:tc>
        <w:tc>
          <w:tcPr>
            <w:tcW w:w="4899" w:type="dxa"/>
            <w:shd w:val="clear" w:color="auto" w:fill="auto"/>
            <w:tcMar>
              <w:top w:w="75" w:type="dxa"/>
              <w:left w:w="180" w:type="dxa"/>
              <w:bottom w:w="75" w:type="dxa"/>
              <w:right w:w="180" w:type="dxa"/>
            </w:tcMar>
            <w:hideMark/>
          </w:tcPr>
          <w:p w14:paraId="40FFA8FE" w14:textId="77777777" w:rsidR="00942606" w:rsidRPr="00D25358" w:rsidRDefault="00942606" w:rsidP="004B0586">
            <w:pPr>
              <w:pStyle w:val="TeThHauoratablecontent"/>
              <w:framePr w:hSpace="0" w:wrap="auto" w:vAnchor="margin" w:hAnchor="text" w:yAlign="inline"/>
              <w:spacing w:line="276" w:lineRule="auto"/>
            </w:pPr>
            <w:r w:rsidRPr="00D25358">
              <w:t>Issue in referral process results in delay seeing specialist or receiving treatment</w:t>
            </w:r>
          </w:p>
        </w:tc>
      </w:tr>
      <w:tr w:rsidR="00942606" w:rsidRPr="00DB74A8" w14:paraId="4F141478" w14:textId="77777777" w:rsidTr="00B80975">
        <w:tc>
          <w:tcPr>
            <w:tcW w:w="4111" w:type="dxa"/>
            <w:tcBorders>
              <w:left w:val="nil"/>
            </w:tcBorders>
            <w:shd w:val="clear" w:color="auto" w:fill="auto"/>
            <w:tcMar>
              <w:top w:w="75" w:type="dxa"/>
              <w:left w:w="180" w:type="dxa"/>
              <w:bottom w:w="75" w:type="dxa"/>
              <w:right w:w="180" w:type="dxa"/>
            </w:tcMar>
            <w:hideMark/>
          </w:tcPr>
          <w:p w14:paraId="2C4B45FC" w14:textId="77777777" w:rsidR="00942606" w:rsidRPr="00D25358" w:rsidRDefault="00942606" w:rsidP="004B0586">
            <w:pPr>
              <w:pStyle w:val="TeThHauoratablecontent"/>
              <w:framePr w:hSpace="0" w:wrap="auto" w:vAnchor="margin" w:hAnchor="text" w:yAlign="inline"/>
              <w:spacing w:line="276" w:lineRule="auto"/>
            </w:pPr>
            <w:r w:rsidRPr="00D25358">
              <w:t>Deterioration</w:t>
            </w:r>
          </w:p>
        </w:tc>
        <w:tc>
          <w:tcPr>
            <w:tcW w:w="4899" w:type="dxa"/>
            <w:shd w:val="clear" w:color="auto" w:fill="auto"/>
            <w:tcMar>
              <w:top w:w="75" w:type="dxa"/>
              <w:left w:w="180" w:type="dxa"/>
              <w:bottom w:w="75" w:type="dxa"/>
              <w:right w:w="180" w:type="dxa"/>
            </w:tcMar>
            <w:hideMark/>
          </w:tcPr>
          <w:p w14:paraId="5EC88E9D" w14:textId="77777777" w:rsidR="00942606" w:rsidRPr="00D25358" w:rsidRDefault="00942606" w:rsidP="004B0586">
            <w:pPr>
              <w:pStyle w:val="TeThHauoratablecontent"/>
              <w:framePr w:hSpace="0" w:wrap="auto" w:vAnchor="margin" w:hAnchor="text" w:yAlign="inline"/>
              <w:spacing w:line="276" w:lineRule="auto"/>
            </w:pPr>
            <w:r w:rsidRPr="00D25358">
              <w:t>Consumer deterioration not recognised or managed in expected timeframe</w:t>
            </w:r>
          </w:p>
        </w:tc>
      </w:tr>
      <w:tr w:rsidR="00942606" w:rsidRPr="00DB74A8" w14:paraId="0BCFCE12" w14:textId="77777777" w:rsidTr="00B80975">
        <w:tc>
          <w:tcPr>
            <w:tcW w:w="4111" w:type="dxa"/>
            <w:tcBorders>
              <w:left w:val="nil"/>
            </w:tcBorders>
            <w:shd w:val="clear" w:color="auto" w:fill="auto"/>
            <w:tcMar>
              <w:top w:w="75" w:type="dxa"/>
              <w:left w:w="180" w:type="dxa"/>
              <w:bottom w:w="75" w:type="dxa"/>
              <w:right w:w="180" w:type="dxa"/>
            </w:tcMar>
            <w:hideMark/>
          </w:tcPr>
          <w:p w14:paraId="50622DF6" w14:textId="77777777" w:rsidR="00942606" w:rsidRPr="00D25358" w:rsidRDefault="00942606" w:rsidP="004B0586">
            <w:pPr>
              <w:pStyle w:val="TeThHauoratablecontent"/>
              <w:framePr w:hSpace="0" w:wrap="auto" w:vAnchor="margin" w:hAnchor="text" w:yAlign="inline"/>
              <w:spacing w:line="276" w:lineRule="auto"/>
            </w:pPr>
            <w:r w:rsidRPr="00D25358">
              <w:t>Other</w:t>
            </w:r>
          </w:p>
        </w:tc>
        <w:tc>
          <w:tcPr>
            <w:tcW w:w="4899" w:type="dxa"/>
            <w:shd w:val="clear" w:color="auto" w:fill="auto"/>
            <w:tcMar>
              <w:top w:w="75" w:type="dxa"/>
              <w:left w:w="180" w:type="dxa"/>
              <w:bottom w:w="75" w:type="dxa"/>
              <w:right w:w="180" w:type="dxa"/>
            </w:tcMar>
            <w:hideMark/>
          </w:tcPr>
          <w:p w14:paraId="618A258F" w14:textId="77777777" w:rsidR="00942606" w:rsidRPr="00D25358" w:rsidRDefault="00942606" w:rsidP="004B0586">
            <w:pPr>
              <w:pStyle w:val="TeThHauoratablecontent"/>
              <w:framePr w:hSpace="0" w:wrap="auto" w:vAnchor="margin" w:hAnchor="text" w:yAlign="inline"/>
              <w:spacing w:line="276" w:lineRule="auto"/>
            </w:pPr>
            <w:r w:rsidRPr="00D25358">
              <w:t>Security issue</w:t>
            </w:r>
          </w:p>
        </w:tc>
      </w:tr>
      <w:tr w:rsidR="00942606" w:rsidRPr="00DB74A8" w14:paraId="48C0A122" w14:textId="77777777" w:rsidTr="00B80975">
        <w:tc>
          <w:tcPr>
            <w:tcW w:w="4111" w:type="dxa"/>
            <w:tcBorders>
              <w:left w:val="nil"/>
            </w:tcBorders>
            <w:shd w:val="clear" w:color="auto" w:fill="auto"/>
            <w:tcMar>
              <w:top w:w="75" w:type="dxa"/>
              <w:left w:w="180" w:type="dxa"/>
              <w:bottom w:w="75" w:type="dxa"/>
              <w:right w:w="180" w:type="dxa"/>
            </w:tcMar>
            <w:hideMark/>
          </w:tcPr>
          <w:p w14:paraId="3E214A54" w14:textId="77777777" w:rsidR="00942606" w:rsidRPr="00D25358" w:rsidRDefault="00942606" w:rsidP="004B0586">
            <w:pPr>
              <w:pStyle w:val="TeThHauoratablecontent"/>
              <w:framePr w:hSpace="0" w:wrap="auto" w:vAnchor="margin" w:hAnchor="text" w:yAlign="inline"/>
              <w:spacing w:line="276" w:lineRule="auto"/>
            </w:pPr>
            <w:r w:rsidRPr="00D25358">
              <w:t>Pressure injury</w:t>
            </w:r>
          </w:p>
        </w:tc>
        <w:tc>
          <w:tcPr>
            <w:tcW w:w="4899" w:type="dxa"/>
            <w:shd w:val="clear" w:color="auto" w:fill="auto"/>
            <w:tcMar>
              <w:top w:w="75" w:type="dxa"/>
              <w:left w:w="180" w:type="dxa"/>
              <w:bottom w:w="75" w:type="dxa"/>
              <w:right w:w="180" w:type="dxa"/>
            </w:tcMar>
            <w:hideMark/>
          </w:tcPr>
          <w:p w14:paraId="1E2D3E6D" w14:textId="77777777" w:rsidR="00942606" w:rsidRPr="00D25358" w:rsidRDefault="00942606" w:rsidP="004B0586">
            <w:pPr>
              <w:pStyle w:val="TeThHauoratablecontent"/>
              <w:framePr w:hSpace="0" w:wrap="auto" w:vAnchor="margin" w:hAnchor="text" w:yAlign="inline"/>
              <w:spacing w:line="276" w:lineRule="auto"/>
            </w:pPr>
            <w:r w:rsidRPr="00D25358">
              <w:t>Pressure injury from insufficient position change/nutrition, etc</w:t>
            </w:r>
          </w:p>
        </w:tc>
      </w:tr>
      <w:tr w:rsidR="00942606" w:rsidRPr="00DB74A8" w14:paraId="1D375FD7" w14:textId="77777777" w:rsidTr="00B80975">
        <w:tc>
          <w:tcPr>
            <w:tcW w:w="4111" w:type="dxa"/>
            <w:tcBorders>
              <w:left w:val="nil"/>
            </w:tcBorders>
            <w:shd w:val="clear" w:color="auto" w:fill="auto"/>
            <w:tcMar>
              <w:top w:w="75" w:type="dxa"/>
              <w:left w:w="180" w:type="dxa"/>
              <w:bottom w:w="75" w:type="dxa"/>
              <w:right w:w="180" w:type="dxa"/>
            </w:tcMar>
            <w:hideMark/>
          </w:tcPr>
          <w:p w14:paraId="20F25E69" w14:textId="77777777" w:rsidR="00942606" w:rsidRPr="00D25358" w:rsidRDefault="00942606" w:rsidP="004B0586">
            <w:pPr>
              <w:pStyle w:val="TeThHauoratablecontent"/>
              <w:framePr w:hSpace="0" w:wrap="auto" w:vAnchor="margin" w:hAnchor="text" w:yAlign="inline"/>
              <w:spacing w:line="276" w:lineRule="auto"/>
            </w:pPr>
            <w:r w:rsidRPr="00D25358">
              <w:t>Resources/organisation/management</w:t>
            </w:r>
          </w:p>
        </w:tc>
        <w:tc>
          <w:tcPr>
            <w:tcW w:w="4899" w:type="dxa"/>
            <w:shd w:val="clear" w:color="auto" w:fill="auto"/>
            <w:tcMar>
              <w:top w:w="75" w:type="dxa"/>
              <w:left w:w="180" w:type="dxa"/>
              <w:bottom w:w="75" w:type="dxa"/>
              <w:right w:w="180" w:type="dxa"/>
            </w:tcMar>
            <w:hideMark/>
          </w:tcPr>
          <w:p w14:paraId="0D1C9972" w14:textId="77777777" w:rsidR="00942606" w:rsidRPr="00D25358" w:rsidRDefault="00942606" w:rsidP="004B0586">
            <w:pPr>
              <w:pStyle w:val="TeThHauoratablecontent"/>
              <w:framePr w:hSpace="0" w:wrap="auto" w:vAnchor="margin" w:hAnchor="text" w:yAlign="inline"/>
              <w:spacing w:line="276" w:lineRule="auto"/>
            </w:pPr>
            <w:r w:rsidRPr="00D25358">
              <w:t xml:space="preserve">Insufficient clinic, equipment, </w:t>
            </w:r>
            <w:proofErr w:type="gramStart"/>
            <w:r w:rsidRPr="00D25358">
              <w:t>staff</w:t>
            </w:r>
            <w:proofErr w:type="gramEnd"/>
            <w:r w:rsidRPr="00D25358">
              <w:t xml:space="preserve"> or appointments to meet demand</w:t>
            </w:r>
          </w:p>
        </w:tc>
      </w:tr>
      <w:tr w:rsidR="00942606" w:rsidRPr="00DB74A8" w14:paraId="12485667" w14:textId="77777777" w:rsidTr="00B80975">
        <w:tc>
          <w:tcPr>
            <w:tcW w:w="4111" w:type="dxa"/>
            <w:tcBorders>
              <w:left w:val="nil"/>
            </w:tcBorders>
            <w:shd w:val="clear" w:color="auto" w:fill="auto"/>
            <w:tcMar>
              <w:top w:w="75" w:type="dxa"/>
              <w:left w:w="180" w:type="dxa"/>
              <w:bottom w:w="75" w:type="dxa"/>
              <w:right w:w="180" w:type="dxa"/>
            </w:tcMar>
            <w:hideMark/>
          </w:tcPr>
          <w:p w14:paraId="70648223" w14:textId="77777777" w:rsidR="00942606" w:rsidRPr="00D25358" w:rsidRDefault="00942606" w:rsidP="004B0586">
            <w:pPr>
              <w:pStyle w:val="TeThHauoratablecontent"/>
              <w:framePr w:hSpace="0" w:wrap="auto" w:vAnchor="margin" w:hAnchor="text" w:yAlign="inline"/>
              <w:spacing w:line="276" w:lineRule="auto"/>
            </w:pPr>
            <w:r w:rsidRPr="00D25358">
              <w:t>Retained item</w:t>
            </w:r>
          </w:p>
        </w:tc>
        <w:tc>
          <w:tcPr>
            <w:tcW w:w="4899" w:type="dxa"/>
            <w:shd w:val="clear" w:color="auto" w:fill="auto"/>
            <w:tcMar>
              <w:top w:w="75" w:type="dxa"/>
              <w:left w:w="180" w:type="dxa"/>
              <w:bottom w:w="75" w:type="dxa"/>
              <w:right w:w="180" w:type="dxa"/>
            </w:tcMar>
            <w:hideMark/>
          </w:tcPr>
          <w:p w14:paraId="5AE15A0C" w14:textId="77777777" w:rsidR="00942606" w:rsidRPr="00D25358" w:rsidRDefault="00942606" w:rsidP="004B0586">
            <w:pPr>
              <w:pStyle w:val="TeThHauoratablecontent"/>
              <w:framePr w:hSpace="0" w:wrap="auto" w:vAnchor="margin" w:hAnchor="text" w:yAlign="inline"/>
              <w:spacing w:line="276" w:lineRule="auto"/>
            </w:pPr>
            <w:r w:rsidRPr="00D25358">
              <w:t>Item left inside the body beyond expected time</w:t>
            </w:r>
          </w:p>
        </w:tc>
      </w:tr>
      <w:tr w:rsidR="00942606" w:rsidRPr="00DB74A8" w14:paraId="7D6047CD" w14:textId="77777777" w:rsidTr="00B80975">
        <w:tc>
          <w:tcPr>
            <w:tcW w:w="4111" w:type="dxa"/>
            <w:tcBorders>
              <w:left w:val="nil"/>
            </w:tcBorders>
            <w:shd w:val="clear" w:color="auto" w:fill="auto"/>
            <w:tcMar>
              <w:top w:w="75" w:type="dxa"/>
              <w:left w:w="180" w:type="dxa"/>
              <w:bottom w:w="75" w:type="dxa"/>
              <w:right w:w="180" w:type="dxa"/>
            </w:tcMar>
            <w:hideMark/>
          </w:tcPr>
          <w:p w14:paraId="7C27714D" w14:textId="77777777" w:rsidR="00942606" w:rsidRPr="00D25358" w:rsidRDefault="00942606" w:rsidP="004B0586">
            <w:pPr>
              <w:pStyle w:val="TeThHauoratablecontent"/>
              <w:framePr w:hSpace="0" w:wrap="auto" w:vAnchor="margin" w:hAnchor="text" w:yAlign="inline"/>
              <w:spacing w:line="276" w:lineRule="auto"/>
            </w:pPr>
            <w:r w:rsidRPr="00D25358">
              <w:t>Wrong consumer/site/side</w:t>
            </w:r>
          </w:p>
        </w:tc>
        <w:tc>
          <w:tcPr>
            <w:tcW w:w="4899" w:type="dxa"/>
            <w:shd w:val="clear" w:color="auto" w:fill="auto"/>
            <w:tcMar>
              <w:top w:w="75" w:type="dxa"/>
              <w:left w:w="180" w:type="dxa"/>
              <w:bottom w:w="75" w:type="dxa"/>
              <w:right w:w="180" w:type="dxa"/>
            </w:tcMar>
            <w:hideMark/>
          </w:tcPr>
          <w:p w14:paraId="1032868B" w14:textId="77777777" w:rsidR="00942606" w:rsidRPr="00D25358" w:rsidRDefault="00942606" w:rsidP="004B0586">
            <w:pPr>
              <w:pStyle w:val="TeThHauoratablecontent"/>
              <w:framePr w:hSpace="0" w:wrap="auto" w:vAnchor="margin" w:hAnchor="text" w:yAlign="inline"/>
              <w:spacing w:line="276" w:lineRule="auto"/>
            </w:pPr>
            <w:r w:rsidRPr="00D25358">
              <w:t>Wrong consumer in procedure room/theatre</w:t>
            </w:r>
          </w:p>
        </w:tc>
      </w:tr>
    </w:tbl>
    <w:p w14:paraId="57E7A9C7" w14:textId="11B9A944" w:rsidR="00942606" w:rsidRDefault="00942606" w:rsidP="004B0586">
      <w:pPr>
        <w:rPr>
          <w:lang w:eastAsia="en-NZ"/>
        </w:rPr>
      </w:pPr>
    </w:p>
    <w:p w14:paraId="38B0E597" w14:textId="0C1ED06D" w:rsidR="00640D42" w:rsidRDefault="00001E88" w:rsidP="004B0586">
      <w:pPr>
        <w:autoSpaceDE/>
        <w:autoSpaceDN/>
        <w:adjustRightInd/>
        <w:spacing w:after="0"/>
        <w:rPr>
          <w:rFonts w:eastAsiaTheme="majorEastAsia" w:cstheme="majorBidi"/>
          <w:b/>
          <w:bCs/>
          <w:color w:val="000000" w:themeColor="text1"/>
          <w:sz w:val="18"/>
          <w:szCs w:val="18"/>
        </w:rPr>
      </w:pPr>
      <w:r w:rsidRPr="37731E50">
        <w:rPr>
          <w:rFonts w:eastAsiaTheme="majorEastAsia" w:cstheme="majorBidi"/>
          <w:b/>
          <w:bCs/>
          <w:color w:val="000000" w:themeColor="text1"/>
          <w:sz w:val="18"/>
          <w:szCs w:val="18"/>
        </w:rPr>
        <w:br w:type="page"/>
      </w:r>
    </w:p>
    <w:p w14:paraId="70EF2D97" w14:textId="619C32F9" w:rsidR="00001E88" w:rsidRDefault="00001E88" w:rsidP="00126E1C">
      <w:pPr>
        <w:pStyle w:val="TeThHauorahead2"/>
      </w:pPr>
      <w:bookmarkStart w:id="99" w:name="_Toc161843073"/>
      <w:bookmarkStart w:id="100" w:name="_Toc170388982"/>
      <w:r>
        <w:t>Appendix 2: Recommendations</w:t>
      </w:r>
      <w:bookmarkEnd w:id="99"/>
      <w:bookmarkEnd w:id="100"/>
    </w:p>
    <w:p w14:paraId="22B4FF4E" w14:textId="27601802" w:rsidR="00001E88" w:rsidRPr="00EB2DA3" w:rsidRDefault="00001E88" w:rsidP="004B0586">
      <w:pPr>
        <w:pStyle w:val="TeThHauoratablefigurecaption"/>
      </w:pPr>
      <w:r>
        <w:t>Type of recommendations with specific transcribed examples</w:t>
      </w:r>
    </w:p>
    <w:tbl>
      <w:tblPr>
        <w:tblStyle w:val="TableGrid"/>
        <w:tblW w:w="9072" w:type="dxa"/>
        <w:tblLook w:val="04A0" w:firstRow="1" w:lastRow="0" w:firstColumn="1" w:lastColumn="0" w:noHBand="0" w:noVBand="1"/>
      </w:tblPr>
      <w:tblGrid>
        <w:gridCol w:w="2774"/>
        <w:gridCol w:w="1273"/>
        <w:gridCol w:w="5025"/>
      </w:tblGrid>
      <w:tr w:rsidR="00001E88" w:rsidRPr="00E15C7C" w14:paraId="4B57B1FA" w14:textId="77777777" w:rsidTr="00B80975">
        <w:tc>
          <w:tcPr>
            <w:tcW w:w="2774" w:type="dxa"/>
            <w:tcBorders>
              <w:left w:val="nil"/>
              <w:bottom w:val="single" w:sz="4" w:space="0" w:color="auto"/>
            </w:tcBorders>
            <w:shd w:val="clear" w:color="auto" w:fill="F2F2F2" w:themeFill="background1" w:themeFillShade="F2"/>
          </w:tcPr>
          <w:p w14:paraId="14B31A25" w14:textId="77777777" w:rsidR="00001E88" w:rsidRPr="00E15C7C" w:rsidRDefault="00001E88" w:rsidP="004B0586">
            <w:pPr>
              <w:spacing w:before="40" w:after="40"/>
              <w:rPr>
                <w:b/>
                <w:bCs/>
              </w:rPr>
            </w:pPr>
            <w:r w:rsidRPr="00E15C7C">
              <w:rPr>
                <w:b/>
                <w:bCs/>
              </w:rPr>
              <w:t>Recommendation focus</w:t>
            </w:r>
          </w:p>
        </w:tc>
        <w:tc>
          <w:tcPr>
            <w:tcW w:w="1273" w:type="dxa"/>
            <w:tcBorders>
              <w:bottom w:val="single" w:sz="4" w:space="0" w:color="auto"/>
            </w:tcBorders>
            <w:shd w:val="clear" w:color="auto" w:fill="F2F2F2" w:themeFill="background1" w:themeFillShade="F2"/>
          </w:tcPr>
          <w:p w14:paraId="35FEC9DF" w14:textId="77777777" w:rsidR="00001E88" w:rsidRPr="00E15C7C" w:rsidRDefault="00001E88" w:rsidP="004B0586">
            <w:pPr>
              <w:spacing w:before="40" w:after="40"/>
              <w:jc w:val="center"/>
              <w:rPr>
                <w:b/>
                <w:bCs/>
              </w:rPr>
            </w:pPr>
            <w:r w:rsidRPr="00E15C7C">
              <w:rPr>
                <w:b/>
                <w:bCs/>
              </w:rPr>
              <w:t>Number</w:t>
            </w:r>
          </w:p>
        </w:tc>
        <w:tc>
          <w:tcPr>
            <w:tcW w:w="5025" w:type="dxa"/>
            <w:tcBorders>
              <w:bottom w:val="single" w:sz="4" w:space="0" w:color="auto"/>
              <w:right w:val="nil"/>
            </w:tcBorders>
            <w:shd w:val="clear" w:color="auto" w:fill="F2F2F2" w:themeFill="background1" w:themeFillShade="F2"/>
          </w:tcPr>
          <w:p w14:paraId="0A932DFB" w14:textId="77777777" w:rsidR="00001E88" w:rsidRPr="00E15C7C" w:rsidRDefault="00001E88" w:rsidP="004B0586">
            <w:pPr>
              <w:spacing w:before="40" w:after="40"/>
              <w:rPr>
                <w:b/>
                <w:bCs/>
              </w:rPr>
            </w:pPr>
            <w:r w:rsidRPr="00E15C7C">
              <w:rPr>
                <w:b/>
                <w:bCs/>
              </w:rPr>
              <w:t>Transcribed examples</w:t>
            </w:r>
          </w:p>
        </w:tc>
      </w:tr>
      <w:tr w:rsidR="00001E88" w:rsidRPr="00BF0B42" w14:paraId="6889716D" w14:textId="77777777" w:rsidTr="00B80975">
        <w:tc>
          <w:tcPr>
            <w:tcW w:w="9072" w:type="dxa"/>
            <w:gridSpan w:val="3"/>
            <w:tcBorders>
              <w:left w:val="nil"/>
              <w:right w:val="nil"/>
            </w:tcBorders>
            <w:shd w:val="clear" w:color="auto" w:fill="F2F2F2" w:themeFill="background1" w:themeFillShade="F2"/>
          </w:tcPr>
          <w:p w14:paraId="7E539BB5" w14:textId="77777777" w:rsidR="00001E88" w:rsidRPr="00BF0B42" w:rsidRDefault="00001E88" w:rsidP="004B0586">
            <w:pPr>
              <w:spacing w:before="40" w:after="40"/>
            </w:pPr>
            <w:r w:rsidRPr="00BF0B42">
              <w:t>Person focused</w:t>
            </w:r>
          </w:p>
        </w:tc>
      </w:tr>
      <w:tr w:rsidR="00001E88" w14:paraId="50F453C0" w14:textId="77777777" w:rsidTr="00B80975">
        <w:tc>
          <w:tcPr>
            <w:tcW w:w="2774" w:type="dxa"/>
            <w:tcBorders>
              <w:left w:val="nil"/>
            </w:tcBorders>
          </w:tcPr>
          <w:p w14:paraId="7BD15A68" w14:textId="0B0AB6F6" w:rsidR="00001E88" w:rsidRPr="00E15C7C" w:rsidRDefault="00001E88" w:rsidP="00DC2109">
            <w:pPr>
              <w:tabs>
                <w:tab w:val="left" w:pos="357"/>
              </w:tabs>
              <w:spacing w:before="60" w:after="60"/>
            </w:pPr>
            <w:r w:rsidRPr="00E15C7C">
              <w:t xml:space="preserve">Education and training </w:t>
            </w:r>
          </w:p>
        </w:tc>
        <w:tc>
          <w:tcPr>
            <w:tcW w:w="1273" w:type="dxa"/>
          </w:tcPr>
          <w:p w14:paraId="298632A1" w14:textId="77777777" w:rsidR="00001E88" w:rsidRPr="00E15C7C" w:rsidRDefault="00001E88" w:rsidP="004B0586">
            <w:pPr>
              <w:spacing w:before="60" w:after="60"/>
              <w:jc w:val="center"/>
            </w:pPr>
            <w:r w:rsidRPr="00E15C7C">
              <w:t>81</w:t>
            </w:r>
          </w:p>
        </w:tc>
        <w:tc>
          <w:tcPr>
            <w:tcW w:w="5025" w:type="dxa"/>
            <w:tcBorders>
              <w:right w:val="nil"/>
            </w:tcBorders>
          </w:tcPr>
          <w:p w14:paraId="1C51253B" w14:textId="77777777" w:rsidR="00001E88" w:rsidRPr="00E15C7C" w:rsidRDefault="00001E88" w:rsidP="004B0586">
            <w:pPr>
              <w:pStyle w:val="Bullets"/>
              <w:autoSpaceDE/>
              <w:autoSpaceDN/>
              <w:adjustRightInd/>
              <w:spacing w:before="60"/>
            </w:pPr>
            <w:r w:rsidRPr="00E15C7C">
              <w:t xml:space="preserve">Most recommended a variety of pre-existing training activities to be undertaken by health care </w:t>
            </w:r>
            <w:proofErr w:type="gramStart"/>
            <w:r w:rsidRPr="00E15C7C">
              <w:t>workers</w:t>
            </w:r>
            <w:proofErr w:type="gramEnd"/>
          </w:p>
          <w:p w14:paraId="700DFAA2" w14:textId="77777777" w:rsidR="00001E88" w:rsidRPr="00E15C7C" w:rsidRDefault="00001E88" w:rsidP="004B0586">
            <w:pPr>
              <w:pStyle w:val="Bullets"/>
              <w:autoSpaceDE/>
              <w:autoSpaceDN/>
              <w:adjustRightInd/>
              <w:spacing w:before="60"/>
            </w:pPr>
            <w:r w:rsidRPr="00E15C7C">
              <w:t xml:space="preserve">Topics to be included in training were </w:t>
            </w:r>
            <w:proofErr w:type="gramStart"/>
            <w:r w:rsidRPr="00E15C7C">
              <w:t>listed</w:t>
            </w:r>
            <w:proofErr w:type="gramEnd"/>
          </w:p>
          <w:p w14:paraId="63550D83" w14:textId="77777777" w:rsidR="00001E88" w:rsidRPr="00E15C7C" w:rsidRDefault="00001E88" w:rsidP="004B0586">
            <w:pPr>
              <w:pStyle w:val="Bullets"/>
              <w:autoSpaceDE/>
              <w:autoSpaceDN/>
              <w:adjustRightInd/>
              <w:spacing w:before="60"/>
            </w:pPr>
            <w:r w:rsidRPr="00E15C7C">
              <w:t>Some involved simulation sessions</w:t>
            </w:r>
          </w:p>
        </w:tc>
      </w:tr>
      <w:tr w:rsidR="00001E88" w14:paraId="602B06BE" w14:textId="77777777" w:rsidTr="00B80975">
        <w:tc>
          <w:tcPr>
            <w:tcW w:w="2774" w:type="dxa"/>
            <w:tcBorders>
              <w:left w:val="nil"/>
            </w:tcBorders>
          </w:tcPr>
          <w:p w14:paraId="483DBB93" w14:textId="77777777" w:rsidR="00001E88" w:rsidRPr="00E15C7C" w:rsidRDefault="00001E88" w:rsidP="00DC2109">
            <w:pPr>
              <w:tabs>
                <w:tab w:val="left" w:pos="357"/>
              </w:tabs>
              <w:spacing w:before="40" w:after="40"/>
              <w:ind w:hanging="357"/>
            </w:pPr>
            <w:r>
              <w:tab/>
            </w:r>
            <w:r w:rsidRPr="00E15C7C">
              <w:t>Policy</w:t>
            </w:r>
            <w:r>
              <w:t>/</w:t>
            </w:r>
            <w:r w:rsidRPr="00E15C7C">
              <w:t xml:space="preserve">guideline or form </w:t>
            </w:r>
          </w:p>
        </w:tc>
        <w:tc>
          <w:tcPr>
            <w:tcW w:w="1273" w:type="dxa"/>
          </w:tcPr>
          <w:p w14:paraId="0351D38B" w14:textId="77777777" w:rsidR="00001E88" w:rsidRPr="00E15C7C" w:rsidRDefault="00001E88" w:rsidP="004B0586">
            <w:pPr>
              <w:spacing w:before="60" w:after="60"/>
              <w:jc w:val="center"/>
            </w:pPr>
            <w:r w:rsidRPr="00E15C7C">
              <w:t>78</w:t>
            </w:r>
          </w:p>
        </w:tc>
        <w:tc>
          <w:tcPr>
            <w:tcW w:w="5025" w:type="dxa"/>
            <w:tcBorders>
              <w:right w:val="nil"/>
            </w:tcBorders>
          </w:tcPr>
          <w:p w14:paraId="752D2681" w14:textId="77777777" w:rsidR="00001E88" w:rsidRPr="00DD25CC" w:rsidRDefault="00001E88" w:rsidP="004B0586">
            <w:pPr>
              <w:pStyle w:val="Bullets"/>
              <w:autoSpaceDE/>
              <w:autoSpaceDN/>
              <w:adjustRightInd/>
              <w:spacing w:before="60"/>
            </w:pPr>
            <w:r w:rsidRPr="00DD25CC">
              <w:t xml:space="preserve">Recommendations that require the development, review or update of policies, </w:t>
            </w:r>
            <w:proofErr w:type="gramStart"/>
            <w:r w:rsidRPr="00DD25CC">
              <w:t>forms</w:t>
            </w:r>
            <w:proofErr w:type="gramEnd"/>
            <w:r w:rsidRPr="00DD25CC">
              <w:t xml:space="preserve"> and guidelines for health care workers to follow</w:t>
            </w:r>
          </w:p>
        </w:tc>
      </w:tr>
      <w:tr w:rsidR="00001E88" w14:paraId="7D57E9CD" w14:textId="77777777" w:rsidTr="00B80975">
        <w:tc>
          <w:tcPr>
            <w:tcW w:w="2774" w:type="dxa"/>
            <w:tcBorders>
              <w:left w:val="nil"/>
            </w:tcBorders>
          </w:tcPr>
          <w:p w14:paraId="6DAE9CBC" w14:textId="77777777" w:rsidR="00001E88" w:rsidRPr="00E15C7C" w:rsidRDefault="00001E88" w:rsidP="00DC2109">
            <w:pPr>
              <w:tabs>
                <w:tab w:val="left" w:pos="357"/>
              </w:tabs>
              <w:spacing w:before="40" w:after="40"/>
              <w:ind w:hanging="357"/>
            </w:pPr>
            <w:r>
              <w:tab/>
            </w:r>
            <w:r w:rsidRPr="00E15C7C">
              <w:t>CTG/</w:t>
            </w:r>
            <w:proofErr w:type="spellStart"/>
            <w:r>
              <w:t>f</w:t>
            </w:r>
            <w:r w:rsidRPr="00E15C7C">
              <w:t>etal</w:t>
            </w:r>
            <w:proofErr w:type="spellEnd"/>
            <w:r w:rsidRPr="00E15C7C">
              <w:t xml:space="preserve"> wellbeing assessment</w:t>
            </w:r>
          </w:p>
        </w:tc>
        <w:tc>
          <w:tcPr>
            <w:tcW w:w="1273" w:type="dxa"/>
          </w:tcPr>
          <w:p w14:paraId="5EBFBFD9" w14:textId="77777777" w:rsidR="00001E88" w:rsidRPr="00E15C7C" w:rsidRDefault="00001E88" w:rsidP="004B0586">
            <w:pPr>
              <w:spacing w:before="60" w:after="60"/>
              <w:jc w:val="center"/>
            </w:pPr>
            <w:r w:rsidRPr="00E15C7C">
              <w:t>56</w:t>
            </w:r>
          </w:p>
        </w:tc>
        <w:tc>
          <w:tcPr>
            <w:tcW w:w="5025" w:type="dxa"/>
            <w:tcBorders>
              <w:right w:val="nil"/>
            </w:tcBorders>
          </w:tcPr>
          <w:p w14:paraId="7D2FC2DE" w14:textId="77777777" w:rsidR="00001E88" w:rsidRPr="00E15C7C" w:rsidRDefault="00001E88" w:rsidP="004B0586">
            <w:pPr>
              <w:pStyle w:val="Bullets"/>
              <w:autoSpaceDE/>
              <w:autoSpaceDN/>
              <w:adjustRightInd/>
              <w:spacing w:before="60"/>
            </w:pPr>
            <w:r w:rsidRPr="00E15C7C">
              <w:t>Implementing ‘fresh eyes’ process across CTGs</w:t>
            </w:r>
          </w:p>
          <w:p w14:paraId="2C53B317" w14:textId="77777777" w:rsidR="00001E88" w:rsidRPr="00E15C7C" w:rsidRDefault="00001E88" w:rsidP="004B0586">
            <w:pPr>
              <w:pStyle w:val="Bullets"/>
              <w:autoSpaceDE/>
              <w:autoSpaceDN/>
              <w:adjustRightInd/>
              <w:spacing w:before="60"/>
            </w:pPr>
            <w:r w:rsidRPr="00E15C7C">
              <w:t xml:space="preserve">CTG and </w:t>
            </w:r>
            <w:proofErr w:type="spellStart"/>
            <w:r w:rsidRPr="00E15C7C">
              <w:t>fetal</w:t>
            </w:r>
            <w:proofErr w:type="spellEnd"/>
            <w:r w:rsidRPr="00E15C7C">
              <w:t xml:space="preserve"> surveillance education</w:t>
            </w:r>
          </w:p>
          <w:p w14:paraId="220A3753" w14:textId="77777777" w:rsidR="00001E88" w:rsidRPr="00E15C7C" w:rsidRDefault="00001E88" w:rsidP="004B0586">
            <w:pPr>
              <w:pStyle w:val="Bullets"/>
              <w:autoSpaceDE/>
              <w:autoSpaceDN/>
              <w:adjustRightInd/>
              <w:spacing w:before="60"/>
            </w:pPr>
            <w:r w:rsidRPr="00E15C7C">
              <w:t xml:space="preserve">Monitor compliance with </w:t>
            </w:r>
            <w:proofErr w:type="gramStart"/>
            <w:r w:rsidRPr="00E15C7C">
              <w:t>training</w:t>
            </w:r>
            <w:proofErr w:type="gramEnd"/>
          </w:p>
          <w:p w14:paraId="7CF926F1" w14:textId="77777777" w:rsidR="00001E88" w:rsidRPr="00E15C7C" w:rsidRDefault="00001E88" w:rsidP="004B0586">
            <w:pPr>
              <w:pStyle w:val="Bullets"/>
              <w:autoSpaceDE/>
              <w:autoSpaceDN/>
              <w:adjustRightInd/>
              <w:spacing w:before="60"/>
            </w:pPr>
            <w:r w:rsidRPr="00E15C7C">
              <w:t>Reinforce the policy and process around escalation of abnormal CTGs</w:t>
            </w:r>
          </w:p>
        </w:tc>
      </w:tr>
      <w:tr w:rsidR="00001E88" w14:paraId="46CF8F84" w14:textId="77777777" w:rsidTr="00B80975">
        <w:tc>
          <w:tcPr>
            <w:tcW w:w="2774" w:type="dxa"/>
            <w:tcBorders>
              <w:left w:val="nil"/>
            </w:tcBorders>
          </w:tcPr>
          <w:p w14:paraId="30B16039" w14:textId="77777777" w:rsidR="00001E88" w:rsidRPr="00E15C7C" w:rsidRDefault="00001E88" w:rsidP="00DC2109">
            <w:pPr>
              <w:tabs>
                <w:tab w:val="left" w:pos="357"/>
              </w:tabs>
              <w:spacing w:before="40" w:after="40"/>
              <w:ind w:left="17" w:hanging="357"/>
            </w:pPr>
            <w:r>
              <w:tab/>
            </w:r>
            <w:r w:rsidRPr="00E15C7C">
              <w:t>Alert/remind people to do things, socialise (share information)</w:t>
            </w:r>
          </w:p>
        </w:tc>
        <w:tc>
          <w:tcPr>
            <w:tcW w:w="1273" w:type="dxa"/>
          </w:tcPr>
          <w:p w14:paraId="1FC54333" w14:textId="77777777" w:rsidR="00001E88" w:rsidRPr="00E15C7C" w:rsidRDefault="00001E88" w:rsidP="004B0586">
            <w:pPr>
              <w:spacing w:before="60" w:after="60"/>
              <w:jc w:val="center"/>
            </w:pPr>
            <w:r w:rsidRPr="00E15C7C">
              <w:t>51</w:t>
            </w:r>
          </w:p>
        </w:tc>
        <w:tc>
          <w:tcPr>
            <w:tcW w:w="5025" w:type="dxa"/>
            <w:tcBorders>
              <w:right w:val="nil"/>
            </w:tcBorders>
          </w:tcPr>
          <w:p w14:paraId="6DAFC2DB" w14:textId="77777777" w:rsidR="00001E88" w:rsidRPr="00E15C7C" w:rsidRDefault="00001E88" w:rsidP="004B0586">
            <w:pPr>
              <w:pStyle w:val="Bullets"/>
              <w:autoSpaceDE/>
              <w:autoSpaceDN/>
              <w:adjustRightInd/>
              <w:spacing w:before="60"/>
            </w:pPr>
            <w:r w:rsidRPr="00E15C7C">
              <w:t xml:space="preserve">Socialise a policy, chart or </w:t>
            </w:r>
            <w:proofErr w:type="gramStart"/>
            <w:r w:rsidRPr="00E15C7C">
              <w:t>process</w:t>
            </w:r>
            <w:proofErr w:type="gramEnd"/>
          </w:p>
          <w:p w14:paraId="0AD348C4" w14:textId="77777777" w:rsidR="00001E88" w:rsidRPr="00E15C7C" w:rsidRDefault="00001E88" w:rsidP="004B0586">
            <w:pPr>
              <w:pStyle w:val="Bullets"/>
              <w:autoSpaceDE/>
              <w:autoSpaceDN/>
              <w:adjustRightInd/>
              <w:spacing w:before="60"/>
            </w:pPr>
            <w:r w:rsidRPr="00E15C7C">
              <w:t>Refresh awareness of various guidelines and processes</w:t>
            </w:r>
          </w:p>
          <w:p w14:paraId="669B4EC2" w14:textId="77777777" w:rsidR="00001E88" w:rsidRPr="00E15C7C" w:rsidRDefault="00001E88" w:rsidP="004B0586">
            <w:pPr>
              <w:pStyle w:val="Bullets"/>
              <w:autoSpaceDE/>
              <w:autoSpaceDN/>
              <w:adjustRightInd/>
              <w:spacing w:before="60"/>
            </w:pPr>
            <w:r w:rsidRPr="00E15C7C">
              <w:t>Remind staff to follow policy/</w:t>
            </w:r>
            <w:proofErr w:type="gramStart"/>
            <w:r w:rsidRPr="00E15C7C">
              <w:t>procedure</w:t>
            </w:r>
            <w:proofErr w:type="gramEnd"/>
          </w:p>
          <w:p w14:paraId="6F295439" w14:textId="77777777" w:rsidR="00001E88" w:rsidRPr="00E15C7C" w:rsidRDefault="00001E88" w:rsidP="004B0586">
            <w:pPr>
              <w:pStyle w:val="Bullets"/>
              <w:autoSpaceDE/>
              <w:autoSpaceDN/>
              <w:adjustRightInd/>
              <w:spacing w:before="60"/>
            </w:pPr>
            <w:r w:rsidRPr="00E15C7C">
              <w:t xml:space="preserve">Circulate a </w:t>
            </w:r>
            <w:proofErr w:type="gramStart"/>
            <w:r w:rsidRPr="00E15C7C">
              <w:t>pathway</w:t>
            </w:r>
            <w:proofErr w:type="gramEnd"/>
          </w:p>
          <w:p w14:paraId="1F90F031" w14:textId="6BB99E1C" w:rsidR="00001E88" w:rsidRPr="00E15C7C" w:rsidRDefault="00001E88" w:rsidP="004B0586">
            <w:pPr>
              <w:pStyle w:val="Bullets"/>
              <w:autoSpaceDE/>
              <w:autoSpaceDN/>
              <w:adjustRightInd/>
              <w:spacing w:before="60"/>
            </w:pPr>
            <w:r w:rsidRPr="00E15C7C">
              <w:t xml:space="preserve">Circulate the </w:t>
            </w:r>
            <w:r w:rsidR="00F62394">
              <w:t>maternity quality and safety</w:t>
            </w:r>
            <w:r w:rsidRPr="00E15C7C">
              <w:t xml:space="preserve"> </w:t>
            </w:r>
            <w:proofErr w:type="gramStart"/>
            <w:r w:rsidRPr="00E15C7C">
              <w:t>report</w:t>
            </w:r>
            <w:proofErr w:type="gramEnd"/>
          </w:p>
          <w:p w14:paraId="165B476B" w14:textId="77777777" w:rsidR="00001E88" w:rsidRPr="00E15C7C" w:rsidRDefault="00001E88" w:rsidP="004B0586">
            <w:pPr>
              <w:pStyle w:val="Bullets"/>
              <w:autoSpaceDE/>
              <w:autoSpaceDN/>
              <w:adjustRightInd/>
              <w:spacing w:before="60"/>
            </w:pPr>
            <w:r w:rsidRPr="00E15C7C">
              <w:t>Communicate information to staff via email, newsletter or verbally</w:t>
            </w:r>
          </w:p>
        </w:tc>
      </w:tr>
      <w:tr w:rsidR="00001E88" w14:paraId="62F952F3" w14:textId="77777777" w:rsidTr="00B80975">
        <w:tc>
          <w:tcPr>
            <w:tcW w:w="2774" w:type="dxa"/>
            <w:tcBorders>
              <w:left w:val="nil"/>
            </w:tcBorders>
          </w:tcPr>
          <w:p w14:paraId="23C184E9" w14:textId="77777777" w:rsidR="00001E88" w:rsidRPr="00E15C7C" w:rsidRDefault="00001E88" w:rsidP="00DC2109">
            <w:pPr>
              <w:tabs>
                <w:tab w:val="left" w:pos="357"/>
              </w:tabs>
              <w:spacing w:before="40" w:after="40"/>
              <w:ind w:left="17" w:hanging="357"/>
            </w:pPr>
            <w:r>
              <w:tab/>
            </w:r>
            <w:r w:rsidRPr="00E15C7C">
              <w:t xml:space="preserve">Actions required of </w:t>
            </w:r>
            <w:proofErr w:type="gramStart"/>
            <w:r w:rsidRPr="00E15C7C">
              <w:t>clinicians</w:t>
            </w:r>
            <w:proofErr w:type="gramEnd"/>
          </w:p>
          <w:p w14:paraId="52149CD6" w14:textId="77777777" w:rsidR="00001E88" w:rsidRPr="00E15C7C" w:rsidRDefault="00001E88" w:rsidP="00DC2109">
            <w:pPr>
              <w:tabs>
                <w:tab w:val="left" w:pos="357"/>
              </w:tabs>
              <w:spacing w:before="40" w:after="40"/>
              <w:ind w:left="17" w:hanging="357"/>
            </w:pPr>
            <w:r>
              <w:tab/>
            </w:r>
            <w:r w:rsidRPr="00E15C7C">
              <w:t xml:space="preserve">Recommendations that state actions </w:t>
            </w:r>
            <w:r>
              <w:t xml:space="preserve">required of </w:t>
            </w:r>
            <w:r w:rsidRPr="00E15C7C">
              <w:t>clinicians (no plan</w:t>
            </w:r>
            <w:r>
              <w:t xml:space="preserve"> </w:t>
            </w:r>
            <w:r w:rsidRPr="00E15C7C">
              <w:t>included around these)</w:t>
            </w:r>
          </w:p>
        </w:tc>
        <w:tc>
          <w:tcPr>
            <w:tcW w:w="1273" w:type="dxa"/>
          </w:tcPr>
          <w:p w14:paraId="7BD18E70" w14:textId="77777777" w:rsidR="00001E88" w:rsidRPr="00E15C7C" w:rsidRDefault="00001E88" w:rsidP="004B0586">
            <w:pPr>
              <w:spacing w:before="60" w:after="60"/>
              <w:jc w:val="center"/>
            </w:pPr>
            <w:r w:rsidRPr="00E15C7C">
              <w:t>37</w:t>
            </w:r>
          </w:p>
        </w:tc>
        <w:tc>
          <w:tcPr>
            <w:tcW w:w="5025" w:type="dxa"/>
            <w:tcBorders>
              <w:right w:val="nil"/>
            </w:tcBorders>
          </w:tcPr>
          <w:p w14:paraId="31525094" w14:textId="77777777" w:rsidR="00001E88" w:rsidRPr="00E15C7C" w:rsidRDefault="00001E88" w:rsidP="004B0586">
            <w:pPr>
              <w:pStyle w:val="Bullets"/>
              <w:autoSpaceDE/>
              <w:autoSpaceDN/>
              <w:adjustRightInd/>
              <w:spacing w:before="60"/>
            </w:pPr>
            <w:r w:rsidRPr="00E15C7C">
              <w:t>Independent midwives (LMC</w:t>
            </w:r>
            <w:r>
              <w:t>s</w:t>
            </w:r>
            <w:r w:rsidRPr="00E15C7C">
              <w:t xml:space="preserve">) to always call the </w:t>
            </w:r>
            <w:r>
              <w:t>r</w:t>
            </w:r>
            <w:r w:rsidRPr="00E15C7C">
              <w:t xml:space="preserve">egistrar </w:t>
            </w:r>
            <w:r>
              <w:t xml:space="preserve">before </w:t>
            </w:r>
            <w:r w:rsidRPr="00E15C7C">
              <w:t xml:space="preserve">transfer into the </w:t>
            </w:r>
            <w:proofErr w:type="gramStart"/>
            <w:r w:rsidRPr="00E15C7C">
              <w:t>hospital</w:t>
            </w:r>
            <w:proofErr w:type="gramEnd"/>
          </w:p>
          <w:p w14:paraId="3DEA1B34" w14:textId="77777777" w:rsidR="00001E88" w:rsidRPr="00E15C7C" w:rsidRDefault="00001E88" w:rsidP="004B0586">
            <w:pPr>
              <w:pStyle w:val="Bullets"/>
              <w:autoSpaceDE/>
              <w:autoSpaceDN/>
              <w:adjustRightInd/>
              <w:spacing w:before="60"/>
            </w:pPr>
            <w:r w:rsidRPr="00E15C7C">
              <w:t xml:space="preserve">All midwives to have the knowledge and confidence to escalate their concerns up to senior medical officer (SMO) </w:t>
            </w:r>
            <w:proofErr w:type="gramStart"/>
            <w:r w:rsidRPr="00E15C7C">
              <w:t>level</w:t>
            </w:r>
            <w:proofErr w:type="gramEnd"/>
          </w:p>
          <w:p w14:paraId="592260C6" w14:textId="77777777" w:rsidR="00001E88" w:rsidRPr="00E15C7C" w:rsidRDefault="00001E88" w:rsidP="004B0586">
            <w:pPr>
              <w:pStyle w:val="Bullets"/>
              <w:autoSpaceDE/>
              <w:autoSpaceDN/>
              <w:adjustRightInd/>
              <w:spacing w:before="60"/>
            </w:pPr>
            <w:r w:rsidRPr="00E15C7C">
              <w:t xml:space="preserve">Alarm checks </w:t>
            </w:r>
            <w:proofErr w:type="gramStart"/>
            <w:r w:rsidRPr="00E15C7C">
              <w:t>daily</w:t>
            </w:r>
            <w:proofErr w:type="gramEnd"/>
          </w:p>
          <w:p w14:paraId="16E75F54" w14:textId="77777777" w:rsidR="00001E88" w:rsidRPr="00E15C7C" w:rsidRDefault="00001E88" w:rsidP="004B0586">
            <w:pPr>
              <w:pStyle w:val="Bullets"/>
              <w:autoSpaceDE/>
              <w:autoSpaceDN/>
              <w:adjustRightInd/>
              <w:spacing w:before="60"/>
            </w:pPr>
            <w:r w:rsidRPr="00E15C7C">
              <w:t xml:space="preserve">SMO to be notified when there are resource </w:t>
            </w:r>
            <w:proofErr w:type="gramStart"/>
            <w:r w:rsidRPr="00E15C7C">
              <w:t>constraints</w:t>
            </w:r>
            <w:proofErr w:type="gramEnd"/>
          </w:p>
          <w:p w14:paraId="4540D35C" w14:textId="77777777" w:rsidR="00001E88" w:rsidRPr="00E15C7C" w:rsidRDefault="00001E88" w:rsidP="004B0586">
            <w:pPr>
              <w:pStyle w:val="Bullets"/>
              <w:autoSpaceDE/>
              <w:autoSpaceDN/>
              <w:adjustRightInd/>
              <w:spacing w:before="40" w:after="40"/>
            </w:pPr>
            <w:r w:rsidRPr="00E15C7C">
              <w:t>Achieve a culture in maternity where MEWS is used routinely</w:t>
            </w:r>
          </w:p>
        </w:tc>
      </w:tr>
      <w:tr w:rsidR="00001E88" w14:paraId="6D7C7B33" w14:textId="77777777" w:rsidTr="00B80975">
        <w:tc>
          <w:tcPr>
            <w:tcW w:w="2774" w:type="dxa"/>
            <w:tcBorders>
              <w:left w:val="nil"/>
            </w:tcBorders>
          </w:tcPr>
          <w:p w14:paraId="11F02F03" w14:textId="77777777" w:rsidR="00001E88" w:rsidRPr="00E15C7C" w:rsidRDefault="00001E88" w:rsidP="00DC2109">
            <w:pPr>
              <w:tabs>
                <w:tab w:val="left" w:pos="357"/>
              </w:tabs>
              <w:spacing w:before="40" w:after="40"/>
              <w:ind w:left="17" w:hanging="357"/>
            </w:pPr>
            <w:r>
              <w:tab/>
            </w:r>
            <w:r w:rsidRPr="00E15C7C">
              <w:t>Discuss/</w:t>
            </w:r>
            <w:r>
              <w:t>s</w:t>
            </w:r>
            <w:r w:rsidRPr="00E15C7C">
              <w:t>hare findings at forums</w:t>
            </w:r>
          </w:p>
        </w:tc>
        <w:tc>
          <w:tcPr>
            <w:tcW w:w="1273" w:type="dxa"/>
          </w:tcPr>
          <w:p w14:paraId="46484DCC" w14:textId="77777777" w:rsidR="00001E88" w:rsidRPr="00E15C7C" w:rsidRDefault="00001E88" w:rsidP="004B0586">
            <w:pPr>
              <w:spacing w:before="60" w:after="60"/>
              <w:jc w:val="center"/>
            </w:pPr>
            <w:r w:rsidRPr="00E15C7C">
              <w:t>21</w:t>
            </w:r>
          </w:p>
        </w:tc>
        <w:tc>
          <w:tcPr>
            <w:tcW w:w="5025" w:type="dxa"/>
            <w:tcBorders>
              <w:right w:val="nil"/>
            </w:tcBorders>
          </w:tcPr>
          <w:p w14:paraId="5EDD5E6E" w14:textId="77777777" w:rsidR="00001E88" w:rsidRPr="004F0FC5" w:rsidRDefault="00001E88" w:rsidP="008B7940">
            <w:pPr>
              <w:pStyle w:val="Bullets"/>
              <w:numPr>
                <w:ilvl w:val="0"/>
                <w:numId w:val="0"/>
              </w:numPr>
              <w:autoSpaceDE/>
              <w:autoSpaceDN/>
              <w:adjustRightInd/>
              <w:spacing w:before="60"/>
            </w:pPr>
            <w:r w:rsidRPr="004F0FC5">
              <w:t xml:space="preserve">Most mention maternal mortality and morbidity or case review meetings </w:t>
            </w:r>
          </w:p>
        </w:tc>
      </w:tr>
      <w:tr w:rsidR="00001E88" w14:paraId="63AE5CC4" w14:textId="77777777" w:rsidTr="00B80975">
        <w:tc>
          <w:tcPr>
            <w:tcW w:w="2774" w:type="dxa"/>
            <w:tcBorders>
              <w:left w:val="nil"/>
            </w:tcBorders>
          </w:tcPr>
          <w:p w14:paraId="5B8F3A2E" w14:textId="77777777" w:rsidR="00001E88" w:rsidRPr="00E15C7C" w:rsidRDefault="00001E88" w:rsidP="00DC2109">
            <w:pPr>
              <w:tabs>
                <w:tab w:val="left" w:pos="357"/>
              </w:tabs>
              <w:spacing w:before="40" w:after="40"/>
              <w:ind w:left="17" w:hanging="357"/>
            </w:pPr>
            <w:r>
              <w:tab/>
            </w:r>
            <w:r w:rsidRPr="00E15C7C">
              <w:t>Targeted individual performance actions</w:t>
            </w:r>
          </w:p>
        </w:tc>
        <w:tc>
          <w:tcPr>
            <w:tcW w:w="1273" w:type="dxa"/>
          </w:tcPr>
          <w:p w14:paraId="20B7CADC" w14:textId="77777777" w:rsidR="00001E88" w:rsidRPr="00E15C7C" w:rsidRDefault="00001E88" w:rsidP="004B0586">
            <w:pPr>
              <w:spacing w:before="60" w:after="60"/>
              <w:jc w:val="center"/>
            </w:pPr>
            <w:r w:rsidRPr="00E15C7C">
              <w:t>15</w:t>
            </w:r>
          </w:p>
        </w:tc>
        <w:tc>
          <w:tcPr>
            <w:tcW w:w="5025" w:type="dxa"/>
            <w:tcBorders>
              <w:right w:val="nil"/>
            </w:tcBorders>
          </w:tcPr>
          <w:p w14:paraId="45EE0CB9" w14:textId="77777777" w:rsidR="00001E88" w:rsidRPr="00E15C7C" w:rsidRDefault="00001E88" w:rsidP="004B0586">
            <w:pPr>
              <w:pStyle w:val="Bullets"/>
              <w:autoSpaceDE/>
              <w:autoSpaceDN/>
              <w:adjustRightInd/>
              <w:spacing w:before="60"/>
            </w:pPr>
            <w:r w:rsidRPr="00E15C7C">
              <w:t xml:space="preserve">Provide feedback to a specific health care worker on </w:t>
            </w:r>
            <w:proofErr w:type="gramStart"/>
            <w:r w:rsidRPr="00E15C7C">
              <w:t>performance</w:t>
            </w:r>
            <w:proofErr w:type="gramEnd"/>
          </w:p>
          <w:p w14:paraId="586AF4E4" w14:textId="77777777" w:rsidR="00001E88" w:rsidRPr="00E15C7C" w:rsidRDefault="00001E88" w:rsidP="004B0586">
            <w:pPr>
              <w:pStyle w:val="Bullets"/>
              <w:autoSpaceDE/>
              <w:autoSpaceDN/>
              <w:adjustRightInd/>
              <w:spacing w:before="60"/>
            </w:pPr>
            <w:r w:rsidRPr="00E15C7C">
              <w:t>Notification to midwifery council</w:t>
            </w:r>
          </w:p>
          <w:p w14:paraId="1A41A6F2" w14:textId="77777777" w:rsidR="00001E88" w:rsidRPr="00E15C7C" w:rsidRDefault="00001E88" w:rsidP="004B0586">
            <w:pPr>
              <w:pStyle w:val="Bullets"/>
              <w:autoSpaceDE/>
              <w:autoSpaceDN/>
              <w:adjustRightInd/>
              <w:spacing w:before="60"/>
            </w:pPr>
            <w:r w:rsidRPr="00E15C7C">
              <w:t>Individual supported to undertake a reflection</w:t>
            </w:r>
          </w:p>
        </w:tc>
      </w:tr>
      <w:tr w:rsidR="00001E88" w14:paraId="7FC63A6E" w14:textId="77777777" w:rsidTr="00B80975">
        <w:tc>
          <w:tcPr>
            <w:tcW w:w="2774" w:type="dxa"/>
            <w:tcBorders>
              <w:left w:val="nil"/>
            </w:tcBorders>
          </w:tcPr>
          <w:p w14:paraId="3329B6A7" w14:textId="77777777" w:rsidR="00001E88" w:rsidRPr="00E15C7C" w:rsidRDefault="00001E88" w:rsidP="00DC2109">
            <w:pPr>
              <w:tabs>
                <w:tab w:val="left" w:pos="357"/>
              </w:tabs>
              <w:spacing w:before="40" w:after="40"/>
              <w:ind w:left="17" w:hanging="357"/>
            </w:pPr>
            <w:r>
              <w:tab/>
              <w:t>P</w:t>
            </w:r>
            <w:r w:rsidRPr="00E15C7C">
              <w:t>erson focused (consumer)</w:t>
            </w:r>
          </w:p>
        </w:tc>
        <w:tc>
          <w:tcPr>
            <w:tcW w:w="1273" w:type="dxa"/>
          </w:tcPr>
          <w:p w14:paraId="6250EA46" w14:textId="77777777" w:rsidR="00001E88" w:rsidRPr="00E15C7C" w:rsidRDefault="00001E88" w:rsidP="004B0586">
            <w:pPr>
              <w:spacing w:before="60" w:after="60"/>
              <w:jc w:val="center"/>
            </w:pPr>
            <w:r w:rsidRPr="00E15C7C">
              <w:t>13</w:t>
            </w:r>
          </w:p>
        </w:tc>
        <w:tc>
          <w:tcPr>
            <w:tcW w:w="5025" w:type="dxa"/>
            <w:tcBorders>
              <w:right w:val="nil"/>
            </w:tcBorders>
          </w:tcPr>
          <w:p w14:paraId="553875D1" w14:textId="77777777" w:rsidR="00001E88" w:rsidRPr="00E15C7C" w:rsidRDefault="00001E88" w:rsidP="004B0586">
            <w:pPr>
              <w:pStyle w:val="Bullets"/>
              <w:autoSpaceDE/>
              <w:autoSpaceDN/>
              <w:adjustRightInd/>
              <w:spacing w:before="60"/>
            </w:pPr>
            <w:r w:rsidRPr="00E15C7C">
              <w:t xml:space="preserve">Create/update information </w:t>
            </w:r>
            <w:proofErr w:type="gramStart"/>
            <w:r w:rsidRPr="00E15C7C">
              <w:t>resources</w:t>
            </w:r>
            <w:proofErr w:type="gramEnd"/>
          </w:p>
          <w:p w14:paraId="720CAC76" w14:textId="77777777" w:rsidR="00001E88" w:rsidRPr="00E15C7C" w:rsidRDefault="00001E88" w:rsidP="004B0586">
            <w:pPr>
              <w:pStyle w:val="Bullets"/>
              <w:autoSpaceDE/>
              <w:autoSpaceDN/>
              <w:adjustRightInd/>
              <w:spacing w:before="60"/>
            </w:pPr>
            <w:r w:rsidRPr="00E15C7C">
              <w:t>Reminders at antenatal classes</w:t>
            </w:r>
          </w:p>
          <w:p w14:paraId="6B412D64" w14:textId="77777777" w:rsidR="00001E88" w:rsidRPr="00E15C7C" w:rsidRDefault="00001E88" w:rsidP="004B0586">
            <w:pPr>
              <w:pStyle w:val="Bullets"/>
              <w:autoSpaceDE/>
              <w:autoSpaceDN/>
              <w:adjustRightInd/>
              <w:spacing w:before="60"/>
            </w:pPr>
            <w:r w:rsidRPr="00E15C7C">
              <w:t xml:space="preserve">Tool to aid communication with </w:t>
            </w:r>
            <w:proofErr w:type="gramStart"/>
            <w:r w:rsidRPr="00E15C7C">
              <w:t>families</w:t>
            </w:r>
            <w:proofErr w:type="gramEnd"/>
          </w:p>
          <w:p w14:paraId="3E773F5A" w14:textId="77777777" w:rsidR="00001E88" w:rsidRPr="00E15C7C" w:rsidRDefault="00001E88" w:rsidP="004B0586">
            <w:pPr>
              <w:pStyle w:val="Bullets"/>
              <w:autoSpaceDE/>
              <w:autoSpaceDN/>
              <w:adjustRightInd/>
              <w:spacing w:before="60"/>
            </w:pPr>
            <w:r w:rsidRPr="00E15C7C">
              <w:t>Support women to access maternity care</w:t>
            </w:r>
          </w:p>
        </w:tc>
      </w:tr>
      <w:tr w:rsidR="00001E88" w14:paraId="1AA1F76C" w14:textId="77777777" w:rsidTr="00B80975">
        <w:tc>
          <w:tcPr>
            <w:tcW w:w="2774" w:type="dxa"/>
            <w:tcBorders>
              <w:left w:val="nil"/>
            </w:tcBorders>
          </w:tcPr>
          <w:p w14:paraId="72BC8CE3" w14:textId="77777777" w:rsidR="00001E88" w:rsidRPr="00E15C7C" w:rsidRDefault="00001E88" w:rsidP="00DC2109">
            <w:pPr>
              <w:tabs>
                <w:tab w:val="left" w:pos="357"/>
              </w:tabs>
              <w:spacing w:before="40" w:after="40"/>
              <w:ind w:left="17" w:hanging="357"/>
            </w:pPr>
            <w:r>
              <w:tab/>
            </w:r>
            <w:r w:rsidRPr="00E15C7C">
              <w:t>Communication</w:t>
            </w:r>
            <w:r>
              <w:t xml:space="preserve"> </w:t>
            </w:r>
            <w:r w:rsidRPr="00E15C7C">
              <w:t>focused</w:t>
            </w:r>
          </w:p>
        </w:tc>
        <w:tc>
          <w:tcPr>
            <w:tcW w:w="1273" w:type="dxa"/>
          </w:tcPr>
          <w:p w14:paraId="4675D547" w14:textId="77777777" w:rsidR="00001E88" w:rsidRPr="00E15C7C" w:rsidRDefault="00001E88" w:rsidP="004B0586">
            <w:pPr>
              <w:spacing w:before="60" w:after="60"/>
              <w:jc w:val="center"/>
            </w:pPr>
            <w:r w:rsidRPr="00E15C7C">
              <w:t>11</w:t>
            </w:r>
          </w:p>
        </w:tc>
        <w:tc>
          <w:tcPr>
            <w:tcW w:w="5025" w:type="dxa"/>
            <w:tcBorders>
              <w:right w:val="nil"/>
            </w:tcBorders>
          </w:tcPr>
          <w:p w14:paraId="3183E587" w14:textId="77777777" w:rsidR="00001E88" w:rsidRPr="00E15C7C" w:rsidRDefault="00001E88" w:rsidP="004B0586">
            <w:pPr>
              <w:pStyle w:val="Bullets"/>
              <w:autoSpaceDE/>
              <w:autoSpaceDN/>
              <w:adjustRightInd/>
              <w:spacing w:before="60"/>
            </w:pPr>
            <w:r w:rsidRPr="00E15C7C">
              <w:t>Use</w:t>
            </w:r>
            <w:r>
              <w:t xml:space="preserve"> the</w:t>
            </w:r>
            <w:r w:rsidRPr="00E15C7C">
              <w:t xml:space="preserve"> ISBAR communication </w:t>
            </w:r>
            <w:proofErr w:type="gramStart"/>
            <w:r w:rsidRPr="00E15C7C">
              <w:t>tool</w:t>
            </w:r>
            <w:proofErr w:type="gramEnd"/>
          </w:p>
          <w:p w14:paraId="2C0932A1" w14:textId="77777777" w:rsidR="00001E88" w:rsidRPr="00E15C7C" w:rsidRDefault="00001E88" w:rsidP="004B0586">
            <w:pPr>
              <w:pStyle w:val="Bullets"/>
              <w:autoSpaceDE/>
              <w:autoSpaceDN/>
              <w:adjustRightInd/>
              <w:spacing w:before="60"/>
            </w:pPr>
            <w:r w:rsidRPr="00E15C7C">
              <w:t xml:space="preserve">Develop </w:t>
            </w:r>
            <w:r>
              <w:t xml:space="preserve">a </w:t>
            </w:r>
            <w:r w:rsidRPr="00E15C7C">
              <w:t xml:space="preserve">documentation tool for phone </w:t>
            </w:r>
            <w:proofErr w:type="gramStart"/>
            <w:r w:rsidRPr="00E15C7C">
              <w:t>conversations</w:t>
            </w:r>
            <w:proofErr w:type="gramEnd"/>
          </w:p>
          <w:p w14:paraId="77E80202" w14:textId="77777777" w:rsidR="00001E88" w:rsidRPr="00E15C7C" w:rsidRDefault="00001E88" w:rsidP="004B0586">
            <w:pPr>
              <w:pStyle w:val="Bullets"/>
              <w:autoSpaceDE/>
              <w:autoSpaceDN/>
              <w:adjustRightInd/>
              <w:spacing w:before="60"/>
            </w:pPr>
            <w:r w:rsidRPr="00E15C7C">
              <w:t>Clarify communication process</w:t>
            </w:r>
          </w:p>
        </w:tc>
      </w:tr>
      <w:tr w:rsidR="00001E88" w14:paraId="5817939F" w14:textId="77777777" w:rsidTr="00B80975">
        <w:tc>
          <w:tcPr>
            <w:tcW w:w="2774" w:type="dxa"/>
            <w:tcBorders>
              <w:left w:val="nil"/>
              <w:bottom w:val="single" w:sz="4" w:space="0" w:color="auto"/>
            </w:tcBorders>
          </w:tcPr>
          <w:p w14:paraId="529DA4E7" w14:textId="77777777" w:rsidR="00001E88" w:rsidRPr="00E15C7C" w:rsidRDefault="00001E88" w:rsidP="00DC2109">
            <w:pPr>
              <w:tabs>
                <w:tab w:val="left" w:pos="357"/>
              </w:tabs>
              <w:spacing w:before="40" w:after="40"/>
              <w:ind w:left="17" w:hanging="357"/>
            </w:pPr>
            <w:r>
              <w:tab/>
            </w:r>
            <w:r w:rsidRPr="00E15C7C">
              <w:t>Provide feedback to other services</w:t>
            </w:r>
          </w:p>
        </w:tc>
        <w:tc>
          <w:tcPr>
            <w:tcW w:w="1273" w:type="dxa"/>
            <w:tcBorders>
              <w:bottom w:val="single" w:sz="4" w:space="0" w:color="auto"/>
            </w:tcBorders>
          </w:tcPr>
          <w:p w14:paraId="04CC1461" w14:textId="77777777" w:rsidR="00001E88" w:rsidRPr="00E15C7C" w:rsidRDefault="00001E88" w:rsidP="004B0586">
            <w:pPr>
              <w:spacing w:before="60" w:after="60"/>
              <w:jc w:val="center"/>
            </w:pPr>
            <w:r w:rsidRPr="00E15C7C">
              <w:t>4</w:t>
            </w:r>
          </w:p>
        </w:tc>
        <w:tc>
          <w:tcPr>
            <w:tcW w:w="5025" w:type="dxa"/>
            <w:tcBorders>
              <w:bottom w:val="single" w:sz="4" w:space="0" w:color="auto"/>
              <w:right w:val="nil"/>
            </w:tcBorders>
          </w:tcPr>
          <w:p w14:paraId="24367447" w14:textId="77777777" w:rsidR="00001E88" w:rsidRPr="00A40E8A" w:rsidRDefault="00001E88" w:rsidP="008B7940">
            <w:pPr>
              <w:pStyle w:val="Bullets"/>
              <w:numPr>
                <w:ilvl w:val="0"/>
                <w:numId w:val="0"/>
              </w:numPr>
              <w:autoSpaceDE/>
              <w:autoSpaceDN/>
              <w:adjustRightInd/>
              <w:spacing w:before="60"/>
            </w:pPr>
            <w:r w:rsidRPr="00A40E8A">
              <w:t>Provide feedback to radiology providers</w:t>
            </w:r>
          </w:p>
        </w:tc>
      </w:tr>
      <w:tr w:rsidR="00001E88" w:rsidRPr="00A321EA" w14:paraId="2725B584" w14:textId="77777777" w:rsidTr="00B80975">
        <w:tc>
          <w:tcPr>
            <w:tcW w:w="9072" w:type="dxa"/>
            <w:gridSpan w:val="3"/>
            <w:tcBorders>
              <w:left w:val="nil"/>
              <w:right w:val="nil"/>
            </w:tcBorders>
            <w:shd w:val="clear" w:color="auto" w:fill="F2F2F2" w:themeFill="background1" w:themeFillShade="F2"/>
          </w:tcPr>
          <w:p w14:paraId="1B870DB6" w14:textId="77777777" w:rsidR="00001E88" w:rsidRPr="00A321EA" w:rsidRDefault="00001E88" w:rsidP="004B0586">
            <w:pPr>
              <w:spacing w:before="40" w:after="40"/>
            </w:pPr>
            <w:r w:rsidRPr="00A321EA">
              <w:t>Task/process focused</w:t>
            </w:r>
          </w:p>
        </w:tc>
      </w:tr>
      <w:tr w:rsidR="00001E88" w14:paraId="59C72293" w14:textId="77777777" w:rsidTr="00B80975">
        <w:tc>
          <w:tcPr>
            <w:tcW w:w="2774" w:type="dxa"/>
            <w:tcBorders>
              <w:left w:val="nil"/>
            </w:tcBorders>
          </w:tcPr>
          <w:p w14:paraId="6CB15DD8" w14:textId="77777777" w:rsidR="00001E88" w:rsidRPr="00E15C7C" w:rsidRDefault="00001E88" w:rsidP="00DC2109">
            <w:pPr>
              <w:tabs>
                <w:tab w:val="left" w:pos="357"/>
              </w:tabs>
              <w:spacing w:before="40" w:after="40"/>
              <w:ind w:left="17" w:hanging="357"/>
            </w:pPr>
            <w:r>
              <w:tab/>
            </w:r>
            <w:r w:rsidRPr="00E15C7C">
              <w:t>Develop, review, update or implement a process or pathway</w:t>
            </w:r>
          </w:p>
        </w:tc>
        <w:tc>
          <w:tcPr>
            <w:tcW w:w="1273" w:type="dxa"/>
          </w:tcPr>
          <w:p w14:paraId="6B6A1FF3" w14:textId="77777777" w:rsidR="00001E88" w:rsidRPr="00E15C7C" w:rsidRDefault="00001E88" w:rsidP="004B0586">
            <w:pPr>
              <w:spacing w:before="60" w:after="60"/>
              <w:jc w:val="center"/>
            </w:pPr>
            <w:r w:rsidRPr="00E15C7C">
              <w:t>43</w:t>
            </w:r>
          </w:p>
        </w:tc>
        <w:tc>
          <w:tcPr>
            <w:tcW w:w="5025" w:type="dxa"/>
            <w:tcBorders>
              <w:right w:val="nil"/>
            </w:tcBorders>
          </w:tcPr>
          <w:p w14:paraId="6158B07A" w14:textId="3519A5ED" w:rsidR="00001E88" w:rsidRPr="00E15C7C" w:rsidRDefault="00001E88" w:rsidP="004B0586">
            <w:pPr>
              <w:pStyle w:val="Bullets"/>
              <w:autoSpaceDE/>
              <w:autoSpaceDN/>
              <w:adjustRightInd/>
              <w:spacing w:before="60"/>
            </w:pPr>
            <w:r w:rsidRPr="00E15C7C">
              <w:t>Implement or review MEWS or newborn observation chart</w:t>
            </w:r>
            <w:r>
              <w:t>/</w:t>
            </w:r>
            <w:r w:rsidRPr="00E15C7C">
              <w:t xml:space="preserve">newborn early warning </w:t>
            </w:r>
            <w:proofErr w:type="gramStart"/>
            <w:r w:rsidRPr="00E15C7C">
              <w:t>system</w:t>
            </w:r>
            <w:proofErr w:type="gramEnd"/>
          </w:p>
          <w:p w14:paraId="22771442" w14:textId="77777777" w:rsidR="00001E88" w:rsidRPr="00E15C7C" w:rsidRDefault="00001E88" w:rsidP="004B0586">
            <w:pPr>
              <w:pStyle w:val="Bullets"/>
              <w:autoSpaceDE/>
              <w:autoSpaceDN/>
              <w:adjustRightInd/>
              <w:spacing w:before="60"/>
            </w:pPr>
            <w:r w:rsidRPr="00E15C7C">
              <w:t xml:space="preserve">Develop a pathway for </w:t>
            </w:r>
            <w:proofErr w:type="gramStart"/>
            <w:r w:rsidRPr="00E15C7C">
              <w:t>escalation</w:t>
            </w:r>
            <w:proofErr w:type="gramEnd"/>
          </w:p>
          <w:p w14:paraId="4D50FCF2" w14:textId="77777777" w:rsidR="00001E88" w:rsidRPr="00E15C7C" w:rsidRDefault="00001E88" w:rsidP="004B0586">
            <w:pPr>
              <w:pStyle w:val="Bullets"/>
              <w:autoSpaceDE/>
              <w:autoSpaceDN/>
              <w:adjustRightInd/>
              <w:spacing w:before="60"/>
            </w:pPr>
            <w:r w:rsidRPr="00E15C7C">
              <w:t xml:space="preserve">Review emergency response process and process for SMO </w:t>
            </w:r>
            <w:proofErr w:type="gramStart"/>
            <w:r w:rsidRPr="00E15C7C">
              <w:t>escalation</w:t>
            </w:r>
            <w:proofErr w:type="gramEnd"/>
          </w:p>
          <w:p w14:paraId="3704A901" w14:textId="77777777" w:rsidR="00001E88" w:rsidRPr="00E15C7C" w:rsidRDefault="00001E88" w:rsidP="004B0586">
            <w:pPr>
              <w:pStyle w:val="Bullets"/>
              <w:autoSpaceDE/>
              <w:autoSpaceDN/>
              <w:adjustRightInd/>
              <w:spacing w:before="60"/>
            </w:pPr>
            <w:r w:rsidRPr="00E15C7C">
              <w:t>Review a neonatal transfer process</w:t>
            </w:r>
            <w:r>
              <w:t xml:space="preserve"> with Hato Hone St John</w:t>
            </w:r>
          </w:p>
          <w:p w14:paraId="48D46414" w14:textId="77777777" w:rsidR="00001E88" w:rsidRPr="00E15C7C" w:rsidRDefault="00001E88" w:rsidP="004B0586">
            <w:pPr>
              <w:pStyle w:val="Bullets"/>
              <w:autoSpaceDE/>
              <w:autoSpaceDN/>
              <w:adjustRightInd/>
              <w:spacing w:before="60"/>
            </w:pPr>
            <w:r w:rsidRPr="00E15C7C">
              <w:t xml:space="preserve">Review the model of </w:t>
            </w:r>
            <w:proofErr w:type="gramStart"/>
            <w:r w:rsidRPr="00E15C7C">
              <w:t>care</w:t>
            </w:r>
            <w:proofErr w:type="gramEnd"/>
          </w:p>
          <w:p w14:paraId="17102F81" w14:textId="77777777" w:rsidR="00001E88" w:rsidRPr="00E15C7C" w:rsidRDefault="00001E88" w:rsidP="004B0586">
            <w:pPr>
              <w:pStyle w:val="Bullets"/>
              <w:autoSpaceDE/>
              <w:autoSpaceDN/>
              <w:adjustRightInd/>
              <w:spacing w:before="60"/>
            </w:pPr>
            <w:r w:rsidRPr="00E15C7C">
              <w:t>Review of practice around umbilical line care bundle</w:t>
            </w:r>
          </w:p>
          <w:p w14:paraId="62FB3257" w14:textId="77777777" w:rsidR="00001E88" w:rsidRPr="00E15C7C" w:rsidRDefault="00001E88" w:rsidP="004B0586">
            <w:pPr>
              <w:pStyle w:val="Bullets"/>
              <w:autoSpaceDE/>
              <w:autoSpaceDN/>
              <w:adjustRightInd/>
              <w:spacing w:before="60"/>
            </w:pPr>
            <w:r w:rsidRPr="00E15C7C">
              <w:t>Better pathways for high-risk rural women</w:t>
            </w:r>
          </w:p>
        </w:tc>
      </w:tr>
      <w:tr w:rsidR="00001E88" w14:paraId="66AC64D3" w14:textId="77777777" w:rsidTr="00B80975">
        <w:tc>
          <w:tcPr>
            <w:tcW w:w="2774" w:type="dxa"/>
            <w:tcBorders>
              <w:left w:val="nil"/>
              <w:bottom w:val="single" w:sz="4" w:space="0" w:color="auto"/>
            </w:tcBorders>
          </w:tcPr>
          <w:p w14:paraId="47863B9E" w14:textId="77777777" w:rsidR="00001E88" w:rsidRPr="00E15C7C" w:rsidRDefault="00001E88" w:rsidP="00DC2109">
            <w:pPr>
              <w:tabs>
                <w:tab w:val="left" w:pos="357"/>
              </w:tabs>
              <w:spacing w:before="40" w:after="40"/>
              <w:ind w:left="17" w:hanging="357"/>
            </w:pPr>
            <w:r>
              <w:tab/>
            </w:r>
            <w:r w:rsidRPr="00E15C7C">
              <w:t>Auditing</w:t>
            </w:r>
          </w:p>
        </w:tc>
        <w:tc>
          <w:tcPr>
            <w:tcW w:w="1273" w:type="dxa"/>
            <w:tcBorders>
              <w:bottom w:val="single" w:sz="4" w:space="0" w:color="auto"/>
            </w:tcBorders>
          </w:tcPr>
          <w:p w14:paraId="03A9EA8D" w14:textId="77777777" w:rsidR="00001E88" w:rsidRPr="00E15C7C" w:rsidRDefault="00001E88" w:rsidP="004B0586">
            <w:pPr>
              <w:spacing w:before="60" w:after="60"/>
              <w:jc w:val="center"/>
            </w:pPr>
            <w:r w:rsidRPr="00E15C7C">
              <w:t>17</w:t>
            </w:r>
          </w:p>
        </w:tc>
        <w:tc>
          <w:tcPr>
            <w:tcW w:w="5025" w:type="dxa"/>
            <w:tcBorders>
              <w:bottom w:val="single" w:sz="4" w:space="0" w:color="auto"/>
              <w:right w:val="nil"/>
            </w:tcBorders>
          </w:tcPr>
          <w:p w14:paraId="2897E802" w14:textId="77777777" w:rsidR="00001E88" w:rsidRPr="00A40E8A" w:rsidRDefault="00001E88" w:rsidP="008B7940">
            <w:pPr>
              <w:pStyle w:val="Bullets"/>
              <w:numPr>
                <w:ilvl w:val="0"/>
                <w:numId w:val="0"/>
              </w:numPr>
              <w:autoSpaceDE/>
              <w:autoSpaceDN/>
              <w:adjustRightInd/>
              <w:spacing w:before="60"/>
            </w:pPr>
            <w:r w:rsidRPr="00A40E8A">
              <w:t>Undertake auditing of practice against expectations from policies and guidelines</w:t>
            </w:r>
          </w:p>
        </w:tc>
      </w:tr>
      <w:tr w:rsidR="00001E88" w:rsidRPr="00A321EA" w14:paraId="1445A3F0" w14:textId="77777777" w:rsidTr="00B80975">
        <w:tc>
          <w:tcPr>
            <w:tcW w:w="9072" w:type="dxa"/>
            <w:gridSpan w:val="3"/>
            <w:tcBorders>
              <w:left w:val="nil"/>
              <w:right w:val="nil"/>
            </w:tcBorders>
            <w:shd w:val="clear" w:color="auto" w:fill="F2F2F2" w:themeFill="background1" w:themeFillShade="F2"/>
          </w:tcPr>
          <w:p w14:paraId="7EA4D328" w14:textId="77777777" w:rsidR="00001E88" w:rsidRPr="00A321EA" w:rsidRDefault="00001E88" w:rsidP="004B0586">
            <w:pPr>
              <w:spacing w:before="40" w:after="40"/>
            </w:pPr>
            <w:r w:rsidRPr="00A321EA">
              <w:t>Tools/technology focused</w:t>
            </w:r>
          </w:p>
        </w:tc>
      </w:tr>
      <w:tr w:rsidR="00001E88" w14:paraId="665F05AA" w14:textId="77777777" w:rsidTr="00B80975">
        <w:tc>
          <w:tcPr>
            <w:tcW w:w="2774" w:type="dxa"/>
            <w:tcBorders>
              <w:left w:val="nil"/>
            </w:tcBorders>
          </w:tcPr>
          <w:p w14:paraId="4EAEF226" w14:textId="77777777" w:rsidR="00001E88" w:rsidRPr="00E15C7C" w:rsidRDefault="00001E88" w:rsidP="00DC2109">
            <w:pPr>
              <w:tabs>
                <w:tab w:val="left" w:pos="357"/>
              </w:tabs>
              <w:spacing w:before="40" w:after="40"/>
              <w:ind w:left="17" w:hanging="357"/>
            </w:pPr>
            <w:r>
              <w:tab/>
            </w:r>
            <w:r w:rsidRPr="00E15C7C">
              <w:t>IT electronic record specific</w:t>
            </w:r>
          </w:p>
        </w:tc>
        <w:tc>
          <w:tcPr>
            <w:tcW w:w="1273" w:type="dxa"/>
          </w:tcPr>
          <w:p w14:paraId="288C6BFB" w14:textId="77777777" w:rsidR="00001E88" w:rsidRPr="00E15C7C" w:rsidRDefault="00001E88" w:rsidP="004B0586">
            <w:pPr>
              <w:spacing w:before="60" w:after="60"/>
              <w:jc w:val="center"/>
            </w:pPr>
            <w:r w:rsidRPr="00E15C7C">
              <w:t>4</w:t>
            </w:r>
          </w:p>
        </w:tc>
        <w:tc>
          <w:tcPr>
            <w:tcW w:w="5025" w:type="dxa"/>
            <w:tcBorders>
              <w:right w:val="nil"/>
            </w:tcBorders>
          </w:tcPr>
          <w:p w14:paraId="2E173D4C" w14:textId="77777777" w:rsidR="00001E88" w:rsidRPr="00E15C7C" w:rsidRDefault="00001E88" w:rsidP="004B0586">
            <w:pPr>
              <w:pStyle w:val="Bullets"/>
              <w:autoSpaceDE/>
              <w:autoSpaceDN/>
              <w:adjustRightInd/>
              <w:spacing w:before="60"/>
            </w:pPr>
            <w:r w:rsidRPr="00E15C7C">
              <w:t xml:space="preserve">Introduction of national electronic maternity record (referred to as </w:t>
            </w:r>
            <w:proofErr w:type="spellStart"/>
            <w:r>
              <w:t>B</w:t>
            </w:r>
            <w:r w:rsidRPr="00E15C7C">
              <w:t>adger</w:t>
            </w:r>
            <w:r>
              <w:t>N</w:t>
            </w:r>
            <w:r w:rsidRPr="00E15C7C">
              <w:t>et</w:t>
            </w:r>
            <w:proofErr w:type="spellEnd"/>
            <w:r w:rsidRPr="00E15C7C">
              <w:t>)</w:t>
            </w:r>
          </w:p>
          <w:p w14:paraId="4C976087" w14:textId="77777777" w:rsidR="00001E88" w:rsidRPr="00E15C7C" w:rsidRDefault="00001E88" w:rsidP="004B0586">
            <w:pPr>
              <w:pStyle w:val="Bullets"/>
              <w:autoSpaceDE/>
              <w:autoSpaceDN/>
              <w:adjustRightInd/>
              <w:spacing w:before="60"/>
            </w:pPr>
            <w:r w:rsidRPr="00E15C7C">
              <w:t xml:space="preserve">New </w:t>
            </w:r>
            <w:proofErr w:type="spellStart"/>
            <w:r w:rsidRPr="00E15C7C">
              <w:t>partogram</w:t>
            </w:r>
            <w:proofErr w:type="spellEnd"/>
            <w:r w:rsidRPr="00E15C7C">
              <w:t xml:space="preserve"> for </w:t>
            </w:r>
            <w:proofErr w:type="spellStart"/>
            <w:r w:rsidRPr="00E15C7C">
              <w:t>BadgerNet</w:t>
            </w:r>
            <w:proofErr w:type="spellEnd"/>
          </w:p>
        </w:tc>
      </w:tr>
      <w:tr w:rsidR="00001E88" w14:paraId="55A2B510" w14:textId="77777777" w:rsidTr="00B80975">
        <w:tc>
          <w:tcPr>
            <w:tcW w:w="2774" w:type="dxa"/>
            <w:tcBorders>
              <w:left w:val="nil"/>
            </w:tcBorders>
          </w:tcPr>
          <w:p w14:paraId="666936CD" w14:textId="77777777" w:rsidR="00001E88" w:rsidRPr="00E15C7C" w:rsidRDefault="00001E88" w:rsidP="00DC2109">
            <w:pPr>
              <w:tabs>
                <w:tab w:val="left" w:pos="357"/>
              </w:tabs>
              <w:spacing w:before="40" w:after="40"/>
              <w:ind w:left="17" w:hanging="357"/>
            </w:pPr>
            <w:r>
              <w:tab/>
            </w:r>
            <w:r w:rsidRPr="00E15C7C">
              <w:t>Improve IT availability</w:t>
            </w:r>
          </w:p>
        </w:tc>
        <w:tc>
          <w:tcPr>
            <w:tcW w:w="1273" w:type="dxa"/>
          </w:tcPr>
          <w:p w14:paraId="6D6853D3" w14:textId="77777777" w:rsidR="00001E88" w:rsidRPr="00E15C7C" w:rsidRDefault="00001E88" w:rsidP="004B0586">
            <w:pPr>
              <w:spacing w:before="60" w:after="60"/>
              <w:jc w:val="center"/>
            </w:pPr>
            <w:r w:rsidRPr="00E15C7C">
              <w:t>8</w:t>
            </w:r>
          </w:p>
        </w:tc>
        <w:tc>
          <w:tcPr>
            <w:tcW w:w="5025" w:type="dxa"/>
            <w:tcBorders>
              <w:right w:val="nil"/>
            </w:tcBorders>
          </w:tcPr>
          <w:p w14:paraId="5664C16F" w14:textId="77777777" w:rsidR="00001E88" w:rsidRPr="00E15C7C" w:rsidRDefault="00001E88" w:rsidP="004B0586">
            <w:pPr>
              <w:pStyle w:val="Bullets"/>
              <w:autoSpaceDE/>
              <w:autoSpaceDN/>
              <w:adjustRightInd/>
              <w:spacing w:before="60"/>
            </w:pPr>
            <w:r w:rsidRPr="00E15C7C">
              <w:t xml:space="preserve">Communication to </w:t>
            </w:r>
            <w:r>
              <w:t>c</w:t>
            </w:r>
            <w:r w:rsidRPr="00E15C7C">
              <w:t xml:space="preserve">hief </w:t>
            </w:r>
            <w:r>
              <w:t>e</w:t>
            </w:r>
            <w:r w:rsidRPr="00E15C7C">
              <w:t>xecutive for interlinking IT system</w:t>
            </w:r>
          </w:p>
          <w:p w14:paraId="725D9BDC" w14:textId="77777777" w:rsidR="00001E88" w:rsidRPr="00E15C7C" w:rsidRDefault="00001E88" w:rsidP="004B0586">
            <w:pPr>
              <w:pStyle w:val="Bullets"/>
              <w:autoSpaceDE/>
              <w:autoSpaceDN/>
              <w:adjustRightInd/>
              <w:spacing w:before="60"/>
            </w:pPr>
            <w:r w:rsidRPr="00E15C7C">
              <w:t>Centralised CTG monitoring</w:t>
            </w:r>
          </w:p>
          <w:p w14:paraId="0C312D47" w14:textId="77777777" w:rsidR="00001E88" w:rsidRPr="00E15C7C" w:rsidRDefault="00001E88" w:rsidP="004B0586">
            <w:pPr>
              <w:pStyle w:val="Bullets"/>
              <w:autoSpaceDE/>
              <w:autoSpaceDN/>
              <w:adjustRightInd/>
              <w:spacing w:before="60"/>
            </w:pPr>
            <w:r w:rsidRPr="00E15C7C">
              <w:t>Data dashboard</w:t>
            </w:r>
          </w:p>
        </w:tc>
      </w:tr>
    </w:tbl>
    <w:p w14:paraId="798E818A" w14:textId="77777777" w:rsidR="003A555D" w:rsidRDefault="003A555D">
      <w:r>
        <w:br w:type="page"/>
      </w:r>
    </w:p>
    <w:tbl>
      <w:tblPr>
        <w:tblStyle w:val="TableGrid"/>
        <w:tblW w:w="9072" w:type="dxa"/>
        <w:tblLook w:val="04A0" w:firstRow="1" w:lastRow="0" w:firstColumn="1" w:lastColumn="0" w:noHBand="0" w:noVBand="1"/>
      </w:tblPr>
      <w:tblGrid>
        <w:gridCol w:w="2774"/>
        <w:gridCol w:w="1273"/>
        <w:gridCol w:w="5025"/>
      </w:tblGrid>
      <w:tr w:rsidR="00001E88" w14:paraId="765F9308" w14:textId="77777777" w:rsidTr="00B80975">
        <w:tc>
          <w:tcPr>
            <w:tcW w:w="2774" w:type="dxa"/>
            <w:tcBorders>
              <w:left w:val="nil"/>
            </w:tcBorders>
          </w:tcPr>
          <w:p w14:paraId="5E091076" w14:textId="0E9EB4E6" w:rsidR="00001E88" w:rsidRPr="00E15C7C" w:rsidRDefault="00001E88" w:rsidP="00DC2109">
            <w:pPr>
              <w:tabs>
                <w:tab w:val="left" w:pos="357"/>
              </w:tabs>
              <w:spacing w:before="40" w:after="40"/>
              <w:ind w:left="17" w:hanging="357"/>
            </w:pPr>
            <w:r>
              <w:tab/>
            </w:r>
            <w:r w:rsidRPr="00E15C7C">
              <w:t>Equipment upgrade/</w:t>
            </w:r>
            <w:r>
              <w:br/>
            </w:r>
            <w:r w:rsidRPr="00E15C7C">
              <w:t>availability</w:t>
            </w:r>
          </w:p>
        </w:tc>
        <w:tc>
          <w:tcPr>
            <w:tcW w:w="1273" w:type="dxa"/>
          </w:tcPr>
          <w:p w14:paraId="1CC95D0E" w14:textId="77777777" w:rsidR="00001E88" w:rsidRPr="00E15C7C" w:rsidRDefault="00001E88" w:rsidP="004B0586">
            <w:pPr>
              <w:spacing w:before="60" w:after="60"/>
              <w:jc w:val="center"/>
            </w:pPr>
            <w:r w:rsidRPr="00E15C7C">
              <w:t>21</w:t>
            </w:r>
          </w:p>
        </w:tc>
        <w:tc>
          <w:tcPr>
            <w:tcW w:w="5025" w:type="dxa"/>
            <w:tcBorders>
              <w:right w:val="nil"/>
            </w:tcBorders>
          </w:tcPr>
          <w:p w14:paraId="7403A1EC" w14:textId="77777777" w:rsidR="00001E88" w:rsidRPr="00E15C7C" w:rsidRDefault="00001E88" w:rsidP="004B0586">
            <w:pPr>
              <w:pStyle w:val="Bullets"/>
              <w:autoSpaceDE/>
              <w:autoSpaceDN/>
              <w:adjustRightInd/>
              <w:spacing w:before="60"/>
            </w:pPr>
            <w:r w:rsidRPr="00E15C7C">
              <w:t>Portable transport CTG monitor</w:t>
            </w:r>
          </w:p>
          <w:p w14:paraId="4A67D1A5" w14:textId="77777777" w:rsidR="00001E88" w:rsidRPr="00E15C7C" w:rsidRDefault="00001E88" w:rsidP="004B0586">
            <w:pPr>
              <w:pStyle w:val="Bullets"/>
              <w:autoSpaceDE/>
              <w:autoSpaceDN/>
              <w:adjustRightInd/>
              <w:spacing w:before="60"/>
            </w:pPr>
            <w:r w:rsidRPr="00E15C7C">
              <w:t>Resuscitation equipment availability</w:t>
            </w:r>
          </w:p>
          <w:p w14:paraId="0BE28AF9" w14:textId="77777777" w:rsidR="00001E88" w:rsidRPr="00E15C7C" w:rsidRDefault="00001E88" w:rsidP="004B0586">
            <w:pPr>
              <w:pStyle w:val="Bullets"/>
              <w:autoSpaceDE/>
              <w:autoSpaceDN/>
              <w:adjustRightInd/>
              <w:spacing w:before="60"/>
            </w:pPr>
            <w:r w:rsidRPr="00E15C7C">
              <w:t>Pre-made MgSO</w:t>
            </w:r>
            <w:r w:rsidRPr="00F700E8">
              <w:rPr>
                <w:vertAlign w:val="subscript"/>
              </w:rPr>
              <w:t>4</w:t>
            </w:r>
            <w:r w:rsidRPr="00E15C7C">
              <w:t xml:space="preserve"> </w:t>
            </w:r>
            <w:proofErr w:type="gramStart"/>
            <w:r w:rsidRPr="00E15C7C">
              <w:t>infusions</w:t>
            </w:r>
            <w:proofErr w:type="gramEnd"/>
          </w:p>
          <w:p w14:paraId="0CFA38BE" w14:textId="77777777" w:rsidR="00001E88" w:rsidRPr="00E15C7C" w:rsidRDefault="00001E88" w:rsidP="004B0586">
            <w:pPr>
              <w:pStyle w:val="Bullets"/>
              <w:autoSpaceDE/>
              <w:autoSpaceDN/>
              <w:adjustRightInd/>
              <w:spacing w:before="60"/>
            </w:pPr>
            <w:r w:rsidRPr="00E15C7C">
              <w:t>Purchase a towel warmer</w:t>
            </w:r>
          </w:p>
        </w:tc>
      </w:tr>
      <w:tr w:rsidR="00001E88" w14:paraId="088230C9" w14:textId="77777777" w:rsidTr="00B80975">
        <w:tc>
          <w:tcPr>
            <w:tcW w:w="2774" w:type="dxa"/>
            <w:tcBorders>
              <w:left w:val="nil"/>
              <w:bottom w:val="single" w:sz="4" w:space="0" w:color="auto"/>
            </w:tcBorders>
          </w:tcPr>
          <w:p w14:paraId="4B989B15" w14:textId="77777777" w:rsidR="00001E88" w:rsidRPr="00E15C7C" w:rsidRDefault="00001E88" w:rsidP="00DC2109">
            <w:pPr>
              <w:tabs>
                <w:tab w:val="left" w:pos="357"/>
              </w:tabs>
              <w:spacing w:before="40" w:after="40"/>
              <w:ind w:left="17" w:hanging="357"/>
            </w:pPr>
            <w:r>
              <w:tab/>
            </w:r>
            <w:r w:rsidRPr="00E15C7C">
              <w:t>Develop cognitive aids</w:t>
            </w:r>
          </w:p>
        </w:tc>
        <w:tc>
          <w:tcPr>
            <w:tcW w:w="1273" w:type="dxa"/>
            <w:tcBorders>
              <w:bottom w:val="single" w:sz="4" w:space="0" w:color="auto"/>
            </w:tcBorders>
          </w:tcPr>
          <w:p w14:paraId="3882542A" w14:textId="77777777" w:rsidR="00001E88" w:rsidRPr="00E15C7C" w:rsidRDefault="00001E88" w:rsidP="004B0586">
            <w:pPr>
              <w:spacing w:before="60" w:after="60"/>
              <w:jc w:val="center"/>
            </w:pPr>
            <w:r w:rsidRPr="00E15C7C">
              <w:t>12</w:t>
            </w:r>
          </w:p>
        </w:tc>
        <w:tc>
          <w:tcPr>
            <w:tcW w:w="5025" w:type="dxa"/>
            <w:tcBorders>
              <w:bottom w:val="single" w:sz="4" w:space="0" w:color="auto"/>
              <w:right w:val="nil"/>
            </w:tcBorders>
          </w:tcPr>
          <w:p w14:paraId="7AE3996F" w14:textId="77777777" w:rsidR="00001E88" w:rsidRPr="00E15C7C" w:rsidRDefault="00001E88" w:rsidP="008B7940">
            <w:pPr>
              <w:pStyle w:val="Bullets"/>
              <w:numPr>
                <w:ilvl w:val="0"/>
                <w:numId w:val="0"/>
              </w:numPr>
              <w:autoSpaceDE/>
              <w:autoSpaceDN/>
              <w:adjustRightInd/>
              <w:spacing w:before="60"/>
            </w:pPr>
            <w:r w:rsidRPr="00E15C7C">
              <w:t>Specific easily accessible cognitive resources</w:t>
            </w:r>
          </w:p>
        </w:tc>
      </w:tr>
      <w:tr w:rsidR="00001E88" w:rsidRPr="00A321EA" w14:paraId="730B7694" w14:textId="77777777" w:rsidTr="00B80975">
        <w:tc>
          <w:tcPr>
            <w:tcW w:w="9072" w:type="dxa"/>
            <w:gridSpan w:val="3"/>
            <w:tcBorders>
              <w:left w:val="nil"/>
              <w:right w:val="nil"/>
            </w:tcBorders>
            <w:shd w:val="clear" w:color="auto" w:fill="F2F2F2" w:themeFill="background1" w:themeFillShade="F2"/>
          </w:tcPr>
          <w:p w14:paraId="0596536F" w14:textId="77777777" w:rsidR="00001E88" w:rsidRPr="00A321EA" w:rsidRDefault="00001E88" w:rsidP="004B0586">
            <w:pPr>
              <w:spacing w:before="40" w:after="40"/>
            </w:pPr>
            <w:r w:rsidRPr="00A321EA">
              <w:t>Organisation</w:t>
            </w:r>
            <w:r>
              <w:t xml:space="preserve"> focused</w:t>
            </w:r>
          </w:p>
        </w:tc>
      </w:tr>
      <w:tr w:rsidR="00001E88" w14:paraId="4DE1587C" w14:textId="77777777" w:rsidTr="00B80975">
        <w:tc>
          <w:tcPr>
            <w:tcW w:w="2774" w:type="dxa"/>
            <w:tcBorders>
              <w:left w:val="nil"/>
            </w:tcBorders>
          </w:tcPr>
          <w:p w14:paraId="19D100E2" w14:textId="77777777" w:rsidR="00001E88" w:rsidRPr="00E15C7C" w:rsidRDefault="00001E88" w:rsidP="00DC2109">
            <w:pPr>
              <w:tabs>
                <w:tab w:val="left" w:pos="357"/>
              </w:tabs>
              <w:spacing w:before="40" w:after="40"/>
              <w:ind w:left="17" w:hanging="357"/>
            </w:pPr>
            <w:r>
              <w:tab/>
            </w:r>
            <w:r w:rsidRPr="00E15C7C">
              <w:t>Workforce</w:t>
            </w:r>
          </w:p>
        </w:tc>
        <w:tc>
          <w:tcPr>
            <w:tcW w:w="1273" w:type="dxa"/>
          </w:tcPr>
          <w:p w14:paraId="021B8DFC" w14:textId="77777777" w:rsidR="00001E88" w:rsidRPr="00E15C7C" w:rsidRDefault="00001E88" w:rsidP="004B0586">
            <w:pPr>
              <w:spacing w:before="60" w:after="60"/>
              <w:jc w:val="center"/>
            </w:pPr>
            <w:r w:rsidRPr="00E15C7C">
              <w:t>23</w:t>
            </w:r>
          </w:p>
        </w:tc>
        <w:tc>
          <w:tcPr>
            <w:tcW w:w="5025" w:type="dxa"/>
            <w:tcBorders>
              <w:right w:val="nil"/>
            </w:tcBorders>
          </w:tcPr>
          <w:p w14:paraId="7622B2A4" w14:textId="77777777" w:rsidR="00001E88" w:rsidRPr="00E15C7C" w:rsidRDefault="00001E88" w:rsidP="004B0586">
            <w:pPr>
              <w:pStyle w:val="Bullets"/>
              <w:autoSpaceDE/>
              <w:autoSpaceDN/>
              <w:adjustRightInd/>
              <w:spacing w:before="60"/>
            </w:pPr>
            <w:r w:rsidRPr="00E15C7C">
              <w:t xml:space="preserve">Continue with recruitment and </w:t>
            </w:r>
            <w:proofErr w:type="gramStart"/>
            <w:r w:rsidRPr="00E15C7C">
              <w:t>retention</w:t>
            </w:r>
            <w:proofErr w:type="gramEnd"/>
          </w:p>
          <w:p w14:paraId="2C2C4354" w14:textId="77777777" w:rsidR="00001E88" w:rsidRPr="00E15C7C" w:rsidRDefault="00001E88" w:rsidP="004B0586">
            <w:pPr>
              <w:pStyle w:val="Bullets"/>
              <w:autoSpaceDE/>
              <w:autoSpaceDN/>
              <w:adjustRightInd/>
              <w:spacing w:before="60"/>
            </w:pPr>
            <w:r w:rsidRPr="00E15C7C">
              <w:t xml:space="preserve">Address the maternity staffing </w:t>
            </w:r>
            <w:proofErr w:type="gramStart"/>
            <w:r w:rsidRPr="00E15C7C">
              <w:t>shortages</w:t>
            </w:r>
            <w:proofErr w:type="gramEnd"/>
          </w:p>
          <w:p w14:paraId="391FC0C3" w14:textId="77777777" w:rsidR="00001E88" w:rsidRPr="00E15C7C" w:rsidRDefault="00001E88" w:rsidP="004B0586">
            <w:pPr>
              <w:pStyle w:val="Bullets"/>
              <w:autoSpaceDE/>
              <w:autoSpaceDN/>
              <w:adjustRightInd/>
              <w:spacing w:before="60"/>
            </w:pPr>
            <w:r w:rsidRPr="00E15C7C">
              <w:t xml:space="preserve">When staffing </w:t>
            </w:r>
            <w:r>
              <w:t xml:space="preserve">is </w:t>
            </w:r>
            <w:r w:rsidRPr="00E15C7C">
              <w:t>critical</w:t>
            </w:r>
            <w:r>
              <w:t>,</w:t>
            </w:r>
            <w:r w:rsidRPr="00E15C7C">
              <w:t xml:space="preserve"> SMO and duty nurse manager to assist in triage of </w:t>
            </w:r>
            <w:proofErr w:type="gramStart"/>
            <w:r w:rsidRPr="00E15C7C">
              <w:t>work</w:t>
            </w:r>
            <w:proofErr w:type="gramEnd"/>
            <w:r w:rsidRPr="00E15C7C">
              <w:t xml:space="preserve"> </w:t>
            </w:r>
          </w:p>
          <w:p w14:paraId="1232CB1D" w14:textId="77777777" w:rsidR="00001E88" w:rsidRPr="00E15C7C" w:rsidRDefault="00001E88" w:rsidP="004B0586">
            <w:pPr>
              <w:pStyle w:val="Bullets"/>
              <w:autoSpaceDE/>
              <w:autoSpaceDN/>
              <w:adjustRightInd/>
              <w:spacing w:before="60"/>
            </w:pPr>
            <w:r w:rsidRPr="00E15C7C">
              <w:t>Recruitment of an equity lead</w:t>
            </w:r>
          </w:p>
          <w:p w14:paraId="41A6DBF2" w14:textId="77777777" w:rsidR="00001E88" w:rsidRPr="00E15C7C" w:rsidRDefault="00001E88" w:rsidP="004B0586">
            <w:pPr>
              <w:pStyle w:val="Bullets"/>
              <w:autoSpaceDE/>
              <w:autoSpaceDN/>
              <w:adjustRightInd/>
              <w:spacing w:before="60"/>
            </w:pPr>
            <w:r w:rsidRPr="00E15C7C">
              <w:t xml:space="preserve">Explore afterhours midwifery </w:t>
            </w:r>
            <w:proofErr w:type="gramStart"/>
            <w:r w:rsidRPr="00E15C7C">
              <w:t>coordinators</w:t>
            </w:r>
            <w:proofErr w:type="gramEnd"/>
          </w:p>
          <w:p w14:paraId="3950A689" w14:textId="77777777" w:rsidR="00001E88" w:rsidRPr="00E15C7C" w:rsidRDefault="00001E88" w:rsidP="004B0586">
            <w:pPr>
              <w:pStyle w:val="Bullets"/>
              <w:autoSpaceDE/>
              <w:autoSpaceDN/>
              <w:adjustRightInd/>
              <w:spacing w:before="60"/>
            </w:pPr>
            <w:r w:rsidRPr="00E15C7C">
              <w:t xml:space="preserve">Allocate a perinatal </w:t>
            </w:r>
            <w:r>
              <w:t>m</w:t>
            </w:r>
            <w:r w:rsidRPr="00E15C7C">
              <w:t>en</w:t>
            </w:r>
            <w:r>
              <w:t>t</w:t>
            </w:r>
            <w:r w:rsidRPr="00E15C7C">
              <w:t xml:space="preserve">al health position to support </w:t>
            </w:r>
            <w:proofErr w:type="gramStart"/>
            <w:r>
              <w:t>o</w:t>
            </w:r>
            <w:r w:rsidRPr="00E15C7C">
              <w:t>bstetrics</w:t>
            </w:r>
            <w:proofErr w:type="gramEnd"/>
          </w:p>
          <w:p w14:paraId="6611A484" w14:textId="77777777" w:rsidR="00001E88" w:rsidRPr="00E15C7C" w:rsidRDefault="00001E88" w:rsidP="004B0586">
            <w:pPr>
              <w:pStyle w:val="Bullets"/>
              <w:autoSpaceDE/>
              <w:autoSpaceDN/>
              <w:adjustRightInd/>
              <w:spacing w:before="60"/>
            </w:pPr>
            <w:r w:rsidRPr="00E15C7C">
              <w:t>Increase minimum staffing</w:t>
            </w:r>
          </w:p>
        </w:tc>
      </w:tr>
      <w:tr w:rsidR="00001E88" w14:paraId="759B6A45" w14:textId="77777777" w:rsidTr="00B80975">
        <w:tc>
          <w:tcPr>
            <w:tcW w:w="2774" w:type="dxa"/>
            <w:tcBorders>
              <w:left w:val="nil"/>
            </w:tcBorders>
          </w:tcPr>
          <w:p w14:paraId="590C628A" w14:textId="77777777" w:rsidR="00001E88" w:rsidRPr="00E15C7C" w:rsidRDefault="00001E88" w:rsidP="00DC2109">
            <w:pPr>
              <w:tabs>
                <w:tab w:val="left" w:pos="357"/>
              </w:tabs>
              <w:spacing w:before="40" w:after="40"/>
              <w:ind w:left="17" w:hanging="357"/>
            </w:pPr>
            <w:r>
              <w:tab/>
            </w:r>
            <w:r w:rsidRPr="00E15C7C">
              <w:t xml:space="preserve">Risk register workforce </w:t>
            </w:r>
          </w:p>
        </w:tc>
        <w:tc>
          <w:tcPr>
            <w:tcW w:w="1273" w:type="dxa"/>
          </w:tcPr>
          <w:p w14:paraId="4B2D2BA3" w14:textId="77777777" w:rsidR="00001E88" w:rsidRPr="00E15C7C" w:rsidRDefault="00001E88" w:rsidP="004B0586">
            <w:pPr>
              <w:spacing w:before="60" w:after="60"/>
              <w:jc w:val="center"/>
            </w:pPr>
            <w:r w:rsidRPr="00E15C7C">
              <w:t>2</w:t>
            </w:r>
          </w:p>
        </w:tc>
        <w:tc>
          <w:tcPr>
            <w:tcW w:w="5025" w:type="dxa"/>
            <w:tcBorders>
              <w:right w:val="nil"/>
            </w:tcBorders>
          </w:tcPr>
          <w:p w14:paraId="1EEFEE73" w14:textId="77777777" w:rsidR="00001E88" w:rsidRPr="00E15C7C" w:rsidRDefault="00001E88" w:rsidP="008B7940">
            <w:pPr>
              <w:pStyle w:val="Bullets"/>
              <w:numPr>
                <w:ilvl w:val="0"/>
                <w:numId w:val="0"/>
              </w:numPr>
              <w:autoSpaceDE/>
              <w:autoSpaceDN/>
              <w:adjustRightInd/>
              <w:spacing w:before="60"/>
            </w:pPr>
            <w:r>
              <w:t>A</w:t>
            </w:r>
            <w:r w:rsidRPr="00E15C7C">
              <w:t>dd to risk register</w:t>
            </w:r>
          </w:p>
        </w:tc>
      </w:tr>
      <w:tr w:rsidR="00001E88" w14:paraId="0E18DD50" w14:textId="77777777" w:rsidTr="00B80975">
        <w:tc>
          <w:tcPr>
            <w:tcW w:w="2774" w:type="dxa"/>
            <w:tcBorders>
              <w:left w:val="nil"/>
            </w:tcBorders>
          </w:tcPr>
          <w:p w14:paraId="6648D79E" w14:textId="77777777" w:rsidR="00001E88" w:rsidRPr="00E15C7C" w:rsidRDefault="00001E88" w:rsidP="00DC2109">
            <w:pPr>
              <w:tabs>
                <w:tab w:val="left" w:pos="357"/>
              </w:tabs>
              <w:spacing w:before="40" w:after="40"/>
              <w:ind w:left="17" w:hanging="357"/>
            </w:pPr>
            <w:r>
              <w:tab/>
            </w:r>
            <w:r w:rsidRPr="00E15C7C">
              <w:t>Facilities/infrastructure</w:t>
            </w:r>
          </w:p>
        </w:tc>
        <w:tc>
          <w:tcPr>
            <w:tcW w:w="1273" w:type="dxa"/>
          </w:tcPr>
          <w:p w14:paraId="1384C0A9" w14:textId="77777777" w:rsidR="00001E88" w:rsidRPr="00E15C7C" w:rsidRDefault="00001E88" w:rsidP="004B0586">
            <w:pPr>
              <w:spacing w:before="60" w:after="60"/>
              <w:jc w:val="center"/>
            </w:pPr>
            <w:r w:rsidRPr="00E15C7C">
              <w:t>4</w:t>
            </w:r>
          </w:p>
        </w:tc>
        <w:tc>
          <w:tcPr>
            <w:tcW w:w="5025" w:type="dxa"/>
            <w:tcBorders>
              <w:right w:val="nil"/>
            </w:tcBorders>
          </w:tcPr>
          <w:p w14:paraId="66DFDB53" w14:textId="77777777" w:rsidR="00001E88" w:rsidRPr="00E15C7C" w:rsidRDefault="00001E88" w:rsidP="004B0586">
            <w:pPr>
              <w:pStyle w:val="Bullets"/>
              <w:autoSpaceDE/>
              <w:autoSpaceDN/>
              <w:adjustRightInd/>
              <w:spacing w:before="60"/>
            </w:pPr>
            <w:r w:rsidRPr="00E15C7C">
              <w:t xml:space="preserve">Increase operating theatre </w:t>
            </w:r>
            <w:proofErr w:type="gramStart"/>
            <w:r w:rsidRPr="00E15C7C">
              <w:t>availability</w:t>
            </w:r>
            <w:proofErr w:type="gramEnd"/>
          </w:p>
          <w:p w14:paraId="34EDE761" w14:textId="77777777" w:rsidR="00001E88" w:rsidRPr="00E15C7C" w:rsidRDefault="00001E88" w:rsidP="004B0586">
            <w:pPr>
              <w:pStyle w:val="Bullets"/>
              <w:autoSpaceDE/>
              <w:autoSpaceDN/>
              <w:adjustRightInd/>
              <w:spacing w:before="60"/>
            </w:pPr>
            <w:r w:rsidRPr="00E15C7C">
              <w:t xml:space="preserve">Open beds when additional capacity </w:t>
            </w:r>
            <w:proofErr w:type="gramStart"/>
            <w:r w:rsidRPr="00E15C7C">
              <w:t>required</w:t>
            </w:r>
            <w:proofErr w:type="gramEnd"/>
          </w:p>
          <w:p w14:paraId="25D2411E" w14:textId="77777777" w:rsidR="00001E88" w:rsidRPr="00E15C7C" w:rsidRDefault="00001E88" w:rsidP="004B0586">
            <w:pPr>
              <w:pStyle w:val="Bullets"/>
              <w:autoSpaceDE/>
              <w:autoSpaceDN/>
              <w:adjustRightInd/>
              <w:spacing w:before="60"/>
            </w:pPr>
            <w:r w:rsidRPr="00E15C7C">
              <w:t>Explore installation of impact</w:t>
            </w:r>
            <w:r>
              <w:t>-</w:t>
            </w:r>
            <w:r w:rsidRPr="00E15C7C">
              <w:t>reducing flooring</w:t>
            </w:r>
          </w:p>
        </w:tc>
      </w:tr>
      <w:tr w:rsidR="00001E88" w14:paraId="50439F71" w14:textId="77777777" w:rsidTr="00B80975">
        <w:tc>
          <w:tcPr>
            <w:tcW w:w="2774" w:type="dxa"/>
            <w:tcBorders>
              <w:left w:val="nil"/>
              <w:bottom w:val="single" w:sz="4" w:space="0" w:color="auto"/>
            </w:tcBorders>
          </w:tcPr>
          <w:p w14:paraId="6AEF0F7D" w14:textId="77777777" w:rsidR="00001E88" w:rsidRPr="00E15C7C" w:rsidRDefault="00001E88" w:rsidP="00DC2109">
            <w:pPr>
              <w:tabs>
                <w:tab w:val="left" w:pos="357"/>
              </w:tabs>
              <w:spacing w:before="40" w:after="40"/>
              <w:ind w:left="17" w:hanging="357"/>
            </w:pPr>
            <w:r>
              <w:tab/>
            </w:r>
            <w:r w:rsidRPr="00E15C7C">
              <w:t>Additional services required</w:t>
            </w:r>
          </w:p>
        </w:tc>
        <w:tc>
          <w:tcPr>
            <w:tcW w:w="1273" w:type="dxa"/>
            <w:tcBorders>
              <w:bottom w:val="single" w:sz="4" w:space="0" w:color="auto"/>
            </w:tcBorders>
          </w:tcPr>
          <w:p w14:paraId="70322EE9" w14:textId="77777777" w:rsidR="00001E88" w:rsidRPr="00E15C7C" w:rsidRDefault="00001E88" w:rsidP="004B0586">
            <w:pPr>
              <w:spacing w:before="60" w:after="60"/>
              <w:jc w:val="center"/>
            </w:pPr>
            <w:r w:rsidRPr="00E15C7C">
              <w:t>3</w:t>
            </w:r>
          </w:p>
        </w:tc>
        <w:tc>
          <w:tcPr>
            <w:tcW w:w="5025" w:type="dxa"/>
            <w:tcBorders>
              <w:bottom w:val="single" w:sz="4" w:space="0" w:color="auto"/>
              <w:right w:val="nil"/>
            </w:tcBorders>
          </w:tcPr>
          <w:p w14:paraId="503E8E44" w14:textId="77777777" w:rsidR="00001E88" w:rsidRPr="005266B3" w:rsidRDefault="00001E88" w:rsidP="004B0586">
            <w:pPr>
              <w:pStyle w:val="Bullets"/>
              <w:autoSpaceDE/>
              <w:autoSpaceDN/>
              <w:adjustRightInd/>
              <w:spacing w:before="60"/>
            </w:pPr>
            <w:r w:rsidRPr="005266B3">
              <w:t>A proposal for the piloting of a transitional baby care unit</w:t>
            </w:r>
          </w:p>
          <w:p w14:paraId="0AE496A8" w14:textId="77777777" w:rsidR="00001E88" w:rsidRPr="00E15C7C" w:rsidRDefault="00001E88" w:rsidP="004B0586">
            <w:pPr>
              <w:pStyle w:val="Bullets"/>
              <w:autoSpaceDE/>
              <w:autoSpaceDN/>
              <w:adjustRightInd/>
              <w:spacing w:before="60"/>
            </w:pPr>
            <w:r w:rsidRPr="00E15C7C">
              <w:t>Midwife</w:t>
            </w:r>
            <w:r>
              <w:t>-</w:t>
            </w:r>
            <w:r w:rsidRPr="00E15C7C">
              <w:t xml:space="preserve">led </w:t>
            </w:r>
            <w:r>
              <w:t>a</w:t>
            </w:r>
            <w:r w:rsidRPr="00E15C7C">
              <w:t>ntenatal assessment unit for high-risk women</w:t>
            </w:r>
            <w:r>
              <w:t>,</w:t>
            </w:r>
            <w:r w:rsidRPr="00E15C7C">
              <w:t xml:space="preserve"> with direct access to </w:t>
            </w:r>
            <w:proofErr w:type="gramStart"/>
            <w:r w:rsidRPr="00E15C7C">
              <w:t>SMO</w:t>
            </w:r>
            <w:proofErr w:type="gramEnd"/>
          </w:p>
          <w:p w14:paraId="7E74573C" w14:textId="77777777" w:rsidR="00001E88" w:rsidRPr="00E15C7C" w:rsidRDefault="00001E88" w:rsidP="004B0586">
            <w:pPr>
              <w:pStyle w:val="Bullets"/>
              <w:autoSpaceDE/>
              <w:autoSpaceDN/>
              <w:adjustRightInd/>
              <w:spacing w:before="60"/>
            </w:pPr>
            <w:r>
              <w:t>A</w:t>
            </w:r>
            <w:r w:rsidRPr="00E15C7C">
              <w:t>ccelerating the development of midwifery-led and evidence-based ‘</w:t>
            </w:r>
            <w:r>
              <w:t>v</w:t>
            </w:r>
            <w:r w:rsidRPr="00E15C7C">
              <w:t xml:space="preserve">aginal birth after </w:t>
            </w:r>
            <w:r>
              <w:t>c</w:t>
            </w:r>
            <w:r w:rsidRPr="00E15C7C">
              <w:t>aesarean’ clinics with provision of woman</w:t>
            </w:r>
            <w:r>
              <w:t>-</w:t>
            </w:r>
            <w:r w:rsidRPr="00E15C7C">
              <w:t>customised information and advice</w:t>
            </w:r>
          </w:p>
        </w:tc>
      </w:tr>
      <w:tr w:rsidR="00001E88" w:rsidRPr="007857B7" w14:paraId="75872057" w14:textId="77777777" w:rsidTr="00B80975">
        <w:tc>
          <w:tcPr>
            <w:tcW w:w="9072" w:type="dxa"/>
            <w:gridSpan w:val="3"/>
            <w:tcBorders>
              <w:left w:val="nil"/>
              <w:right w:val="nil"/>
            </w:tcBorders>
            <w:shd w:val="clear" w:color="auto" w:fill="F2F2F2" w:themeFill="background1" w:themeFillShade="F2"/>
          </w:tcPr>
          <w:p w14:paraId="4D489BA0" w14:textId="77777777" w:rsidR="00001E88" w:rsidRPr="007857B7" w:rsidRDefault="00001E88" w:rsidP="004B0586">
            <w:pPr>
              <w:spacing w:before="40" w:after="40"/>
            </w:pPr>
            <w:r w:rsidRPr="007857B7">
              <w:t>Wider system focused</w:t>
            </w:r>
          </w:p>
        </w:tc>
      </w:tr>
      <w:tr w:rsidR="00001E88" w14:paraId="238BB455" w14:textId="77777777" w:rsidTr="00B80975">
        <w:tc>
          <w:tcPr>
            <w:tcW w:w="2774" w:type="dxa"/>
            <w:tcBorders>
              <w:left w:val="nil"/>
            </w:tcBorders>
          </w:tcPr>
          <w:p w14:paraId="5BF093ED" w14:textId="77777777" w:rsidR="00001E88" w:rsidRPr="00E15C7C" w:rsidRDefault="00001E88" w:rsidP="00DC2109">
            <w:pPr>
              <w:tabs>
                <w:tab w:val="left" w:pos="357"/>
              </w:tabs>
              <w:spacing w:before="40" w:after="40"/>
              <w:ind w:left="17" w:hanging="357"/>
            </w:pPr>
            <w:r>
              <w:tab/>
            </w:r>
            <w:r w:rsidRPr="00E15C7C">
              <w:t>Community-focused recommendations</w:t>
            </w:r>
          </w:p>
        </w:tc>
        <w:tc>
          <w:tcPr>
            <w:tcW w:w="1273" w:type="dxa"/>
          </w:tcPr>
          <w:p w14:paraId="3767E1B6" w14:textId="77777777" w:rsidR="00001E88" w:rsidRPr="00E15C7C" w:rsidRDefault="00001E88" w:rsidP="004B0586">
            <w:pPr>
              <w:spacing w:before="60" w:after="60"/>
              <w:jc w:val="center"/>
            </w:pPr>
            <w:r w:rsidRPr="00E15C7C">
              <w:t>3</w:t>
            </w:r>
          </w:p>
        </w:tc>
        <w:tc>
          <w:tcPr>
            <w:tcW w:w="5025" w:type="dxa"/>
            <w:tcBorders>
              <w:right w:val="nil"/>
            </w:tcBorders>
          </w:tcPr>
          <w:p w14:paraId="274ACB33" w14:textId="77777777" w:rsidR="00001E88" w:rsidRPr="00E15C7C" w:rsidRDefault="00001E88" w:rsidP="004B0586">
            <w:pPr>
              <w:pStyle w:val="Bullets"/>
              <w:autoSpaceDE/>
              <w:autoSpaceDN/>
              <w:adjustRightInd/>
              <w:spacing w:before="60"/>
            </w:pPr>
            <w:r>
              <w:t>N</w:t>
            </w:r>
            <w:r w:rsidRPr="00E15C7C">
              <w:t xml:space="preserve">eed improved access to free ultrasound for rural </w:t>
            </w:r>
            <w:proofErr w:type="gramStart"/>
            <w:r w:rsidRPr="00E15C7C">
              <w:t>women</w:t>
            </w:r>
            <w:proofErr w:type="gramEnd"/>
          </w:p>
          <w:p w14:paraId="7B623353" w14:textId="77777777" w:rsidR="00001E88" w:rsidRPr="00E15C7C" w:rsidRDefault="00001E88" w:rsidP="004B0586">
            <w:pPr>
              <w:pStyle w:val="Bullets"/>
              <w:autoSpaceDE/>
              <w:autoSpaceDN/>
              <w:adjustRightInd/>
              <w:spacing w:before="60"/>
            </w:pPr>
            <w:r w:rsidRPr="00E15C7C">
              <w:t xml:space="preserve">Raise the concern </w:t>
            </w:r>
            <w:r>
              <w:t xml:space="preserve">about the lack of </w:t>
            </w:r>
            <w:r w:rsidRPr="00E15C7C">
              <w:t xml:space="preserve">support services for bereaved </w:t>
            </w:r>
            <w:proofErr w:type="gramStart"/>
            <w:r w:rsidRPr="00E15C7C">
              <w:t>whānau</w:t>
            </w:r>
            <w:proofErr w:type="gramEnd"/>
          </w:p>
          <w:p w14:paraId="0157E227" w14:textId="77777777" w:rsidR="00001E88" w:rsidRPr="00E15C7C" w:rsidRDefault="00001E88" w:rsidP="004B0586">
            <w:pPr>
              <w:pStyle w:val="Bullets"/>
              <w:autoSpaceDE/>
              <w:autoSpaceDN/>
              <w:adjustRightInd/>
              <w:spacing w:before="60"/>
            </w:pPr>
            <w:r w:rsidRPr="00E15C7C">
              <w:t>Advocate for better support to access community ultrasound</w:t>
            </w:r>
          </w:p>
        </w:tc>
      </w:tr>
    </w:tbl>
    <w:p w14:paraId="6E3B51F5" w14:textId="77777777" w:rsidR="003A555D" w:rsidRDefault="003A555D">
      <w:r>
        <w:br w:type="page"/>
      </w:r>
    </w:p>
    <w:tbl>
      <w:tblPr>
        <w:tblStyle w:val="TableGrid"/>
        <w:tblW w:w="9072" w:type="dxa"/>
        <w:tblLook w:val="04A0" w:firstRow="1" w:lastRow="0" w:firstColumn="1" w:lastColumn="0" w:noHBand="0" w:noVBand="1"/>
      </w:tblPr>
      <w:tblGrid>
        <w:gridCol w:w="2774"/>
        <w:gridCol w:w="1273"/>
        <w:gridCol w:w="5025"/>
      </w:tblGrid>
      <w:tr w:rsidR="00001E88" w14:paraId="1CC28EBF" w14:textId="77777777" w:rsidTr="00B80975">
        <w:tc>
          <w:tcPr>
            <w:tcW w:w="2774" w:type="dxa"/>
            <w:tcBorders>
              <w:left w:val="nil"/>
            </w:tcBorders>
          </w:tcPr>
          <w:p w14:paraId="4191E344" w14:textId="3A51C690" w:rsidR="00001E88" w:rsidRPr="00E15C7C" w:rsidRDefault="00001E88" w:rsidP="00DC2109">
            <w:pPr>
              <w:tabs>
                <w:tab w:val="left" w:pos="357"/>
              </w:tabs>
              <w:spacing w:before="40" w:after="40"/>
              <w:ind w:left="17" w:hanging="357"/>
            </w:pPr>
            <w:r>
              <w:tab/>
            </w:r>
            <w:r w:rsidRPr="00E15C7C">
              <w:t>National/regional actions</w:t>
            </w:r>
          </w:p>
        </w:tc>
        <w:tc>
          <w:tcPr>
            <w:tcW w:w="1273" w:type="dxa"/>
          </w:tcPr>
          <w:p w14:paraId="14C88A80" w14:textId="77777777" w:rsidR="00001E88" w:rsidRPr="00E15C7C" w:rsidRDefault="00001E88" w:rsidP="004B0586">
            <w:pPr>
              <w:spacing w:before="60" w:after="60"/>
              <w:jc w:val="center"/>
            </w:pPr>
            <w:r w:rsidRPr="00E15C7C">
              <w:t>4</w:t>
            </w:r>
          </w:p>
        </w:tc>
        <w:tc>
          <w:tcPr>
            <w:tcW w:w="5025" w:type="dxa"/>
            <w:tcBorders>
              <w:right w:val="nil"/>
            </w:tcBorders>
          </w:tcPr>
          <w:p w14:paraId="6C7603C0" w14:textId="77777777" w:rsidR="00001E88" w:rsidRPr="00E15C7C" w:rsidRDefault="00001E88" w:rsidP="004B0586">
            <w:pPr>
              <w:pStyle w:val="Bullets"/>
              <w:autoSpaceDE/>
              <w:autoSpaceDN/>
              <w:adjustRightInd/>
              <w:spacing w:before="60"/>
            </w:pPr>
            <w:r w:rsidRPr="00E15C7C">
              <w:t xml:space="preserve">Participate in regional neonatal retrieval project to review current service and make </w:t>
            </w:r>
            <w:proofErr w:type="gramStart"/>
            <w:r w:rsidRPr="00E15C7C">
              <w:t>recommendations</w:t>
            </w:r>
            <w:proofErr w:type="gramEnd"/>
          </w:p>
          <w:p w14:paraId="067ABFE2" w14:textId="77777777" w:rsidR="00001E88" w:rsidRPr="005266B3" w:rsidRDefault="00001E88" w:rsidP="004B0586">
            <w:pPr>
              <w:pStyle w:val="Bullets"/>
              <w:autoSpaceDE/>
              <w:autoSpaceDN/>
              <w:adjustRightInd/>
              <w:spacing w:before="60"/>
            </w:pPr>
            <w:r w:rsidRPr="005266B3">
              <w:t xml:space="preserve">Participate in Accident Compensation Corporation (ACC) </w:t>
            </w:r>
            <w:proofErr w:type="spellStart"/>
            <w:r w:rsidRPr="005266B3">
              <w:t>fetal</w:t>
            </w:r>
            <w:proofErr w:type="spellEnd"/>
            <w:r w:rsidRPr="005266B3">
              <w:t xml:space="preserve"> assessment education programme </w:t>
            </w:r>
            <w:proofErr w:type="gramStart"/>
            <w:r w:rsidRPr="005266B3">
              <w:t>pilot</w:t>
            </w:r>
            <w:proofErr w:type="gramEnd"/>
          </w:p>
          <w:p w14:paraId="2E200091" w14:textId="0E003ADC" w:rsidR="00001E88" w:rsidRPr="00E15C7C" w:rsidRDefault="00001E88" w:rsidP="004B0586">
            <w:pPr>
              <w:pStyle w:val="Bullets"/>
              <w:autoSpaceDE/>
              <w:autoSpaceDN/>
              <w:adjustRightInd/>
              <w:spacing w:before="60"/>
            </w:pPr>
            <w:r w:rsidRPr="49CD3455">
              <w:t xml:space="preserve">Complete the development of the </w:t>
            </w:r>
            <w:r w:rsidRPr="005266B3">
              <w:t>‘</w:t>
            </w:r>
            <w:r>
              <w:t>p</w:t>
            </w:r>
            <w:r w:rsidRPr="49CD3455">
              <w:t>lace of birth tool</w:t>
            </w:r>
            <w:r w:rsidRPr="005266B3">
              <w:t>’</w:t>
            </w:r>
            <w:r w:rsidRPr="49CD3455">
              <w:t xml:space="preserve"> that is </w:t>
            </w:r>
            <w:r>
              <w:t xml:space="preserve">under way </w:t>
            </w:r>
            <w:r w:rsidRPr="49CD3455">
              <w:t xml:space="preserve">under the </w:t>
            </w:r>
            <w:r w:rsidR="00F62394" w:rsidRPr="49CD3455">
              <w:t>maternity quality and safety</w:t>
            </w:r>
            <w:r w:rsidRPr="49CD3455">
              <w:t xml:space="preserve"> workplan</w:t>
            </w:r>
          </w:p>
        </w:tc>
      </w:tr>
      <w:tr w:rsidR="00001E88" w14:paraId="190FE30E" w14:textId="77777777" w:rsidTr="00B80975">
        <w:tc>
          <w:tcPr>
            <w:tcW w:w="2774" w:type="dxa"/>
            <w:tcBorders>
              <w:left w:val="nil"/>
            </w:tcBorders>
          </w:tcPr>
          <w:p w14:paraId="6EEB0795" w14:textId="77777777" w:rsidR="00001E88" w:rsidRPr="00E15C7C" w:rsidRDefault="00001E88" w:rsidP="00DC2109">
            <w:pPr>
              <w:tabs>
                <w:tab w:val="left" w:pos="357"/>
              </w:tabs>
              <w:spacing w:before="40" w:after="40"/>
              <w:ind w:left="17" w:hanging="357"/>
            </w:pPr>
            <w:r>
              <w:tab/>
            </w:r>
            <w:r w:rsidRPr="00E15C7C">
              <w:t>Discussion with regional/national groups</w:t>
            </w:r>
          </w:p>
        </w:tc>
        <w:tc>
          <w:tcPr>
            <w:tcW w:w="1273" w:type="dxa"/>
          </w:tcPr>
          <w:p w14:paraId="498EC2EF" w14:textId="77777777" w:rsidR="00001E88" w:rsidRPr="00E15C7C" w:rsidRDefault="00001E88" w:rsidP="004B0586">
            <w:pPr>
              <w:spacing w:before="60" w:after="60"/>
              <w:jc w:val="center"/>
            </w:pPr>
            <w:r w:rsidRPr="00E15C7C">
              <w:t>1</w:t>
            </w:r>
          </w:p>
        </w:tc>
        <w:tc>
          <w:tcPr>
            <w:tcW w:w="5025" w:type="dxa"/>
            <w:tcBorders>
              <w:right w:val="nil"/>
            </w:tcBorders>
          </w:tcPr>
          <w:p w14:paraId="04D92292" w14:textId="77777777" w:rsidR="00001E88" w:rsidRPr="008B3ABF" w:rsidRDefault="00001E88" w:rsidP="008B7940">
            <w:pPr>
              <w:pStyle w:val="Bullets"/>
              <w:numPr>
                <w:ilvl w:val="0"/>
                <w:numId w:val="0"/>
              </w:numPr>
              <w:autoSpaceDE/>
              <w:autoSpaceDN/>
              <w:adjustRightInd/>
              <w:spacing w:before="60"/>
            </w:pPr>
            <w:r w:rsidRPr="008B3ABF">
              <w:t>Explore a national system/process to remind practitioners to formally hand</w:t>
            </w:r>
            <w:r>
              <w:t xml:space="preserve"> </w:t>
            </w:r>
            <w:r w:rsidRPr="008B3ABF">
              <w:t>over/transfer care of women when they change district</w:t>
            </w:r>
          </w:p>
        </w:tc>
      </w:tr>
      <w:tr w:rsidR="00001E88" w14:paraId="7BAC6D01" w14:textId="77777777" w:rsidTr="00B80975">
        <w:tc>
          <w:tcPr>
            <w:tcW w:w="2774" w:type="dxa"/>
            <w:tcBorders>
              <w:left w:val="nil"/>
            </w:tcBorders>
            <w:shd w:val="clear" w:color="auto" w:fill="FFFFFF" w:themeFill="background1"/>
          </w:tcPr>
          <w:p w14:paraId="1186436A" w14:textId="77777777" w:rsidR="00001E88" w:rsidRPr="00E15C7C" w:rsidRDefault="00001E88" w:rsidP="004B0586">
            <w:pPr>
              <w:spacing w:before="40" w:after="40"/>
              <w:rPr>
                <w:b/>
                <w:bCs/>
              </w:rPr>
            </w:pPr>
            <w:r w:rsidRPr="00E15C7C">
              <w:rPr>
                <w:b/>
                <w:bCs/>
              </w:rPr>
              <w:t>Overall total recommendations</w:t>
            </w:r>
          </w:p>
        </w:tc>
        <w:tc>
          <w:tcPr>
            <w:tcW w:w="1273" w:type="dxa"/>
            <w:shd w:val="clear" w:color="auto" w:fill="FFFFFF" w:themeFill="background1"/>
          </w:tcPr>
          <w:p w14:paraId="66D4FD3E" w14:textId="77777777" w:rsidR="00001E88" w:rsidRPr="00DC2109" w:rsidRDefault="00001E88" w:rsidP="004B0586">
            <w:pPr>
              <w:spacing w:before="60" w:after="60"/>
              <w:jc w:val="center"/>
              <w:rPr>
                <w:b/>
                <w:bCs/>
              </w:rPr>
            </w:pPr>
            <w:r w:rsidRPr="00DC2109">
              <w:rPr>
                <w:b/>
                <w:bCs/>
              </w:rPr>
              <w:t>562</w:t>
            </w:r>
          </w:p>
        </w:tc>
        <w:tc>
          <w:tcPr>
            <w:tcW w:w="5025" w:type="dxa"/>
            <w:tcBorders>
              <w:right w:val="nil"/>
            </w:tcBorders>
            <w:shd w:val="clear" w:color="auto" w:fill="FFFFFF" w:themeFill="background1"/>
          </w:tcPr>
          <w:p w14:paraId="14041528" w14:textId="77777777" w:rsidR="00001E88" w:rsidRPr="00E15C7C" w:rsidRDefault="00001E88" w:rsidP="004B0586">
            <w:pPr>
              <w:spacing w:before="40" w:after="40"/>
            </w:pPr>
          </w:p>
        </w:tc>
      </w:tr>
    </w:tbl>
    <w:p w14:paraId="20DEB886" w14:textId="7DE55FD5" w:rsidR="00001E88" w:rsidRPr="00044BF5" w:rsidRDefault="00001E88" w:rsidP="00126E1C">
      <w:pPr>
        <w:spacing w:before="120"/>
        <w:rPr>
          <w:sz w:val="20"/>
          <w:szCs w:val="20"/>
        </w:rPr>
      </w:pPr>
      <w:r w:rsidRPr="37731E50">
        <w:rPr>
          <w:sz w:val="20"/>
          <w:szCs w:val="20"/>
        </w:rPr>
        <w:t>Note: No recommendations were created for 29 events.</w:t>
      </w:r>
    </w:p>
    <w:p w14:paraId="59DC3BCE" w14:textId="17E5047F" w:rsidR="00001E88" w:rsidRPr="00640D42" w:rsidRDefault="00001E88" w:rsidP="004B0586">
      <w:pPr>
        <w:rPr>
          <w:rFonts w:eastAsiaTheme="majorEastAsia" w:cstheme="majorBidi"/>
          <w:b/>
          <w:bCs/>
          <w:color w:val="000000" w:themeColor="text1"/>
          <w:sz w:val="18"/>
          <w:szCs w:val="18"/>
        </w:rPr>
      </w:pPr>
    </w:p>
    <w:sectPr w:rsidR="00001E88" w:rsidRPr="00640D42" w:rsidSect="00F0685A">
      <w:headerReference w:type="default" r:id="rId21"/>
      <w:footerReference w:type="default" r:id="rId22"/>
      <w:headerReference w:type="first" r:id="rId23"/>
      <w:footerReference w:type="first" r:id="rId24"/>
      <w:pgSz w:w="11899" w:h="16838"/>
      <w:pgMar w:top="1559" w:right="1418" w:bottom="1134" w:left="1418" w:header="850"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ECCCB" w14:textId="77777777" w:rsidR="00D67325" w:rsidRDefault="00D67325" w:rsidP="00041D20">
      <w:r>
        <w:separator/>
      </w:r>
    </w:p>
  </w:endnote>
  <w:endnote w:type="continuationSeparator" w:id="0">
    <w:p w14:paraId="75D881CE" w14:textId="77777777" w:rsidR="00D67325" w:rsidRDefault="00D67325" w:rsidP="00041D20">
      <w:r>
        <w:continuationSeparator/>
      </w:r>
    </w:p>
  </w:endnote>
  <w:endnote w:type="continuationNotice" w:id="1">
    <w:p w14:paraId="1A8C1ACC" w14:textId="77777777" w:rsidR="00D67325" w:rsidRDefault="00D673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9CEAD" w14:textId="2C51E61A" w:rsidR="00FC4699" w:rsidRPr="00305136" w:rsidRDefault="00305136" w:rsidP="00DA1CCF">
    <w:pPr>
      <w:pStyle w:val="Footer"/>
    </w:pPr>
    <w:r w:rsidRPr="00C17753">
      <w:t xml:space="preserve">Page </w:t>
    </w:r>
    <w:r w:rsidRPr="00C17753">
      <w:fldChar w:fldCharType="begin"/>
    </w:r>
    <w:r w:rsidRPr="00C17753">
      <w:instrText xml:space="preserve"> PAGE  \* Arabic  \* MERGEFORMAT </w:instrText>
    </w:r>
    <w:r w:rsidRPr="00C17753">
      <w:fldChar w:fldCharType="separate"/>
    </w:r>
    <w:r>
      <w:t>1</w:t>
    </w:r>
    <w:r w:rsidRPr="00C17753">
      <w:fldChar w:fldCharType="end"/>
    </w:r>
    <w:r w:rsidR="0068366B">
      <w:t xml:space="preserve"> of </w:t>
    </w:r>
    <w:r w:rsidR="00D67325">
      <w:fldChar w:fldCharType="begin"/>
    </w:r>
    <w:r w:rsidR="00D67325">
      <w:instrText>NUMPAGES   \* MERGEFORMAT</w:instrText>
    </w:r>
    <w:r w:rsidR="00D67325">
      <w:fldChar w:fldCharType="separate"/>
    </w:r>
    <w:r w:rsidR="0068366B">
      <w:rPr>
        <w:noProof/>
      </w:rPr>
      <w:t>2</w:t>
    </w:r>
    <w:r w:rsidR="00D6732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3C135" w14:textId="6743D76B" w:rsidR="000F3896" w:rsidRPr="000F3896" w:rsidRDefault="000F3896" w:rsidP="00DA1CCF">
    <w:pPr>
      <w:pStyle w:val="Footer"/>
    </w:pPr>
    <w:r>
      <w:t xml:space="preserve">Page </w:t>
    </w:r>
    <w:r>
      <w:fldChar w:fldCharType="begin"/>
    </w:r>
    <w:r>
      <w:instrText xml:space="preserve"> PAGE  \* Arabic  \* MERGEFORMAT </w:instrText>
    </w:r>
    <w:r>
      <w:fldChar w:fldCharType="separate"/>
    </w:r>
    <w:r>
      <w:rPr>
        <w:noProof/>
      </w:rPr>
      <w:t>1</w:t>
    </w:r>
    <w:r>
      <w:fldChar w:fldCharType="end"/>
    </w:r>
    <w:r w:rsidR="0068366B">
      <w:t xml:space="preserve"> of </w:t>
    </w:r>
    <w:r w:rsidR="00D67325">
      <w:fldChar w:fldCharType="begin"/>
    </w:r>
    <w:r w:rsidR="00D67325">
      <w:instrText>NUMPAGES   \* MERGEFORMAT</w:instrText>
    </w:r>
    <w:r w:rsidR="00D67325">
      <w:fldChar w:fldCharType="separate"/>
    </w:r>
    <w:r w:rsidR="0068366B">
      <w:rPr>
        <w:noProof/>
      </w:rPr>
      <w:t>2</w:t>
    </w:r>
    <w:r w:rsidR="00D6732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E77F5" w14:textId="77777777" w:rsidR="00D67325" w:rsidRDefault="00D67325" w:rsidP="00041D20">
      <w:r>
        <w:separator/>
      </w:r>
    </w:p>
  </w:footnote>
  <w:footnote w:type="continuationSeparator" w:id="0">
    <w:p w14:paraId="25CF96FA" w14:textId="77777777" w:rsidR="00D67325" w:rsidRDefault="00D67325" w:rsidP="00041D20">
      <w:r>
        <w:continuationSeparator/>
      </w:r>
    </w:p>
  </w:footnote>
  <w:footnote w:type="continuationNotice" w:id="1">
    <w:p w14:paraId="4AB5785E" w14:textId="77777777" w:rsidR="00D67325" w:rsidRDefault="00D67325"/>
  </w:footnote>
  <w:footnote w:id="2">
    <w:p w14:paraId="7574F7FB" w14:textId="6D97C770" w:rsidR="00640D42" w:rsidRPr="00B018D6" w:rsidRDefault="00640D42" w:rsidP="00640D42">
      <w:pPr>
        <w:pStyle w:val="FootnoteText"/>
        <w:rPr>
          <w:rFonts w:ascii="Arial" w:hAnsi="Arial"/>
        </w:rPr>
      </w:pPr>
      <w:r w:rsidRPr="00B018D6">
        <w:rPr>
          <w:rStyle w:val="FootnoteReference"/>
          <w:rFonts w:ascii="Arial" w:hAnsi="Arial"/>
        </w:rPr>
        <w:footnoteRef/>
      </w:r>
      <w:r w:rsidRPr="00B018D6">
        <w:rPr>
          <w:rFonts w:ascii="Arial" w:hAnsi="Arial"/>
        </w:rPr>
        <w:t xml:space="preserve"> We have endeavoured to use gender</w:t>
      </w:r>
      <w:r w:rsidR="006B0DA2">
        <w:rPr>
          <w:rFonts w:ascii="Arial" w:hAnsi="Arial"/>
        </w:rPr>
        <w:t>-</w:t>
      </w:r>
      <w:r w:rsidRPr="00B018D6">
        <w:rPr>
          <w:rFonts w:ascii="Arial" w:hAnsi="Arial"/>
        </w:rPr>
        <w:t>inclusive language in this report. We acknowledge that this report encompasses all those who are birthing</w:t>
      </w:r>
      <w:r w:rsidR="006B0DA2">
        <w:rPr>
          <w:rFonts w:ascii="Arial" w:hAnsi="Arial"/>
        </w:rPr>
        <w:t>,</w:t>
      </w:r>
      <w:r w:rsidRPr="00B018D6">
        <w:rPr>
          <w:rFonts w:ascii="Arial" w:hAnsi="Arial"/>
        </w:rPr>
        <w:t xml:space="preserve"> including women, transgender, non-binary, </w:t>
      </w:r>
      <w:proofErr w:type="gramStart"/>
      <w:r w:rsidRPr="00B018D6">
        <w:rPr>
          <w:rFonts w:ascii="Arial" w:hAnsi="Arial"/>
        </w:rPr>
        <w:t>intersex</w:t>
      </w:r>
      <w:proofErr w:type="gramEnd"/>
      <w:r w:rsidRPr="00B018D6">
        <w:rPr>
          <w:rFonts w:ascii="Arial" w:hAnsi="Arial"/>
        </w:rPr>
        <w:t xml:space="preserve"> and gender-diverse people. We realise that terminology is constantly evolving and our approach to gender</w:t>
      </w:r>
      <w:r w:rsidR="006B0DA2">
        <w:rPr>
          <w:rFonts w:ascii="Arial" w:hAnsi="Arial"/>
        </w:rPr>
        <w:t>-</w:t>
      </w:r>
      <w:r w:rsidRPr="00B018D6">
        <w:rPr>
          <w:rFonts w:ascii="Arial" w:hAnsi="Arial"/>
        </w:rPr>
        <w:t>inclusive language may change in the future.</w:t>
      </w:r>
    </w:p>
  </w:footnote>
  <w:footnote w:id="3">
    <w:p w14:paraId="235A607B" w14:textId="77777777" w:rsidR="00640D42" w:rsidRPr="00B018D6" w:rsidRDefault="00640D42" w:rsidP="00640D42">
      <w:pPr>
        <w:pStyle w:val="FootnoteText"/>
        <w:rPr>
          <w:rFonts w:ascii="Arial" w:hAnsi="Arial"/>
        </w:rPr>
      </w:pPr>
      <w:r w:rsidRPr="00B018D6">
        <w:rPr>
          <w:rStyle w:val="FootnoteReference"/>
          <w:rFonts w:ascii="Arial" w:hAnsi="Arial"/>
        </w:rPr>
        <w:footnoteRef/>
      </w:r>
      <w:r w:rsidRPr="00B018D6">
        <w:rPr>
          <w:rFonts w:ascii="Arial" w:hAnsi="Arial"/>
        </w:rPr>
        <w:t xml:space="preserve"> Maternity adverse events include events involving the pregnant woman and birthing people and those where the baby’s condition following birth meets the SAC 1 or 2 criteria.</w:t>
      </w:r>
    </w:p>
  </w:footnote>
  <w:footnote w:id="4">
    <w:p w14:paraId="78218C0A" w14:textId="6FCCCD50" w:rsidR="00B52D53" w:rsidRDefault="00B52D53">
      <w:pPr>
        <w:pStyle w:val="FootnoteText"/>
      </w:pPr>
      <w:r>
        <w:rPr>
          <w:rStyle w:val="FootnoteReference"/>
        </w:rPr>
        <w:footnoteRef/>
      </w:r>
      <w:r>
        <w:t xml:space="preserve"> </w:t>
      </w:r>
      <w:r w:rsidRPr="00B018D6">
        <w:rPr>
          <w:rFonts w:ascii="Arial" w:hAnsi="Arial"/>
        </w:rPr>
        <w:t>CTG is a technical means of recording fetal heart rate (cardio) and uterine activity (toco) during pregnancy and labour and is used as a tool to assess fetal wellbeing.</w:t>
      </w:r>
    </w:p>
  </w:footnote>
  <w:footnote w:id="5">
    <w:p w14:paraId="6C0F8D52" w14:textId="36503C46" w:rsidR="00640D42" w:rsidRPr="00B018D6" w:rsidRDefault="00640D42" w:rsidP="00640D42">
      <w:pPr>
        <w:pStyle w:val="FootnoteText"/>
        <w:rPr>
          <w:rFonts w:ascii="Arial" w:hAnsi="Arial"/>
        </w:rPr>
      </w:pPr>
      <w:r w:rsidRPr="00B018D6">
        <w:rPr>
          <w:rStyle w:val="FootnoteReference"/>
          <w:rFonts w:ascii="Arial" w:hAnsi="Arial"/>
        </w:rPr>
        <w:footnoteRef/>
      </w:r>
      <w:r w:rsidRPr="00B018D6">
        <w:rPr>
          <w:rFonts w:ascii="Arial" w:hAnsi="Arial"/>
        </w:rPr>
        <w:t xml:space="preserve"> ISBAR is a tool designed to streamline communication across and within clinical settings by creating structured organisation of handover information. It stands for </w:t>
      </w:r>
      <w:r w:rsidR="00280104" w:rsidRPr="00280104">
        <w:rPr>
          <w:rFonts w:ascii="Arial" w:hAnsi="Arial"/>
        </w:rPr>
        <w:t>introduction</w:t>
      </w:r>
      <w:r w:rsidRPr="00B018D6">
        <w:rPr>
          <w:rFonts w:ascii="Arial" w:hAnsi="Arial"/>
        </w:rPr>
        <w:t>, situation, background, assessment and recommendation.</w:t>
      </w:r>
    </w:p>
  </w:footnote>
  <w:footnote w:id="6">
    <w:p w14:paraId="2BAD7894" w14:textId="0AC9DA02" w:rsidR="00640D42" w:rsidRPr="00B018D6" w:rsidRDefault="00640D42" w:rsidP="00640D42">
      <w:pPr>
        <w:pStyle w:val="FootnoteText"/>
        <w:rPr>
          <w:rFonts w:ascii="Arial" w:hAnsi="Arial"/>
        </w:rPr>
      </w:pPr>
      <w:r w:rsidRPr="00B018D6">
        <w:rPr>
          <w:rStyle w:val="FootnoteReference"/>
          <w:rFonts w:ascii="Arial" w:hAnsi="Arial"/>
        </w:rPr>
        <w:footnoteRef/>
      </w:r>
      <w:r w:rsidRPr="00B018D6">
        <w:rPr>
          <w:rFonts w:ascii="Arial" w:hAnsi="Arial"/>
        </w:rPr>
        <w:t xml:space="preserve"> A specific software programme designed as an electronic record for maternity and neonatal care used by some organisations in Aotearoa New Zealand. Referred to as the Aotearoa BadgerNet Perinatal Spine. A secure information-sharing system that will enable a single point-of-care clinical record for each pregnancy in Aotearoa New Zealand, even where multiple health professionals using different IT platforms are involved in providing maternity care (</w:t>
      </w:r>
      <w:hyperlink r:id="rId1" w:history="1">
        <w:r w:rsidR="000A2D1C" w:rsidRPr="00151312">
          <w:rPr>
            <w:rStyle w:val="Hyperlink"/>
            <w:rFonts w:ascii="Arial" w:hAnsi="Arial"/>
          </w:rPr>
          <w:t>www.tewhatuora.govt.nz/for-health-professionals/health-workforce-development/maternity/aotearoa-badgernet-perinatal-spine/</w:t>
        </w:r>
      </w:hyperlink>
      <w:r w:rsidRPr="00B018D6">
        <w:rPr>
          <w:rFonts w:ascii="Arial" w:hAnsi="Arial"/>
        </w:rPr>
        <w:t>).</w:t>
      </w:r>
    </w:p>
    <w:p w14:paraId="38F78DEC" w14:textId="77777777" w:rsidR="00640D42" w:rsidRPr="00B018D6" w:rsidRDefault="00640D42" w:rsidP="00640D42">
      <w:pPr>
        <w:pStyle w:val="FootnoteText"/>
        <w:rPr>
          <w:rFonts w:ascii="Arial" w:hAnsi="Arial"/>
        </w:rPr>
      </w:pPr>
    </w:p>
  </w:footnote>
  <w:footnote w:id="7">
    <w:p w14:paraId="0C0C6D81" w14:textId="72CB1396" w:rsidR="00640D42" w:rsidRPr="00B018D6" w:rsidRDefault="00640D42" w:rsidP="00640D42">
      <w:pPr>
        <w:pStyle w:val="FootnoteText"/>
        <w:rPr>
          <w:rFonts w:ascii="Arial" w:hAnsi="Arial"/>
        </w:rPr>
      </w:pPr>
      <w:r w:rsidRPr="00B018D6">
        <w:rPr>
          <w:rStyle w:val="FootnoteReference"/>
          <w:rFonts w:ascii="Arial" w:hAnsi="Arial"/>
        </w:rPr>
        <w:footnoteRef/>
      </w:r>
      <w:r w:rsidRPr="00B018D6">
        <w:rPr>
          <w:rFonts w:ascii="Arial" w:hAnsi="Arial"/>
        </w:rPr>
        <w:t xml:space="preserve"> </w:t>
      </w:r>
      <w:r w:rsidRPr="00B018D6">
        <w:rPr>
          <w:rFonts w:ascii="Arial" w:hAnsi="Arial"/>
          <w:bCs/>
        </w:rPr>
        <w:t>Root cause analysis (</w:t>
      </w:r>
      <w:proofErr w:type="spellStart"/>
      <w:r w:rsidRPr="00B018D6">
        <w:rPr>
          <w:rFonts w:ascii="Arial" w:hAnsi="Arial"/>
        </w:rPr>
        <w:t>TapRoot</w:t>
      </w:r>
      <w:proofErr w:type="spellEnd"/>
      <w:r w:rsidRPr="00B018D6">
        <w:rPr>
          <w:rFonts w:ascii="Arial" w:hAnsi="Arial"/>
          <w:vertAlign w:val="superscript"/>
        </w:rPr>
        <w:t>®</w:t>
      </w:r>
      <w:r w:rsidRPr="00B018D6">
        <w:rPr>
          <w:rFonts w:ascii="Arial" w:hAnsi="Arial"/>
        </w:rPr>
        <w:t xml:space="preserve">): </w:t>
      </w:r>
      <w:r w:rsidR="0047778B">
        <w:rPr>
          <w:rFonts w:ascii="Arial" w:hAnsi="Arial"/>
        </w:rPr>
        <w:t>a</w:t>
      </w:r>
      <w:r w:rsidRPr="00B018D6">
        <w:rPr>
          <w:rFonts w:ascii="Arial" w:hAnsi="Arial"/>
        </w:rPr>
        <w:t xml:space="preserve"> review method that looks at cause and effect, designed to uncover mistakes or failures that, if corrected, could have prevented the incident from occurring or would have significantly reduced its consequence.</w:t>
      </w:r>
    </w:p>
  </w:footnote>
  <w:footnote w:id="8">
    <w:p w14:paraId="53D1AE60" w14:textId="77777777" w:rsidR="00640D42" w:rsidRPr="00B018D6" w:rsidRDefault="00640D42" w:rsidP="00640D42">
      <w:pPr>
        <w:spacing w:after="0"/>
        <w:rPr>
          <w:color w:val="000000" w:themeColor="text1"/>
          <w:sz w:val="20"/>
          <w:szCs w:val="20"/>
          <w:lang w:val="mi-NZ"/>
        </w:rPr>
      </w:pPr>
      <w:r w:rsidRPr="00B018D6">
        <w:rPr>
          <w:rStyle w:val="FootnoteReference"/>
          <w:color w:val="000000" w:themeColor="text1"/>
          <w:sz w:val="20"/>
          <w:szCs w:val="20"/>
        </w:rPr>
        <w:footnoteRef/>
      </w:r>
      <w:r w:rsidRPr="00B018D6">
        <w:rPr>
          <w:color w:val="000000" w:themeColor="text1"/>
          <w:sz w:val="20"/>
          <w:szCs w:val="20"/>
        </w:rPr>
        <w:t xml:space="preserve"> The 2023 policy further strengthens the need for consumers and whānau to have the opportunity to share their stories about the care they have (or have not) received as part of the review process and aligns with the </w:t>
      </w:r>
      <w:r w:rsidRPr="00B018D6">
        <w:rPr>
          <w:color w:val="000000" w:themeColor="text1"/>
          <w:sz w:val="20"/>
          <w:szCs w:val="20"/>
          <w:shd w:val="clear" w:color="auto" w:fill="FFFFFF"/>
        </w:rPr>
        <w:t>code of expectations for health entities’ engagement with consumers and whānau (Te Tāhū Hauora Health Quality &amp; Safety Commission</w:t>
      </w:r>
      <w:r w:rsidRPr="00B018D6">
        <w:rPr>
          <w:rFonts w:eastAsia="Roboto"/>
          <w:color w:val="000000" w:themeColor="text1"/>
          <w:sz w:val="20"/>
          <w:szCs w:val="20"/>
        </w:rPr>
        <w:t xml:space="preserve"> </w:t>
      </w:r>
      <w:r w:rsidRPr="00B018D6">
        <w:rPr>
          <w:color w:val="000000" w:themeColor="text1"/>
          <w:sz w:val="20"/>
          <w:szCs w:val="20"/>
        </w:rPr>
        <w:t>2023).</w:t>
      </w:r>
    </w:p>
    <w:p w14:paraId="2E1B81C7" w14:textId="77777777" w:rsidR="00640D42" w:rsidRPr="00B018D6" w:rsidRDefault="00640D42" w:rsidP="00640D42">
      <w:pPr>
        <w:pStyle w:val="FootnoteText"/>
        <w:rPr>
          <w:rFonts w:ascii="Arial" w:hAnsi="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A5E93" w14:textId="78F748F5" w:rsidR="000F3896" w:rsidRPr="007F557E" w:rsidRDefault="007802D2" w:rsidP="007F557E">
    <w:pPr>
      <w:pStyle w:val="Header"/>
    </w:pPr>
    <w:r w:rsidRPr="007802D2">
      <w:t>A qualitative thematic analysis of maternity adverse events reported 1 July 2018–30 June 2023</w:t>
    </w:r>
    <w:r>
      <w:t xml:space="preserve"> </w:t>
    </w:r>
    <w:r w:rsidR="007F557E" w:rsidRPr="007F557E">
      <w:t xml:space="preserve">| </w:t>
    </w:r>
    <w:r w:rsidR="00A47C3D">
      <w:t>June 2024</w:t>
    </w:r>
    <w:r w:rsidR="007F557E" w:rsidRPr="007F557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48E4F" w14:textId="105EB43B" w:rsidR="00581FC8" w:rsidRPr="00E20F44" w:rsidRDefault="00E20F44" w:rsidP="00E20F44">
    <w:pPr>
      <w:pStyle w:val="Header"/>
    </w:pPr>
    <w:r w:rsidRPr="00E20F44">
      <w:rPr>
        <w:noProof/>
      </w:rPr>
      <w:drawing>
        <wp:anchor distT="0" distB="0" distL="114300" distR="114300" simplePos="0" relativeHeight="251658240" behindDoc="1" locked="0" layoutInCell="1" allowOverlap="1" wp14:anchorId="3FB53A03" wp14:editId="4AC8B1ED">
          <wp:simplePos x="0" y="0"/>
          <wp:positionH relativeFrom="column">
            <wp:posOffset>4330700</wp:posOffset>
          </wp:positionH>
          <wp:positionV relativeFrom="paragraph">
            <wp:posOffset>-163830</wp:posOffset>
          </wp:positionV>
          <wp:extent cx="1439545" cy="1287145"/>
          <wp:effectExtent l="0" t="0" r="8255" b="82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545" cy="1287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0F8635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BCC75DE"/>
    <w:lvl w:ilvl="0">
      <w:start w:val="1"/>
      <w:numFmt w:val="bullet"/>
      <w:pStyle w:val="Bullets"/>
      <w:lvlText w:val=""/>
      <w:lvlJc w:val="left"/>
      <w:pPr>
        <w:tabs>
          <w:tab w:val="num" w:pos="360"/>
        </w:tabs>
        <w:ind w:left="360" w:hanging="360"/>
      </w:pPr>
      <w:rPr>
        <w:rFonts w:ascii="Symbol" w:hAnsi="Symbol" w:hint="default"/>
        <w:color w:val="000000" w:themeColor="text1"/>
      </w:rPr>
    </w:lvl>
  </w:abstractNum>
  <w:abstractNum w:abstractNumId="2" w15:restartNumberingAfterBreak="0">
    <w:nsid w:val="045D1A0B"/>
    <w:multiLevelType w:val="multilevel"/>
    <w:tmpl w:val="E62EF77C"/>
    <w:styleLink w:val="CurrentList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000CDE"/>
    <w:multiLevelType w:val="hybridMultilevel"/>
    <w:tmpl w:val="DAE043E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D3C6B9C"/>
    <w:multiLevelType w:val="hybridMultilevel"/>
    <w:tmpl w:val="1B1C7B4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FCE07BD"/>
    <w:multiLevelType w:val="hybridMultilevel"/>
    <w:tmpl w:val="66D8CD38"/>
    <w:lvl w:ilvl="0" w:tplc="1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DB59DA"/>
    <w:multiLevelType w:val="multilevel"/>
    <w:tmpl w:val="88E4084C"/>
    <w:numStyleLink w:val="Endash-twolevels"/>
  </w:abstractNum>
  <w:abstractNum w:abstractNumId="7" w15:restartNumberingAfterBreak="0">
    <w:nsid w:val="167A77B9"/>
    <w:multiLevelType w:val="hybridMultilevel"/>
    <w:tmpl w:val="5A6448EC"/>
    <w:lvl w:ilvl="0" w:tplc="14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E0C7C0E"/>
    <w:multiLevelType w:val="hybridMultilevel"/>
    <w:tmpl w:val="3970FE0C"/>
    <w:lvl w:ilvl="0" w:tplc="D52EC6B2">
      <w:start w:val="2"/>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F734985"/>
    <w:multiLevelType w:val="hybridMultilevel"/>
    <w:tmpl w:val="7666A3A6"/>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CC007C0"/>
    <w:multiLevelType w:val="multilevel"/>
    <w:tmpl w:val="9FA2A81A"/>
    <w:styleLink w:val="CurrentList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FF746E5"/>
    <w:multiLevelType w:val="multilevel"/>
    <w:tmpl w:val="88E4084C"/>
    <w:styleLink w:val="Endash-twolevels"/>
    <w:lvl w:ilvl="0">
      <w:start w:val="1"/>
      <w:numFmt w:val="bullet"/>
      <w:lvlText w:val="–"/>
      <w:lvlJc w:val="left"/>
      <w:pPr>
        <w:ind w:left="357" w:hanging="357"/>
      </w:pPr>
      <w:rPr>
        <w:rFonts w:ascii="Arial" w:hAnsi="Arial" w:hint="default"/>
        <w:color w:val="000000"/>
      </w:rPr>
    </w:lvl>
    <w:lvl w:ilvl="1">
      <w:start w:val="1"/>
      <w:numFmt w:val="bullet"/>
      <w:lvlText w:val="–"/>
      <w:lvlJc w:val="left"/>
      <w:pPr>
        <w:ind w:left="720" w:hanging="363"/>
      </w:pPr>
      <w:rPr>
        <w:rFonts w:ascii="Arial" w:hAnsi="Arial" w:hint="default"/>
        <w:color w:val="000000"/>
      </w:rPr>
    </w:lvl>
    <w:lvl w:ilvl="2">
      <w:start w:val="1"/>
      <w:numFmt w:val="bullet"/>
      <w:lvlText w:val="–"/>
      <w:lvlJc w:val="left"/>
      <w:pPr>
        <w:ind w:left="1134" w:hanging="414"/>
      </w:pPr>
      <w:rPr>
        <w:rFonts w:ascii="Arial" w:hAnsi="Arial" w:hint="default"/>
        <w:color w:val="000000"/>
      </w:rPr>
    </w:lvl>
    <w:lvl w:ilvl="3">
      <w:start w:val="1"/>
      <w:numFmt w:val="none"/>
      <w:lvlText w:val=""/>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2" w15:restartNumberingAfterBreak="0">
    <w:nsid w:val="310D0720"/>
    <w:multiLevelType w:val="hybridMultilevel"/>
    <w:tmpl w:val="90429ABC"/>
    <w:lvl w:ilvl="0" w:tplc="BA0CDD84">
      <w:start w:val="1"/>
      <w:numFmt w:val="decimal"/>
      <w:lvlText w:val="%1."/>
      <w:lvlJc w:val="left"/>
      <w:pPr>
        <w:ind w:left="502" w:hanging="360"/>
      </w:pPr>
      <w:rPr>
        <w:rFonts w:hint="default"/>
        <w:color w:val="000000" w:themeColor="text1"/>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3" w15:restartNumberingAfterBreak="0">
    <w:nsid w:val="34AF6955"/>
    <w:multiLevelType w:val="hybridMultilevel"/>
    <w:tmpl w:val="83DE80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4B240A6"/>
    <w:multiLevelType w:val="multilevel"/>
    <w:tmpl w:val="88E4084C"/>
    <w:numStyleLink w:val="Endash-twolevels"/>
  </w:abstractNum>
  <w:abstractNum w:abstractNumId="15" w15:restartNumberingAfterBreak="0">
    <w:nsid w:val="3D29109C"/>
    <w:multiLevelType w:val="hybridMultilevel"/>
    <w:tmpl w:val="CC4AF280"/>
    <w:styleLink w:val="Dash"/>
    <w:lvl w:ilvl="0" w:tplc="A5D216C6">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046095B"/>
    <w:multiLevelType w:val="multilevel"/>
    <w:tmpl w:val="9FA2A81A"/>
    <w:styleLink w:val="CurrentList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0FB221C"/>
    <w:multiLevelType w:val="hybridMultilevel"/>
    <w:tmpl w:val="2A00C090"/>
    <w:lvl w:ilvl="0" w:tplc="FFFFFFFF">
      <w:start w:val="1"/>
      <w:numFmt w:val="decimal"/>
      <w:lvlText w:val="%1."/>
      <w:lvlJc w:val="left"/>
      <w:pPr>
        <w:ind w:left="360" w:hanging="360"/>
      </w:pPr>
    </w:lvl>
    <w:lvl w:ilvl="1" w:tplc="14090001">
      <w:start w:val="1"/>
      <w:numFmt w:val="bullet"/>
      <w:lvlText w:val=""/>
      <w:lvlJc w:val="left"/>
      <w:pPr>
        <w:ind w:left="360" w:hanging="360"/>
      </w:pPr>
      <w:rPr>
        <w:rFonts w:ascii="Symbol" w:hAnsi="Symbol" w:hint="default"/>
      </w:rPr>
    </w:lvl>
    <w:lvl w:ilvl="2" w:tplc="14090003">
      <w:start w:val="1"/>
      <w:numFmt w:val="bullet"/>
      <w:lvlText w:val="o"/>
      <w:lvlJc w:val="left"/>
      <w:pPr>
        <w:ind w:left="1980" w:hanging="360"/>
      </w:pPr>
      <w:rPr>
        <w:rFonts w:ascii="Courier New" w:hAnsi="Courier New" w:cs="Courier New" w:hint="default"/>
      </w:r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8" w15:restartNumberingAfterBreak="0">
    <w:nsid w:val="433B6D40"/>
    <w:multiLevelType w:val="multilevel"/>
    <w:tmpl w:val="FB0248A6"/>
    <w:styleLink w:val="letters-twoandtwo"/>
    <w:lvl w:ilvl="0">
      <w:start w:val="1"/>
      <w:numFmt w:val="lowerLetter"/>
      <w:pStyle w:val="Letters-twoandtwo0"/>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tabs>
          <w:tab w:val="num" w:pos="624"/>
        </w:tabs>
        <w:ind w:left="357" w:hanging="73"/>
      </w:pPr>
      <w:rPr>
        <w:rFonts w:hint="default"/>
      </w:rPr>
    </w:lvl>
    <w:lvl w:ilvl="3">
      <w:start w:val="1"/>
      <w:numFmt w:val="lowerRoman"/>
      <w:lvlText w:val="%4."/>
      <w:lvlJc w:val="right"/>
      <w:pPr>
        <w:ind w:left="720" w:hanging="153"/>
      </w:pPr>
      <w:rPr>
        <w:rFonts w:hint="default"/>
      </w:rPr>
    </w:lvl>
    <w:lvl w:ilvl="4">
      <w:start w:val="1"/>
      <w:numFmt w:val="none"/>
      <w:lvlText w:val="%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9" w15:restartNumberingAfterBreak="0">
    <w:nsid w:val="45D07E20"/>
    <w:multiLevelType w:val="multilevel"/>
    <w:tmpl w:val="4FAE1AC6"/>
    <w:styleLink w:val="CurrentList3"/>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4B77599A"/>
    <w:multiLevelType w:val="hybridMultilevel"/>
    <w:tmpl w:val="28DABBB4"/>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FB51F8D"/>
    <w:multiLevelType w:val="hybridMultilevel"/>
    <w:tmpl w:val="5D785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0C60AEC"/>
    <w:multiLevelType w:val="hybridMultilevel"/>
    <w:tmpl w:val="585E9286"/>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2DF6EE6"/>
    <w:multiLevelType w:val="hybridMultilevel"/>
    <w:tmpl w:val="B2C2308C"/>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4" w15:restartNumberingAfterBreak="0">
    <w:nsid w:val="52EB4218"/>
    <w:multiLevelType w:val="hybridMultilevel"/>
    <w:tmpl w:val="BF187018"/>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7231990"/>
    <w:multiLevelType w:val="hybridMultilevel"/>
    <w:tmpl w:val="A488640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A006EAC"/>
    <w:multiLevelType w:val="hybridMultilevel"/>
    <w:tmpl w:val="1444FCCE"/>
    <w:lvl w:ilvl="0" w:tplc="1B94426C">
      <w:start w:val="1"/>
      <w:numFmt w:val="bullet"/>
      <w:pStyle w:val="TableBullet"/>
      <w:lvlText w:val=""/>
      <w:lvlJc w:val="left"/>
      <w:pPr>
        <w:tabs>
          <w:tab w:val="num" w:pos="284"/>
        </w:tabs>
        <w:ind w:left="284" w:hanging="284"/>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BA5700"/>
    <w:multiLevelType w:val="multilevel"/>
    <w:tmpl w:val="4FAE1AC6"/>
    <w:styleLink w:val="CurrentList5"/>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5D554282"/>
    <w:multiLevelType w:val="hybridMultilevel"/>
    <w:tmpl w:val="98DA7F9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2CF7991"/>
    <w:multiLevelType w:val="hybridMultilevel"/>
    <w:tmpl w:val="1EE0EFB4"/>
    <w:lvl w:ilvl="0" w:tplc="14090001">
      <w:start w:val="1"/>
      <w:numFmt w:val="bullet"/>
      <w:lvlText w:val=""/>
      <w:lvlJc w:val="left"/>
      <w:pPr>
        <w:ind w:left="2340" w:hanging="360"/>
      </w:pPr>
      <w:rPr>
        <w:rFonts w:ascii="Symbol" w:hAnsi="Symbol" w:hint="default"/>
      </w:rPr>
    </w:lvl>
    <w:lvl w:ilvl="1" w:tplc="14090003" w:tentative="1">
      <w:start w:val="1"/>
      <w:numFmt w:val="bullet"/>
      <w:lvlText w:val="o"/>
      <w:lvlJc w:val="left"/>
      <w:pPr>
        <w:ind w:left="3060" w:hanging="360"/>
      </w:pPr>
      <w:rPr>
        <w:rFonts w:ascii="Courier New" w:hAnsi="Courier New" w:cs="Courier New" w:hint="default"/>
      </w:rPr>
    </w:lvl>
    <w:lvl w:ilvl="2" w:tplc="14090005" w:tentative="1">
      <w:start w:val="1"/>
      <w:numFmt w:val="bullet"/>
      <w:lvlText w:val=""/>
      <w:lvlJc w:val="left"/>
      <w:pPr>
        <w:ind w:left="3780" w:hanging="360"/>
      </w:pPr>
      <w:rPr>
        <w:rFonts w:ascii="Wingdings" w:hAnsi="Wingdings" w:hint="default"/>
      </w:rPr>
    </w:lvl>
    <w:lvl w:ilvl="3" w:tplc="14090001" w:tentative="1">
      <w:start w:val="1"/>
      <w:numFmt w:val="bullet"/>
      <w:lvlText w:val=""/>
      <w:lvlJc w:val="left"/>
      <w:pPr>
        <w:ind w:left="4500" w:hanging="360"/>
      </w:pPr>
      <w:rPr>
        <w:rFonts w:ascii="Symbol" w:hAnsi="Symbol" w:hint="default"/>
      </w:rPr>
    </w:lvl>
    <w:lvl w:ilvl="4" w:tplc="14090003" w:tentative="1">
      <w:start w:val="1"/>
      <w:numFmt w:val="bullet"/>
      <w:lvlText w:val="o"/>
      <w:lvlJc w:val="left"/>
      <w:pPr>
        <w:ind w:left="5220" w:hanging="360"/>
      </w:pPr>
      <w:rPr>
        <w:rFonts w:ascii="Courier New" w:hAnsi="Courier New" w:cs="Courier New" w:hint="default"/>
      </w:rPr>
    </w:lvl>
    <w:lvl w:ilvl="5" w:tplc="14090005" w:tentative="1">
      <w:start w:val="1"/>
      <w:numFmt w:val="bullet"/>
      <w:lvlText w:val=""/>
      <w:lvlJc w:val="left"/>
      <w:pPr>
        <w:ind w:left="5940" w:hanging="360"/>
      </w:pPr>
      <w:rPr>
        <w:rFonts w:ascii="Wingdings" w:hAnsi="Wingdings" w:hint="default"/>
      </w:rPr>
    </w:lvl>
    <w:lvl w:ilvl="6" w:tplc="14090001" w:tentative="1">
      <w:start w:val="1"/>
      <w:numFmt w:val="bullet"/>
      <w:lvlText w:val=""/>
      <w:lvlJc w:val="left"/>
      <w:pPr>
        <w:ind w:left="6660" w:hanging="360"/>
      </w:pPr>
      <w:rPr>
        <w:rFonts w:ascii="Symbol" w:hAnsi="Symbol" w:hint="default"/>
      </w:rPr>
    </w:lvl>
    <w:lvl w:ilvl="7" w:tplc="14090003" w:tentative="1">
      <w:start w:val="1"/>
      <w:numFmt w:val="bullet"/>
      <w:lvlText w:val="o"/>
      <w:lvlJc w:val="left"/>
      <w:pPr>
        <w:ind w:left="7380" w:hanging="360"/>
      </w:pPr>
      <w:rPr>
        <w:rFonts w:ascii="Courier New" w:hAnsi="Courier New" w:cs="Courier New" w:hint="default"/>
      </w:rPr>
    </w:lvl>
    <w:lvl w:ilvl="8" w:tplc="14090005" w:tentative="1">
      <w:start w:val="1"/>
      <w:numFmt w:val="bullet"/>
      <w:lvlText w:val=""/>
      <w:lvlJc w:val="left"/>
      <w:pPr>
        <w:ind w:left="8100" w:hanging="360"/>
      </w:pPr>
      <w:rPr>
        <w:rFonts w:ascii="Wingdings" w:hAnsi="Wingdings" w:hint="default"/>
      </w:rPr>
    </w:lvl>
  </w:abstractNum>
  <w:abstractNum w:abstractNumId="30" w15:restartNumberingAfterBreak="0">
    <w:nsid w:val="740E1D4E"/>
    <w:multiLevelType w:val="hybridMultilevel"/>
    <w:tmpl w:val="452CFD9C"/>
    <w:lvl w:ilvl="0" w:tplc="08D2E3EA">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4430145"/>
    <w:multiLevelType w:val="hybridMultilevel"/>
    <w:tmpl w:val="C9A0AA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7A780F1D"/>
    <w:multiLevelType w:val="multilevel"/>
    <w:tmpl w:val="88E4084C"/>
    <w:numStyleLink w:val="Endash-twolevels"/>
  </w:abstractNum>
  <w:abstractNum w:abstractNumId="33" w15:restartNumberingAfterBreak="0">
    <w:nsid w:val="7D3E7637"/>
    <w:multiLevelType w:val="hybridMultilevel"/>
    <w:tmpl w:val="C770B92E"/>
    <w:lvl w:ilvl="0" w:tplc="BF1E7448">
      <w:start w:val="1"/>
      <w:numFmt w:val="bullet"/>
      <w:lvlText w:val="c"/>
      <w:lvlJc w:val="left"/>
      <w:pPr>
        <w:ind w:left="360" w:hanging="360"/>
      </w:pPr>
      <w:rPr>
        <w:rFonts w:ascii="Webdings" w:hAnsi="Webdings"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7FD031C6"/>
    <w:multiLevelType w:val="hybridMultilevel"/>
    <w:tmpl w:val="A5D216C6"/>
    <w:lvl w:ilvl="0" w:tplc="A5D216C6">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970020608">
    <w:abstractNumId w:val="0"/>
  </w:num>
  <w:num w:numId="2" w16cid:durableId="936063597">
    <w:abstractNumId w:val="1"/>
  </w:num>
  <w:num w:numId="3" w16cid:durableId="951011616">
    <w:abstractNumId w:val="2"/>
  </w:num>
  <w:num w:numId="4" w16cid:durableId="582882645">
    <w:abstractNumId w:val="10"/>
  </w:num>
  <w:num w:numId="5" w16cid:durableId="438449009">
    <w:abstractNumId w:val="19"/>
  </w:num>
  <w:num w:numId="6" w16cid:durableId="1024400573">
    <w:abstractNumId w:val="16"/>
  </w:num>
  <w:num w:numId="7" w16cid:durableId="899245203">
    <w:abstractNumId w:val="27"/>
  </w:num>
  <w:num w:numId="8" w16cid:durableId="576718295">
    <w:abstractNumId w:val="34"/>
  </w:num>
  <w:num w:numId="9" w16cid:durableId="1141195236">
    <w:abstractNumId w:val="11"/>
  </w:num>
  <w:num w:numId="10" w16cid:durableId="801966087">
    <w:abstractNumId w:val="18"/>
  </w:num>
  <w:num w:numId="11" w16cid:durableId="718897049">
    <w:abstractNumId w:val="0"/>
  </w:num>
  <w:num w:numId="12" w16cid:durableId="154346371">
    <w:abstractNumId w:val="26"/>
  </w:num>
  <w:num w:numId="13" w16cid:durableId="1837259871">
    <w:abstractNumId w:val="32"/>
  </w:num>
  <w:num w:numId="14" w16cid:durableId="2058359522">
    <w:abstractNumId w:val="6"/>
  </w:num>
  <w:num w:numId="15" w16cid:durableId="1152065028">
    <w:abstractNumId w:val="0"/>
    <w:lvlOverride w:ilvl="0">
      <w:startOverride w:val="1"/>
    </w:lvlOverride>
  </w:num>
  <w:num w:numId="16" w16cid:durableId="1006908126">
    <w:abstractNumId w:val="14"/>
  </w:num>
  <w:num w:numId="17" w16cid:durableId="516429960">
    <w:abstractNumId w:val="18"/>
  </w:num>
  <w:num w:numId="18" w16cid:durableId="1185284096">
    <w:abstractNumId w:val="18"/>
  </w:num>
  <w:num w:numId="19" w16cid:durableId="19969506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7197278">
    <w:abstractNumId w:val="17"/>
  </w:num>
  <w:num w:numId="21" w16cid:durableId="1969049481">
    <w:abstractNumId w:val="3"/>
  </w:num>
  <w:num w:numId="22" w16cid:durableId="1113013335">
    <w:abstractNumId w:val="30"/>
  </w:num>
  <w:num w:numId="23" w16cid:durableId="837427036">
    <w:abstractNumId w:val="25"/>
  </w:num>
  <w:num w:numId="24" w16cid:durableId="577520139">
    <w:abstractNumId w:val="28"/>
  </w:num>
  <w:num w:numId="25" w16cid:durableId="313682761">
    <w:abstractNumId w:val="9"/>
  </w:num>
  <w:num w:numId="26" w16cid:durableId="1947888902">
    <w:abstractNumId w:val="22"/>
  </w:num>
  <w:num w:numId="27" w16cid:durableId="20131888">
    <w:abstractNumId w:val="24"/>
  </w:num>
  <w:num w:numId="28" w16cid:durableId="756554948">
    <w:abstractNumId w:val="21"/>
  </w:num>
  <w:num w:numId="29" w16cid:durableId="1344866049">
    <w:abstractNumId w:val="8"/>
  </w:num>
  <w:num w:numId="30" w16cid:durableId="56824373">
    <w:abstractNumId w:val="5"/>
  </w:num>
  <w:num w:numId="31" w16cid:durableId="1052002067">
    <w:abstractNumId w:val="31"/>
  </w:num>
  <w:num w:numId="32" w16cid:durableId="664624058">
    <w:abstractNumId w:val="13"/>
  </w:num>
  <w:num w:numId="33" w16cid:durableId="463426254">
    <w:abstractNumId w:val="33"/>
  </w:num>
  <w:num w:numId="34" w16cid:durableId="1013143820">
    <w:abstractNumId w:val="12"/>
  </w:num>
  <w:num w:numId="35" w16cid:durableId="1404137083">
    <w:abstractNumId w:val="7"/>
  </w:num>
  <w:num w:numId="36" w16cid:durableId="800077761">
    <w:abstractNumId w:val="20"/>
  </w:num>
  <w:num w:numId="37" w16cid:durableId="731850977">
    <w:abstractNumId w:val="4"/>
  </w:num>
  <w:num w:numId="38" w16cid:durableId="94861318">
    <w:abstractNumId w:val="29"/>
  </w:num>
  <w:num w:numId="39" w16cid:durableId="183136382">
    <w:abstractNumId w:val="15"/>
  </w:num>
  <w:num w:numId="40" w16cid:durableId="14180164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efaultTableStyle w:val="HQSCdefault"/>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7E"/>
    <w:rsid w:val="00001E88"/>
    <w:rsid w:val="00003859"/>
    <w:rsid w:val="00004938"/>
    <w:rsid w:val="00006AA1"/>
    <w:rsid w:val="000078E9"/>
    <w:rsid w:val="00012E0D"/>
    <w:rsid w:val="000137B0"/>
    <w:rsid w:val="0001488F"/>
    <w:rsid w:val="00016625"/>
    <w:rsid w:val="00016EF2"/>
    <w:rsid w:val="000212E7"/>
    <w:rsid w:val="00026434"/>
    <w:rsid w:val="000347ED"/>
    <w:rsid w:val="000358DC"/>
    <w:rsid w:val="0004019B"/>
    <w:rsid w:val="00040E2F"/>
    <w:rsid w:val="00041D20"/>
    <w:rsid w:val="00046595"/>
    <w:rsid w:val="00046D8F"/>
    <w:rsid w:val="00047599"/>
    <w:rsid w:val="0005015D"/>
    <w:rsid w:val="000512AB"/>
    <w:rsid w:val="00053AA2"/>
    <w:rsid w:val="00060CEF"/>
    <w:rsid w:val="00062390"/>
    <w:rsid w:val="00062784"/>
    <w:rsid w:val="000632E1"/>
    <w:rsid w:val="0006361B"/>
    <w:rsid w:val="00066C91"/>
    <w:rsid w:val="00071545"/>
    <w:rsid w:val="00071993"/>
    <w:rsid w:val="0007391C"/>
    <w:rsid w:val="00077660"/>
    <w:rsid w:val="00084BA8"/>
    <w:rsid w:val="0008717B"/>
    <w:rsid w:val="00094060"/>
    <w:rsid w:val="00096B71"/>
    <w:rsid w:val="00096D49"/>
    <w:rsid w:val="000A1F10"/>
    <w:rsid w:val="000A21A6"/>
    <w:rsid w:val="000A2D1C"/>
    <w:rsid w:val="000A3A5B"/>
    <w:rsid w:val="000B5BFD"/>
    <w:rsid w:val="000B6696"/>
    <w:rsid w:val="000B6866"/>
    <w:rsid w:val="000B7D15"/>
    <w:rsid w:val="000C1C67"/>
    <w:rsid w:val="000C2518"/>
    <w:rsid w:val="000C28C2"/>
    <w:rsid w:val="000C4623"/>
    <w:rsid w:val="000C77BE"/>
    <w:rsid w:val="000D04C1"/>
    <w:rsid w:val="000D15C0"/>
    <w:rsid w:val="000D2124"/>
    <w:rsid w:val="000D4A83"/>
    <w:rsid w:val="000D4C45"/>
    <w:rsid w:val="000E0904"/>
    <w:rsid w:val="000E12E3"/>
    <w:rsid w:val="000E1BC6"/>
    <w:rsid w:val="000E47BD"/>
    <w:rsid w:val="000E679F"/>
    <w:rsid w:val="000F3896"/>
    <w:rsid w:val="000F3DCF"/>
    <w:rsid w:val="000F6B21"/>
    <w:rsid w:val="000F7071"/>
    <w:rsid w:val="000F7381"/>
    <w:rsid w:val="001055B3"/>
    <w:rsid w:val="00106524"/>
    <w:rsid w:val="00113989"/>
    <w:rsid w:val="00114F13"/>
    <w:rsid w:val="00121D64"/>
    <w:rsid w:val="00122709"/>
    <w:rsid w:val="001239A5"/>
    <w:rsid w:val="001265BC"/>
    <w:rsid w:val="00126C8E"/>
    <w:rsid w:val="00126E1C"/>
    <w:rsid w:val="001274E3"/>
    <w:rsid w:val="00130D5C"/>
    <w:rsid w:val="00131457"/>
    <w:rsid w:val="001334F8"/>
    <w:rsid w:val="00137155"/>
    <w:rsid w:val="001421A8"/>
    <w:rsid w:val="001448FA"/>
    <w:rsid w:val="00146DB6"/>
    <w:rsid w:val="00146FFE"/>
    <w:rsid w:val="001502E6"/>
    <w:rsid w:val="0015681B"/>
    <w:rsid w:val="001571C0"/>
    <w:rsid w:val="00163024"/>
    <w:rsid w:val="001635B7"/>
    <w:rsid w:val="00164E3B"/>
    <w:rsid w:val="0016580B"/>
    <w:rsid w:val="00171A2D"/>
    <w:rsid w:val="00175AB2"/>
    <w:rsid w:val="00177367"/>
    <w:rsid w:val="00187980"/>
    <w:rsid w:val="00190B1A"/>
    <w:rsid w:val="0019341A"/>
    <w:rsid w:val="001979D4"/>
    <w:rsid w:val="001A243C"/>
    <w:rsid w:val="001A2494"/>
    <w:rsid w:val="001A5C55"/>
    <w:rsid w:val="001A6640"/>
    <w:rsid w:val="001A792C"/>
    <w:rsid w:val="001B1BE7"/>
    <w:rsid w:val="001B338A"/>
    <w:rsid w:val="001B361B"/>
    <w:rsid w:val="001B698A"/>
    <w:rsid w:val="001C2EFD"/>
    <w:rsid w:val="001C49AA"/>
    <w:rsid w:val="001C50C6"/>
    <w:rsid w:val="001D0046"/>
    <w:rsid w:val="001D3B4D"/>
    <w:rsid w:val="001D43CF"/>
    <w:rsid w:val="001F6282"/>
    <w:rsid w:val="001F6FE0"/>
    <w:rsid w:val="00201E31"/>
    <w:rsid w:val="002063D3"/>
    <w:rsid w:val="00207364"/>
    <w:rsid w:val="00216266"/>
    <w:rsid w:val="00223FA5"/>
    <w:rsid w:val="00224811"/>
    <w:rsid w:val="00224A0A"/>
    <w:rsid w:val="002276FD"/>
    <w:rsid w:val="0023112D"/>
    <w:rsid w:val="002413C2"/>
    <w:rsid w:val="002417AC"/>
    <w:rsid w:val="00242850"/>
    <w:rsid w:val="00242EF5"/>
    <w:rsid w:val="00243344"/>
    <w:rsid w:val="002433B7"/>
    <w:rsid w:val="00245FB4"/>
    <w:rsid w:val="00251471"/>
    <w:rsid w:val="002536C4"/>
    <w:rsid w:val="00253D93"/>
    <w:rsid w:val="002653E7"/>
    <w:rsid w:val="0027590E"/>
    <w:rsid w:val="00280104"/>
    <w:rsid w:val="002803CA"/>
    <w:rsid w:val="002819B2"/>
    <w:rsid w:val="00285F35"/>
    <w:rsid w:val="002919BE"/>
    <w:rsid w:val="00292920"/>
    <w:rsid w:val="002933BC"/>
    <w:rsid w:val="00295243"/>
    <w:rsid w:val="00295FF4"/>
    <w:rsid w:val="0029646E"/>
    <w:rsid w:val="002A1162"/>
    <w:rsid w:val="002A6D9A"/>
    <w:rsid w:val="002A6F12"/>
    <w:rsid w:val="002B027E"/>
    <w:rsid w:val="002B763B"/>
    <w:rsid w:val="002B7A6B"/>
    <w:rsid w:val="002C0E4A"/>
    <w:rsid w:val="002C4FCC"/>
    <w:rsid w:val="002C6571"/>
    <w:rsid w:val="002D1B96"/>
    <w:rsid w:val="002D1F86"/>
    <w:rsid w:val="002E1D49"/>
    <w:rsid w:val="002E3BA7"/>
    <w:rsid w:val="002F43F4"/>
    <w:rsid w:val="00305136"/>
    <w:rsid w:val="00305834"/>
    <w:rsid w:val="00306CAB"/>
    <w:rsid w:val="0030780F"/>
    <w:rsid w:val="00313084"/>
    <w:rsid w:val="0031462C"/>
    <w:rsid w:val="00314D1C"/>
    <w:rsid w:val="00320B96"/>
    <w:rsid w:val="00321612"/>
    <w:rsid w:val="003307E7"/>
    <w:rsid w:val="00332168"/>
    <w:rsid w:val="0033331F"/>
    <w:rsid w:val="003406A6"/>
    <w:rsid w:val="00341074"/>
    <w:rsid w:val="00342084"/>
    <w:rsid w:val="0034789F"/>
    <w:rsid w:val="003503DC"/>
    <w:rsid w:val="0035529C"/>
    <w:rsid w:val="003579E1"/>
    <w:rsid w:val="003618E2"/>
    <w:rsid w:val="0036493C"/>
    <w:rsid w:val="00364C05"/>
    <w:rsid w:val="00366954"/>
    <w:rsid w:val="00366CCF"/>
    <w:rsid w:val="003701EA"/>
    <w:rsid w:val="0037051A"/>
    <w:rsid w:val="00381026"/>
    <w:rsid w:val="00381F9D"/>
    <w:rsid w:val="00382EA3"/>
    <w:rsid w:val="00385737"/>
    <w:rsid w:val="00390570"/>
    <w:rsid w:val="00396BCB"/>
    <w:rsid w:val="00397635"/>
    <w:rsid w:val="003A1876"/>
    <w:rsid w:val="003A21A9"/>
    <w:rsid w:val="003A2812"/>
    <w:rsid w:val="003A555D"/>
    <w:rsid w:val="003A7934"/>
    <w:rsid w:val="003A7FB3"/>
    <w:rsid w:val="003B0051"/>
    <w:rsid w:val="003B0438"/>
    <w:rsid w:val="003C06F1"/>
    <w:rsid w:val="003C2338"/>
    <w:rsid w:val="003D26D4"/>
    <w:rsid w:val="003D7479"/>
    <w:rsid w:val="003E1622"/>
    <w:rsid w:val="003E163D"/>
    <w:rsid w:val="003E1AD1"/>
    <w:rsid w:val="003E2493"/>
    <w:rsid w:val="003E3FA6"/>
    <w:rsid w:val="003E4187"/>
    <w:rsid w:val="003E4266"/>
    <w:rsid w:val="003E5066"/>
    <w:rsid w:val="003E5876"/>
    <w:rsid w:val="003F0961"/>
    <w:rsid w:val="003F0D18"/>
    <w:rsid w:val="003F53B1"/>
    <w:rsid w:val="00403E99"/>
    <w:rsid w:val="0040719A"/>
    <w:rsid w:val="004074C1"/>
    <w:rsid w:val="00412CF0"/>
    <w:rsid w:val="00423C4A"/>
    <w:rsid w:val="0043184B"/>
    <w:rsid w:val="00442287"/>
    <w:rsid w:val="00444A7A"/>
    <w:rsid w:val="004451C9"/>
    <w:rsid w:val="00445611"/>
    <w:rsid w:val="00450947"/>
    <w:rsid w:val="0045451E"/>
    <w:rsid w:val="0045593A"/>
    <w:rsid w:val="0046033A"/>
    <w:rsid w:val="00462C71"/>
    <w:rsid w:val="00463296"/>
    <w:rsid w:val="00470ACC"/>
    <w:rsid w:val="0047102C"/>
    <w:rsid w:val="00472398"/>
    <w:rsid w:val="00472675"/>
    <w:rsid w:val="00472A88"/>
    <w:rsid w:val="0047778B"/>
    <w:rsid w:val="00482487"/>
    <w:rsid w:val="00484272"/>
    <w:rsid w:val="00485698"/>
    <w:rsid w:val="00485B0D"/>
    <w:rsid w:val="004868CD"/>
    <w:rsid w:val="00486CB6"/>
    <w:rsid w:val="004879B4"/>
    <w:rsid w:val="00490230"/>
    <w:rsid w:val="00490EDC"/>
    <w:rsid w:val="00491D62"/>
    <w:rsid w:val="00496C49"/>
    <w:rsid w:val="004A068C"/>
    <w:rsid w:val="004A185F"/>
    <w:rsid w:val="004A5A11"/>
    <w:rsid w:val="004B0586"/>
    <w:rsid w:val="004B05E7"/>
    <w:rsid w:val="004B1B07"/>
    <w:rsid w:val="004B6192"/>
    <w:rsid w:val="004B624C"/>
    <w:rsid w:val="004C30F7"/>
    <w:rsid w:val="004C37F0"/>
    <w:rsid w:val="004D1EEC"/>
    <w:rsid w:val="004D2B84"/>
    <w:rsid w:val="004E077D"/>
    <w:rsid w:val="004E2CD1"/>
    <w:rsid w:val="004E6686"/>
    <w:rsid w:val="004E78E8"/>
    <w:rsid w:val="004F09AA"/>
    <w:rsid w:val="004F3BE5"/>
    <w:rsid w:val="004F5B02"/>
    <w:rsid w:val="004F693F"/>
    <w:rsid w:val="00500558"/>
    <w:rsid w:val="00504A0E"/>
    <w:rsid w:val="00505937"/>
    <w:rsid w:val="0050715F"/>
    <w:rsid w:val="00507BA3"/>
    <w:rsid w:val="005126E1"/>
    <w:rsid w:val="0051420B"/>
    <w:rsid w:val="00515B57"/>
    <w:rsid w:val="00522C33"/>
    <w:rsid w:val="00523D04"/>
    <w:rsid w:val="00524EB5"/>
    <w:rsid w:val="00527104"/>
    <w:rsid w:val="00527A35"/>
    <w:rsid w:val="00530EE5"/>
    <w:rsid w:val="005317BF"/>
    <w:rsid w:val="005319CD"/>
    <w:rsid w:val="00533C09"/>
    <w:rsid w:val="005368E1"/>
    <w:rsid w:val="005377C5"/>
    <w:rsid w:val="0054255F"/>
    <w:rsid w:val="00544E99"/>
    <w:rsid w:val="005466BF"/>
    <w:rsid w:val="005504C3"/>
    <w:rsid w:val="00556F45"/>
    <w:rsid w:val="00562C6D"/>
    <w:rsid w:val="00563A53"/>
    <w:rsid w:val="00570719"/>
    <w:rsid w:val="00571039"/>
    <w:rsid w:val="0057265F"/>
    <w:rsid w:val="00572DAD"/>
    <w:rsid w:val="00573E8C"/>
    <w:rsid w:val="00577B5A"/>
    <w:rsid w:val="00581F34"/>
    <w:rsid w:val="00581FC8"/>
    <w:rsid w:val="00583F09"/>
    <w:rsid w:val="00584E62"/>
    <w:rsid w:val="005850F0"/>
    <w:rsid w:val="0058525A"/>
    <w:rsid w:val="00585F18"/>
    <w:rsid w:val="00586FCD"/>
    <w:rsid w:val="0059069D"/>
    <w:rsid w:val="00591CAF"/>
    <w:rsid w:val="005966BE"/>
    <w:rsid w:val="00596719"/>
    <w:rsid w:val="005A32B4"/>
    <w:rsid w:val="005A4070"/>
    <w:rsid w:val="005B0F36"/>
    <w:rsid w:val="005B1788"/>
    <w:rsid w:val="005B329F"/>
    <w:rsid w:val="005B3C0A"/>
    <w:rsid w:val="005B4F7A"/>
    <w:rsid w:val="005B51EC"/>
    <w:rsid w:val="005B5CAD"/>
    <w:rsid w:val="005C09CA"/>
    <w:rsid w:val="005C40CF"/>
    <w:rsid w:val="005C6425"/>
    <w:rsid w:val="005C660E"/>
    <w:rsid w:val="005D02B8"/>
    <w:rsid w:val="005D2257"/>
    <w:rsid w:val="005D2950"/>
    <w:rsid w:val="005D3D28"/>
    <w:rsid w:val="005D43DD"/>
    <w:rsid w:val="005D4E7F"/>
    <w:rsid w:val="005D5F98"/>
    <w:rsid w:val="005D7B53"/>
    <w:rsid w:val="005E071E"/>
    <w:rsid w:val="005E57B8"/>
    <w:rsid w:val="005E6DBE"/>
    <w:rsid w:val="005F34DB"/>
    <w:rsid w:val="006009D3"/>
    <w:rsid w:val="00606C83"/>
    <w:rsid w:val="0061455F"/>
    <w:rsid w:val="00614E05"/>
    <w:rsid w:val="006163B0"/>
    <w:rsid w:val="006218A0"/>
    <w:rsid w:val="0063162F"/>
    <w:rsid w:val="00640365"/>
    <w:rsid w:val="00640D42"/>
    <w:rsid w:val="006413DC"/>
    <w:rsid w:val="00643540"/>
    <w:rsid w:val="00644037"/>
    <w:rsid w:val="00644227"/>
    <w:rsid w:val="00644733"/>
    <w:rsid w:val="00644F7A"/>
    <w:rsid w:val="006474B7"/>
    <w:rsid w:val="00656A04"/>
    <w:rsid w:val="0065744D"/>
    <w:rsid w:val="00657A29"/>
    <w:rsid w:val="00665CD0"/>
    <w:rsid w:val="00667136"/>
    <w:rsid w:val="00672B54"/>
    <w:rsid w:val="00675D1A"/>
    <w:rsid w:val="00677658"/>
    <w:rsid w:val="00682297"/>
    <w:rsid w:val="0068366B"/>
    <w:rsid w:val="00692366"/>
    <w:rsid w:val="006A7D85"/>
    <w:rsid w:val="006B00C1"/>
    <w:rsid w:val="006B0DA2"/>
    <w:rsid w:val="006B771C"/>
    <w:rsid w:val="006C0657"/>
    <w:rsid w:val="006C55BF"/>
    <w:rsid w:val="006C55D8"/>
    <w:rsid w:val="006D659C"/>
    <w:rsid w:val="006E1D64"/>
    <w:rsid w:val="006E231D"/>
    <w:rsid w:val="006E2C2F"/>
    <w:rsid w:val="006E42C3"/>
    <w:rsid w:val="006E4FAB"/>
    <w:rsid w:val="006E5C72"/>
    <w:rsid w:val="006E7C23"/>
    <w:rsid w:val="006F60FD"/>
    <w:rsid w:val="007121F6"/>
    <w:rsid w:val="00716F7C"/>
    <w:rsid w:val="0071771B"/>
    <w:rsid w:val="007202D3"/>
    <w:rsid w:val="00722568"/>
    <w:rsid w:val="00722B87"/>
    <w:rsid w:val="00722CBF"/>
    <w:rsid w:val="007233CB"/>
    <w:rsid w:val="00723AC4"/>
    <w:rsid w:val="007256E5"/>
    <w:rsid w:val="00726127"/>
    <w:rsid w:val="007337AF"/>
    <w:rsid w:val="00737E04"/>
    <w:rsid w:val="00741520"/>
    <w:rsid w:val="00741850"/>
    <w:rsid w:val="00750B28"/>
    <w:rsid w:val="00754ED7"/>
    <w:rsid w:val="007551F5"/>
    <w:rsid w:val="00755624"/>
    <w:rsid w:val="007576D7"/>
    <w:rsid w:val="00764D07"/>
    <w:rsid w:val="0077016A"/>
    <w:rsid w:val="0077302D"/>
    <w:rsid w:val="0077486F"/>
    <w:rsid w:val="00777222"/>
    <w:rsid w:val="00777822"/>
    <w:rsid w:val="007802D2"/>
    <w:rsid w:val="00781C37"/>
    <w:rsid w:val="0078518C"/>
    <w:rsid w:val="0078552A"/>
    <w:rsid w:val="0079193E"/>
    <w:rsid w:val="0079241A"/>
    <w:rsid w:val="007955D6"/>
    <w:rsid w:val="007A0E19"/>
    <w:rsid w:val="007A4A3E"/>
    <w:rsid w:val="007A6286"/>
    <w:rsid w:val="007B6B8D"/>
    <w:rsid w:val="007B767C"/>
    <w:rsid w:val="007C4753"/>
    <w:rsid w:val="007D0313"/>
    <w:rsid w:val="007D1DA5"/>
    <w:rsid w:val="007D23D5"/>
    <w:rsid w:val="007D3D52"/>
    <w:rsid w:val="007D50AC"/>
    <w:rsid w:val="007E269B"/>
    <w:rsid w:val="007E36D7"/>
    <w:rsid w:val="007F557E"/>
    <w:rsid w:val="00803581"/>
    <w:rsid w:val="008057B7"/>
    <w:rsid w:val="00805F3A"/>
    <w:rsid w:val="00817277"/>
    <w:rsid w:val="00822E8F"/>
    <w:rsid w:val="008249C3"/>
    <w:rsid w:val="008308A8"/>
    <w:rsid w:val="008320A0"/>
    <w:rsid w:val="00842C1D"/>
    <w:rsid w:val="00843C9D"/>
    <w:rsid w:val="00844F32"/>
    <w:rsid w:val="008508CC"/>
    <w:rsid w:val="00857D1D"/>
    <w:rsid w:val="008632E3"/>
    <w:rsid w:val="00864C35"/>
    <w:rsid w:val="00872CD2"/>
    <w:rsid w:val="00883F2F"/>
    <w:rsid w:val="008846D7"/>
    <w:rsid w:val="008862B0"/>
    <w:rsid w:val="00887C81"/>
    <w:rsid w:val="0089741C"/>
    <w:rsid w:val="008976F7"/>
    <w:rsid w:val="008A0F7E"/>
    <w:rsid w:val="008A1A61"/>
    <w:rsid w:val="008A210C"/>
    <w:rsid w:val="008A4936"/>
    <w:rsid w:val="008A5227"/>
    <w:rsid w:val="008A6627"/>
    <w:rsid w:val="008A7850"/>
    <w:rsid w:val="008B1DB8"/>
    <w:rsid w:val="008B674B"/>
    <w:rsid w:val="008B7940"/>
    <w:rsid w:val="008C6B96"/>
    <w:rsid w:val="008D4D7F"/>
    <w:rsid w:val="008D637E"/>
    <w:rsid w:val="008E040E"/>
    <w:rsid w:val="008E21B2"/>
    <w:rsid w:val="008E31B2"/>
    <w:rsid w:val="008E390C"/>
    <w:rsid w:val="008E52D3"/>
    <w:rsid w:val="008F0FBC"/>
    <w:rsid w:val="008F28B3"/>
    <w:rsid w:val="008F40E5"/>
    <w:rsid w:val="00900DFF"/>
    <w:rsid w:val="00901900"/>
    <w:rsid w:val="00904166"/>
    <w:rsid w:val="00905A50"/>
    <w:rsid w:val="00906E48"/>
    <w:rsid w:val="0091017C"/>
    <w:rsid w:val="00911032"/>
    <w:rsid w:val="00913DF8"/>
    <w:rsid w:val="00914BAE"/>
    <w:rsid w:val="00914DF5"/>
    <w:rsid w:val="009162FD"/>
    <w:rsid w:val="00920710"/>
    <w:rsid w:val="00921D99"/>
    <w:rsid w:val="00932C28"/>
    <w:rsid w:val="009338E9"/>
    <w:rsid w:val="00933FB8"/>
    <w:rsid w:val="009368E5"/>
    <w:rsid w:val="00942606"/>
    <w:rsid w:val="009444CC"/>
    <w:rsid w:val="0094633D"/>
    <w:rsid w:val="00951199"/>
    <w:rsid w:val="009511B3"/>
    <w:rsid w:val="0095241D"/>
    <w:rsid w:val="009564A0"/>
    <w:rsid w:val="00960C7E"/>
    <w:rsid w:val="00962810"/>
    <w:rsid w:val="00967180"/>
    <w:rsid w:val="0097136A"/>
    <w:rsid w:val="009734E3"/>
    <w:rsid w:val="00975402"/>
    <w:rsid w:val="009827BA"/>
    <w:rsid w:val="00982E18"/>
    <w:rsid w:val="00995560"/>
    <w:rsid w:val="009959A3"/>
    <w:rsid w:val="009A12FD"/>
    <w:rsid w:val="009A1D76"/>
    <w:rsid w:val="009A4A4A"/>
    <w:rsid w:val="009A56DA"/>
    <w:rsid w:val="009A5AF4"/>
    <w:rsid w:val="009A742E"/>
    <w:rsid w:val="009B2CF1"/>
    <w:rsid w:val="009B4F75"/>
    <w:rsid w:val="009C2068"/>
    <w:rsid w:val="009C54CB"/>
    <w:rsid w:val="009C5B5D"/>
    <w:rsid w:val="009D4CBD"/>
    <w:rsid w:val="009D742E"/>
    <w:rsid w:val="009E0B9A"/>
    <w:rsid w:val="009E587D"/>
    <w:rsid w:val="009E5AFA"/>
    <w:rsid w:val="009E72F5"/>
    <w:rsid w:val="009E7E15"/>
    <w:rsid w:val="009F29A0"/>
    <w:rsid w:val="009F758B"/>
    <w:rsid w:val="00A005F4"/>
    <w:rsid w:val="00A00C3C"/>
    <w:rsid w:val="00A0147F"/>
    <w:rsid w:val="00A07431"/>
    <w:rsid w:val="00A110D8"/>
    <w:rsid w:val="00A13223"/>
    <w:rsid w:val="00A137B2"/>
    <w:rsid w:val="00A167C2"/>
    <w:rsid w:val="00A16D50"/>
    <w:rsid w:val="00A21BBD"/>
    <w:rsid w:val="00A240E5"/>
    <w:rsid w:val="00A31959"/>
    <w:rsid w:val="00A34B63"/>
    <w:rsid w:val="00A36414"/>
    <w:rsid w:val="00A4055B"/>
    <w:rsid w:val="00A40918"/>
    <w:rsid w:val="00A4217D"/>
    <w:rsid w:val="00A46AE7"/>
    <w:rsid w:val="00A47C3D"/>
    <w:rsid w:val="00A50045"/>
    <w:rsid w:val="00A52B7D"/>
    <w:rsid w:val="00A53228"/>
    <w:rsid w:val="00A544A4"/>
    <w:rsid w:val="00A56663"/>
    <w:rsid w:val="00A5748E"/>
    <w:rsid w:val="00A61BED"/>
    <w:rsid w:val="00A72903"/>
    <w:rsid w:val="00A729EB"/>
    <w:rsid w:val="00A74D73"/>
    <w:rsid w:val="00A762EC"/>
    <w:rsid w:val="00A77216"/>
    <w:rsid w:val="00A83AEF"/>
    <w:rsid w:val="00A91F52"/>
    <w:rsid w:val="00A97BBB"/>
    <w:rsid w:val="00AA0854"/>
    <w:rsid w:val="00AA0EE5"/>
    <w:rsid w:val="00AA29FF"/>
    <w:rsid w:val="00AA313A"/>
    <w:rsid w:val="00AA5ECF"/>
    <w:rsid w:val="00AA7C9B"/>
    <w:rsid w:val="00AB1771"/>
    <w:rsid w:val="00AB3CA1"/>
    <w:rsid w:val="00AC08F2"/>
    <w:rsid w:val="00AC1D02"/>
    <w:rsid w:val="00AC22DF"/>
    <w:rsid w:val="00AC42EC"/>
    <w:rsid w:val="00AD22B8"/>
    <w:rsid w:val="00AD6FCC"/>
    <w:rsid w:val="00AD7C96"/>
    <w:rsid w:val="00AE1299"/>
    <w:rsid w:val="00AE2E84"/>
    <w:rsid w:val="00AE4EB2"/>
    <w:rsid w:val="00AE5BC4"/>
    <w:rsid w:val="00AE5C78"/>
    <w:rsid w:val="00AE7109"/>
    <w:rsid w:val="00AF1701"/>
    <w:rsid w:val="00AF36EA"/>
    <w:rsid w:val="00B018D6"/>
    <w:rsid w:val="00B03289"/>
    <w:rsid w:val="00B061CB"/>
    <w:rsid w:val="00B066C2"/>
    <w:rsid w:val="00B06980"/>
    <w:rsid w:val="00B10C74"/>
    <w:rsid w:val="00B11CE3"/>
    <w:rsid w:val="00B13831"/>
    <w:rsid w:val="00B16198"/>
    <w:rsid w:val="00B179B4"/>
    <w:rsid w:val="00B2058E"/>
    <w:rsid w:val="00B207FF"/>
    <w:rsid w:val="00B21283"/>
    <w:rsid w:val="00B304A7"/>
    <w:rsid w:val="00B32E1F"/>
    <w:rsid w:val="00B33A1F"/>
    <w:rsid w:val="00B43DDB"/>
    <w:rsid w:val="00B43ED9"/>
    <w:rsid w:val="00B43F3A"/>
    <w:rsid w:val="00B445AB"/>
    <w:rsid w:val="00B45545"/>
    <w:rsid w:val="00B46BB2"/>
    <w:rsid w:val="00B50DB2"/>
    <w:rsid w:val="00B52D53"/>
    <w:rsid w:val="00B53208"/>
    <w:rsid w:val="00B56298"/>
    <w:rsid w:val="00B57248"/>
    <w:rsid w:val="00B61CB3"/>
    <w:rsid w:val="00B62744"/>
    <w:rsid w:val="00B70A27"/>
    <w:rsid w:val="00B7305F"/>
    <w:rsid w:val="00B80975"/>
    <w:rsid w:val="00B867DC"/>
    <w:rsid w:val="00B86DB1"/>
    <w:rsid w:val="00B91EA6"/>
    <w:rsid w:val="00B96D95"/>
    <w:rsid w:val="00BA1EBE"/>
    <w:rsid w:val="00BA36EC"/>
    <w:rsid w:val="00BA46A3"/>
    <w:rsid w:val="00BA515F"/>
    <w:rsid w:val="00BA5207"/>
    <w:rsid w:val="00BA5DEC"/>
    <w:rsid w:val="00BA7CBD"/>
    <w:rsid w:val="00BB4371"/>
    <w:rsid w:val="00BB4F7E"/>
    <w:rsid w:val="00BC33F9"/>
    <w:rsid w:val="00BD2F5A"/>
    <w:rsid w:val="00BD3BF1"/>
    <w:rsid w:val="00BD4C68"/>
    <w:rsid w:val="00BD4D3A"/>
    <w:rsid w:val="00BD5A0D"/>
    <w:rsid w:val="00BD7B37"/>
    <w:rsid w:val="00BE0BE6"/>
    <w:rsid w:val="00BE0C99"/>
    <w:rsid w:val="00BE285C"/>
    <w:rsid w:val="00BE2EDC"/>
    <w:rsid w:val="00BE5A4F"/>
    <w:rsid w:val="00BE6134"/>
    <w:rsid w:val="00BE7296"/>
    <w:rsid w:val="00BF1815"/>
    <w:rsid w:val="00BF580B"/>
    <w:rsid w:val="00BF6189"/>
    <w:rsid w:val="00C12D5B"/>
    <w:rsid w:val="00C132DE"/>
    <w:rsid w:val="00C17753"/>
    <w:rsid w:val="00C202C6"/>
    <w:rsid w:val="00C256DF"/>
    <w:rsid w:val="00C25975"/>
    <w:rsid w:val="00C276C5"/>
    <w:rsid w:val="00C312D5"/>
    <w:rsid w:val="00C34F50"/>
    <w:rsid w:val="00C36660"/>
    <w:rsid w:val="00C37A3A"/>
    <w:rsid w:val="00C43E69"/>
    <w:rsid w:val="00C52509"/>
    <w:rsid w:val="00C52EB0"/>
    <w:rsid w:val="00C5403A"/>
    <w:rsid w:val="00C601F3"/>
    <w:rsid w:val="00C608DE"/>
    <w:rsid w:val="00C62038"/>
    <w:rsid w:val="00C6600E"/>
    <w:rsid w:val="00C664CD"/>
    <w:rsid w:val="00C70F3A"/>
    <w:rsid w:val="00C71349"/>
    <w:rsid w:val="00C7199F"/>
    <w:rsid w:val="00C73A82"/>
    <w:rsid w:val="00C767EC"/>
    <w:rsid w:val="00C82D5E"/>
    <w:rsid w:val="00C86F4C"/>
    <w:rsid w:val="00C87601"/>
    <w:rsid w:val="00C90342"/>
    <w:rsid w:val="00C92260"/>
    <w:rsid w:val="00C92A54"/>
    <w:rsid w:val="00C9580D"/>
    <w:rsid w:val="00CA0379"/>
    <w:rsid w:val="00CA0B57"/>
    <w:rsid w:val="00CA23A8"/>
    <w:rsid w:val="00CA4726"/>
    <w:rsid w:val="00CA4E6B"/>
    <w:rsid w:val="00CA6CFF"/>
    <w:rsid w:val="00CA733E"/>
    <w:rsid w:val="00CB3C75"/>
    <w:rsid w:val="00CC37EE"/>
    <w:rsid w:val="00CC4473"/>
    <w:rsid w:val="00CC4F8D"/>
    <w:rsid w:val="00CC6CA9"/>
    <w:rsid w:val="00CD0572"/>
    <w:rsid w:val="00CD0F02"/>
    <w:rsid w:val="00CD28E9"/>
    <w:rsid w:val="00CD2AF3"/>
    <w:rsid w:val="00CD4DF5"/>
    <w:rsid w:val="00CD73FF"/>
    <w:rsid w:val="00CD79CC"/>
    <w:rsid w:val="00CE036A"/>
    <w:rsid w:val="00CE3CB3"/>
    <w:rsid w:val="00CF109B"/>
    <w:rsid w:val="00CF195E"/>
    <w:rsid w:val="00CF4557"/>
    <w:rsid w:val="00D01329"/>
    <w:rsid w:val="00D0629F"/>
    <w:rsid w:val="00D07E76"/>
    <w:rsid w:val="00D14F39"/>
    <w:rsid w:val="00D17CA5"/>
    <w:rsid w:val="00D20B86"/>
    <w:rsid w:val="00D20DA2"/>
    <w:rsid w:val="00D21692"/>
    <w:rsid w:val="00D2440A"/>
    <w:rsid w:val="00D2676C"/>
    <w:rsid w:val="00D26DC7"/>
    <w:rsid w:val="00D27D18"/>
    <w:rsid w:val="00D347CA"/>
    <w:rsid w:val="00D3743C"/>
    <w:rsid w:val="00D40CDE"/>
    <w:rsid w:val="00D425C7"/>
    <w:rsid w:val="00D51FD5"/>
    <w:rsid w:val="00D601DD"/>
    <w:rsid w:val="00D63062"/>
    <w:rsid w:val="00D65A29"/>
    <w:rsid w:val="00D67325"/>
    <w:rsid w:val="00D70FE4"/>
    <w:rsid w:val="00D71E71"/>
    <w:rsid w:val="00D729BA"/>
    <w:rsid w:val="00D72EB1"/>
    <w:rsid w:val="00D761BB"/>
    <w:rsid w:val="00D80452"/>
    <w:rsid w:val="00D835EE"/>
    <w:rsid w:val="00D8387E"/>
    <w:rsid w:val="00D85DBD"/>
    <w:rsid w:val="00D90BE2"/>
    <w:rsid w:val="00D92745"/>
    <w:rsid w:val="00D929E7"/>
    <w:rsid w:val="00D95CAD"/>
    <w:rsid w:val="00DA1CCF"/>
    <w:rsid w:val="00DA54B8"/>
    <w:rsid w:val="00DA67B8"/>
    <w:rsid w:val="00DB1904"/>
    <w:rsid w:val="00DB33D1"/>
    <w:rsid w:val="00DC076F"/>
    <w:rsid w:val="00DC1553"/>
    <w:rsid w:val="00DC2109"/>
    <w:rsid w:val="00DC6E33"/>
    <w:rsid w:val="00DC6EC9"/>
    <w:rsid w:val="00DC7613"/>
    <w:rsid w:val="00DD145D"/>
    <w:rsid w:val="00DD2AC8"/>
    <w:rsid w:val="00DD620B"/>
    <w:rsid w:val="00DD70AB"/>
    <w:rsid w:val="00DE190F"/>
    <w:rsid w:val="00DE2597"/>
    <w:rsid w:val="00DE3C5C"/>
    <w:rsid w:val="00DE3F2D"/>
    <w:rsid w:val="00DE4853"/>
    <w:rsid w:val="00DF349E"/>
    <w:rsid w:val="00DF664F"/>
    <w:rsid w:val="00DF6C2A"/>
    <w:rsid w:val="00DF7542"/>
    <w:rsid w:val="00E112E5"/>
    <w:rsid w:val="00E11BFF"/>
    <w:rsid w:val="00E153EA"/>
    <w:rsid w:val="00E154EF"/>
    <w:rsid w:val="00E1687D"/>
    <w:rsid w:val="00E1743D"/>
    <w:rsid w:val="00E17B79"/>
    <w:rsid w:val="00E20F44"/>
    <w:rsid w:val="00E22E65"/>
    <w:rsid w:val="00E2492B"/>
    <w:rsid w:val="00E418D2"/>
    <w:rsid w:val="00E46082"/>
    <w:rsid w:val="00E4645D"/>
    <w:rsid w:val="00E46940"/>
    <w:rsid w:val="00E4783C"/>
    <w:rsid w:val="00E529A4"/>
    <w:rsid w:val="00E54CE8"/>
    <w:rsid w:val="00E561AE"/>
    <w:rsid w:val="00E5707A"/>
    <w:rsid w:val="00E57C9B"/>
    <w:rsid w:val="00E61DFD"/>
    <w:rsid w:val="00E6207B"/>
    <w:rsid w:val="00E638FE"/>
    <w:rsid w:val="00E65E50"/>
    <w:rsid w:val="00E66834"/>
    <w:rsid w:val="00E73EDF"/>
    <w:rsid w:val="00E75D17"/>
    <w:rsid w:val="00E816F2"/>
    <w:rsid w:val="00E82329"/>
    <w:rsid w:val="00E9606A"/>
    <w:rsid w:val="00EA4AFF"/>
    <w:rsid w:val="00EA4C59"/>
    <w:rsid w:val="00EB028E"/>
    <w:rsid w:val="00EB03D3"/>
    <w:rsid w:val="00EB0F61"/>
    <w:rsid w:val="00EB0F78"/>
    <w:rsid w:val="00EB1DCC"/>
    <w:rsid w:val="00EB75FE"/>
    <w:rsid w:val="00EC2598"/>
    <w:rsid w:val="00EC3934"/>
    <w:rsid w:val="00EC6BAC"/>
    <w:rsid w:val="00EC6C6A"/>
    <w:rsid w:val="00ED08F8"/>
    <w:rsid w:val="00ED5373"/>
    <w:rsid w:val="00ED5E53"/>
    <w:rsid w:val="00EE46C9"/>
    <w:rsid w:val="00EE6620"/>
    <w:rsid w:val="00EE76A8"/>
    <w:rsid w:val="00EE7906"/>
    <w:rsid w:val="00EF6985"/>
    <w:rsid w:val="00EF6FAB"/>
    <w:rsid w:val="00F023B5"/>
    <w:rsid w:val="00F0685A"/>
    <w:rsid w:val="00F10C64"/>
    <w:rsid w:val="00F127C3"/>
    <w:rsid w:val="00F15186"/>
    <w:rsid w:val="00F165D4"/>
    <w:rsid w:val="00F16DC2"/>
    <w:rsid w:val="00F1707B"/>
    <w:rsid w:val="00F17DA1"/>
    <w:rsid w:val="00F21D85"/>
    <w:rsid w:val="00F23119"/>
    <w:rsid w:val="00F23D6D"/>
    <w:rsid w:val="00F2509D"/>
    <w:rsid w:val="00F25F0B"/>
    <w:rsid w:val="00F33661"/>
    <w:rsid w:val="00F33BD0"/>
    <w:rsid w:val="00F33C85"/>
    <w:rsid w:val="00F42FFF"/>
    <w:rsid w:val="00F4611B"/>
    <w:rsid w:val="00F46296"/>
    <w:rsid w:val="00F54AF6"/>
    <w:rsid w:val="00F5792E"/>
    <w:rsid w:val="00F6221E"/>
    <w:rsid w:val="00F62394"/>
    <w:rsid w:val="00F63F46"/>
    <w:rsid w:val="00F63FCE"/>
    <w:rsid w:val="00F642AF"/>
    <w:rsid w:val="00F66AA1"/>
    <w:rsid w:val="00F66EC6"/>
    <w:rsid w:val="00F70315"/>
    <w:rsid w:val="00F736CB"/>
    <w:rsid w:val="00F771BC"/>
    <w:rsid w:val="00F77E25"/>
    <w:rsid w:val="00F830DF"/>
    <w:rsid w:val="00F8589F"/>
    <w:rsid w:val="00F879A4"/>
    <w:rsid w:val="00F97BD2"/>
    <w:rsid w:val="00FB1D6B"/>
    <w:rsid w:val="00FB50B3"/>
    <w:rsid w:val="00FC02AF"/>
    <w:rsid w:val="00FC063B"/>
    <w:rsid w:val="00FC16A2"/>
    <w:rsid w:val="00FC343A"/>
    <w:rsid w:val="00FC4699"/>
    <w:rsid w:val="00FC6DB5"/>
    <w:rsid w:val="00FC7FAD"/>
    <w:rsid w:val="00FD09B8"/>
    <w:rsid w:val="00FD7139"/>
    <w:rsid w:val="00FE59F8"/>
    <w:rsid w:val="00FE5DF2"/>
    <w:rsid w:val="00FF5027"/>
    <w:rsid w:val="01962C66"/>
    <w:rsid w:val="01DAF317"/>
    <w:rsid w:val="0363F3AC"/>
    <w:rsid w:val="0386EF26"/>
    <w:rsid w:val="048E4F71"/>
    <w:rsid w:val="05DB36F2"/>
    <w:rsid w:val="05E6BEEE"/>
    <w:rsid w:val="06264FCD"/>
    <w:rsid w:val="06A8EFC5"/>
    <w:rsid w:val="0783524C"/>
    <w:rsid w:val="07AF38B7"/>
    <w:rsid w:val="085F9D7E"/>
    <w:rsid w:val="0872B6D1"/>
    <w:rsid w:val="0AA21A87"/>
    <w:rsid w:val="0B5BF6F2"/>
    <w:rsid w:val="0BD4991F"/>
    <w:rsid w:val="0C26DC44"/>
    <w:rsid w:val="0CB94C22"/>
    <w:rsid w:val="0E267A69"/>
    <w:rsid w:val="0E33172F"/>
    <w:rsid w:val="0E8ACEBC"/>
    <w:rsid w:val="0E9F69D5"/>
    <w:rsid w:val="0EAB87CA"/>
    <w:rsid w:val="11410459"/>
    <w:rsid w:val="1193F3DB"/>
    <w:rsid w:val="11C28335"/>
    <w:rsid w:val="11D30ABE"/>
    <w:rsid w:val="1203A510"/>
    <w:rsid w:val="140450D6"/>
    <w:rsid w:val="142FD470"/>
    <w:rsid w:val="146B31F8"/>
    <w:rsid w:val="1487B03B"/>
    <w:rsid w:val="14C7E960"/>
    <w:rsid w:val="14F4323C"/>
    <w:rsid w:val="15675E28"/>
    <w:rsid w:val="16673197"/>
    <w:rsid w:val="176C8C35"/>
    <w:rsid w:val="17ED8543"/>
    <w:rsid w:val="1872E694"/>
    <w:rsid w:val="19040D6E"/>
    <w:rsid w:val="1AB07F8E"/>
    <w:rsid w:val="1AE58AC1"/>
    <w:rsid w:val="1AF5EDA9"/>
    <w:rsid w:val="1B8CAA27"/>
    <w:rsid w:val="1BAA8756"/>
    <w:rsid w:val="1BC3AFB3"/>
    <w:rsid w:val="1C211729"/>
    <w:rsid w:val="1C4CB851"/>
    <w:rsid w:val="1D54F6AB"/>
    <w:rsid w:val="1D5F2F21"/>
    <w:rsid w:val="1EE22818"/>
    <w:rsid w:val="2084B888"/>
    <w:rsid w:val="20BC5B7F"/>
    <w:rsid w:val="20BDEF30"/>
    <w:rsid w:val="21A25C1E"/>
    <w:rsid w:val="2219C8DA"/>
    <w:rsid w:val="2333A877"/>
    <w:rsid w:val="23D37AC8"/>
    <w:rsid w:val="2483A792"/>
    <w:rsid w:val="2691892A"/>
    <w:rsid w:val="2695CFB9"/>
    <w:rsid w:val="27423084"/>
    <w:rsid w:val="27E0FCF0"/>
    <w:rsid w:val="27EF9BE4"/>
    <w:rsid w:val="28266B4B"/>
    <w:rsid w:val="28D1C5BF"/>
    <w:rsid w:val="29185FC5"/>
    <w:rsid w:val="2A001307"/>
    <w:rsid w:val="2AAC3AAD"/>
    <w:rsid w:val="2ABC4BA5"/>
    <w:rsid w:val="2B189DB2"/>
    <w:rsid w:val="2D2C2D3A"/>
    <w:rsid w:val="2F70E4C0"/>
    <w:rsid w:val="2FE0EDF4"/>
    <w:rsid w:val="2FE14803"/>
    <w:rsid w:val="301B636B"/>
    <w:rsid w:val="30E9E91B"/>
    <w:rsid w:val="35F05DC3"/>
    <w:rsid w:val="365B5059"/>
    <w:rsid w:val="367880DA"/>
    <w:rsid w:val="36EF4505"/>
    <w:rsid w:val="37731E50"/>
    <w:rsid w:val="3846EF0A"/>
    <w:rsid w:val="39F2E813"/>
    <w:rsid w:val="3B6F8865"/>
    <w:rsid w:val="3E4D39E1"/>
    <w:rsid w:val="3E6ACFE9"/>
    <w:rsid w:val="3EA4E3D6"/>
    <w:rsid w:val="3F790EED"/>
    <w:rsid w:val="40C36F73"/>
    <w:rsid w:val="40F99079"/>
    <w:rsid w:val="418CC829"/>
    <w:rsid w:val="41CF5894"/>
    <w:rsid w:val="4218D231"/>
    <w:rsid w:val="42E9D478"/>
    <w:rsid w:val="4328988A"/>
    <w:rsid w:val="44E283A6"/>
    <w:rsid w:val="48178931"/>
    <w:rsid w:val="497F5326"/>
    <w:rsid w:val="49E84595"/>
    <w:rsid w:val="4B54690D"/>
    <w:rsid w:val="4C23A194"/>
    <w:rsid w:val="4D2FB3ED"/>
    <w:rsid w:val="4D71B99A"/>
    <w:rsid w:val="4DD931CA"/>
    <w:rsid w:val="5024370B"/>
    <w:rsid w:val="505BE292"/>
    <w:rsid w:val="51932BD6"/>
    <w:rsid w:val="51A2EBF3"/>
    <w:rsid w:val="51B645AC"/>
    <w:rsid w:val="51F30E55"/>
    <w:rsid w:val="52713823"/>
    <w:rsid w:val="52937A90"/>
    <w:rsid w:val="52AD60E5"/>
    <w:rsid w:val="532740E7"/>
    <w:rsid w:val="54ABCFA2"/>
    <w:rsid w:val="5593FFD6"/>
    <w:rsid w:val="55AF06F6"/>
    <w:rsid w:val="55D65EED"/>
    <w:rsid w:val="56373AAD"/>
    <w:rsid w:val="568DFC8B"/>
    <w:rsid w:val="56E14677"/>
    <w:rsid w:val="5A577BFA"/>
    <w:rsid w:val="5B23E977"/>
    <w:rsid w:val="5B6B0AAA"/>
    <w:rsid w:val="5E7BA057"/>
    <w:rsid w:val="5F427E3C"/>
    <w:rsid w:val="600461FD"/>
    <w:rsid w:val="6030C4DD"/>
    <w:rsid w:val="606216A2"/>
    <w:rsid w:val="6130AD1C"/>
    <w:rsid w:val="61E0C083"/>
    <w:rsid w:val="655F62C6"/>
    <w:rsid w:val="66823D1B"/>
    <w:rsid w:val="66F8E7FA"/>
    <w:rsid w:val="675BD9B0"/>
    <w:rsid w:val="67671B76"/>
    <w:rsid w:val="6775BA6A"/>
    <w:rsid w:val="67FDEE0D"/>
    <w:rsid w:val="68E0CEC6"/>
    <w:rsid w:val="6A618F49"/>
    <w:rsid w:val="6A9CD2D0"/>
    <w:rsid w:val="6B1FDB59"/>
    <w:rsid w:val="6B664916"/>
    <w:rsid w:val="6BB89BD5"/>
    <w:rsid w:val="6BE5FD23"/>
    <w:rsid w:val="6CDF1969"/>
    <w:rsid w:val="6D7BAF38"/>
    <w:rsid w:val="6DB9048D"/>
    <w:rsid w:val="6DD610F6"/>
    <w:rsid w:val="701BDED0"/>
    <w:rsid w:val="71BF9EA7"/>
    <w:rsid w:val="71D3FB58"/>
    <w:rsid w:val="72AEBFC4"/>
    <w:rsid w:val="743DCDE2"/>
    <w:rsid w:val="744566F7"/>
    <w:rsid w:val="751006F6"/>
    <w:rsid w:val="75D6E576"/>
    <w:rsid w:val="7637C0B7"/>
    <w:rsid w:val="76A129FA"/>
    <w:rsid w:val="76D6C381"/>
    <w:rsid w:val="76EBD43B"/>
    <w:rsid w:val="775CA867"/>
    <w:rsid w:val="7824CC5F"/>
    <w:rsid w:val="788C6613"/>
    <w:rsid w:val="791340FD"/>
    <w:rsid w:val="799833C9"/>
    <w:rsid w:val="79C57E41"/>
    <w:rsid w:val="79D3BF85"/>
    <w:rsid w:val="7BE976CB"/>
    <w:rsid w:val="7C0B8F39"/>
    <w:rsid w:val="7CC070EC"/>
    <w:rsid w:val="7D10F8C2"/>
    <w:rsid w:val="7D137CF2"/>
    <w:rsid w:val="7E1F0DEC"/>
    <w:rsid w:val="7F659689"/>
    <w:rsid w:val="7FC4844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D5F3A43"/>
  <w15:docId w15:val="{9DA01B60-FDBF-4D60-A76B-DAB4B752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41A"/>
    <w:pPr>
      <w:autoSpaceDE w:val="0"/>
      <w:autoSpaceDN w:val="0"/>
      <w:adjustRightInd w:val="0"/>
      <w:spacing w:after="120" w:line="276" w:lineRule="auto"/>
    </w:pPr>
    <w:rPr>
      <w:rFonts w:ascii="Arial" w:eastAsiaTheme="minorHAnsi" w:hAnsi="Arial" w:cs="Arial"/>
      <w:sz w:val="22"/>
      <w:szCs w:val="22"/>
      <w:lang w:eastAsia="en-US"/>
    </w:rPr>
  </w:style>
  <w:style w:type="paragraph" w:styleId="Heading1">
    <w:name w:val="heading 1"/>
    <w:basedOn w:val="Heading2"/>
    <w:next w:val="Normal"/>
    <w:link w:val="Heading1Char"/>
    <w:uiPriority w:val="9"/>
    <w:qFormat/>
    <w:rsid w:val="0019341A"/>
    <w:pPr>
      <w:outlineLvl w:val="0"/>
    </w:pPr>
    <w:rPr>
      <w:sz w:val="36"/>
    </w:rPr>
  </w:style>
  <w:style w:type="paragraph" w:styleId="Heading2">
    <w:name w:val="heading 2"/>
    <w:basedOn w:val="Normal"/>
    <w:next w:val="Normal"/>
    <w:link w:val="Heading2Char"/>
    <w:uiPriority w:val="9"/>
    <w:unhideWhenUsed/>
    <w:qFormat/>
    <w:rsid w:val="0019341A"/>
    <w:pPr>
      <w:keepNext/>
      <w:spacing w:before="360" w:line="240" w:lineRule="auto"/>
      <w:outlineLvl w:val="1"/>
    </w:pPr>
    <w:rPr>
      <w:b/>
      <w:bCs/>
      <w:color w:val="293868"/>
      <w:sz w:val="28"/>
      <w:szCs w:val="28"/>
    </w:rPr>
  </w:style>
  <w:style w:type="paragraph" w:styleId="Heading3">
    <w:name w:val="heading 3"/>
    <w:basedOn w:val="Normal"/>
    <w:next w:val="Normal"/>
    <w:link w:val="Heading3Char"/>
    <w:uiPriority w:val="9"/>
    <w:unhideWhenUsed/>
    <w:qFormat/>
    <w:rsid w:val="0019341A"/>
    <w:pPr>
      <w:keepNext/>
      <w:keepLines/>
      <w:spacing w:before="200" w:after="80" w:line="264" w:lineRule="auto"/>
      <w:outlineLvl w:val="2"/>
    </w:pPr>
    <w:rPr>
      <w:rFonts w:eastAsiaTheme="majorEastAsia" w:cstheme="majorBidi"/>
      <w:b/>
      <w:color w:val="293868"/>
      <w:sz w:val="24"/>
    </w:rPr>
  </w:style>
  <w:style w:type="paragraph" w:styleId="Heading4">
    <w:name w:val="heading 4"/>
    <w:basedOn w:val="Normal"/>
    <w:next w:val="Normal"/>
    <w:link w:val="Heading4Char"/>
    <w:uiPriority w:val="9"/>
    <w:unhideWhenUsed/>
    <w:qFormat/>
    <w:rsid w:val="0019341A"/>
    <w:pPr>
      <w:keepNext/>
      <w:spacing w:before="200" w:after="60"/>
      <w:outlineLvl w:val="3"/>
    </w:pPr>
    <w:rPr>
      <w:iCs/>
      <w:color w:val="293868"/>
      <w:lang w:val="mi-NZ"/>
    </w:rPr>
  </w:style>
  <w:style w:type="paragraph" w:styleId="Heading5">
    <w:name w:val="heading 5"/>
    <w:basedOn w:val="Heading4"/>
    <w:next w:val="Normal"/>
    <w:link w:val="Heading5Char"/>
    <w:uiPriority w:val="9"/>
    <w:unhideWhenUsed/>
    <w:qFormat/>
    <w:rsid w:val="0019341A"/>
    <w:pPr>
      <w:outlineLvl w:val="4"/>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41A"/>
    <w:rPr>
      <w:rFonts w:ascii="Arial" w:eastAsiaTheme="minorHAnsi" w:hAnsi="Arial" w:cs="Arial"/>
      <w:b/>
      <w:bCs/>
      <w:color w:val="293868"/>
      <w:sz w:val="36"/>
      <w:szCs w:val="28"/>
      <w:lang w:eastAsia="en-US"/>
    </w:rPr>
  </w:style>
  <w:style w:type="character" w:customStyle="1" w:styleId="Heading2Char">
    <w:name w:val="Heading 2 Char"/>
    <w:basedOn w:val="DefaultParagraphFont"/>
    <w:link w:val="Heading2"/>
    <w:uiPriority w:val="9"/>
    <w:rsid w:val="0019341A"/>
    <w:rPr>
      <w:rFonts w:ascii="Arial" w:eastAsiaTheme="minorHAnsi" w:hAnsi="Arial" w:cs="Arial"/>
      <w:b/>
      <w:bCs/>
      <w:color w:val="293868"/>
      <w:sz w:val="28"/>
      <w:szCs w:val="28"/>
      <w:lang w:eastAsia="en-US"/>
    </w:rPr>
  </w:style>
  <w:style w:type="paragraph" w:styleId="Footer">
    <w:name w:val="footer"/>
    <w:basedOn w:val="Normal"/>
    <w:link w:val="FooterChar"/>
    <w:uiPriority w:val="99"/>
    <w:unhideWhenUsed/>
    <w:rsid w:val="0019341A"/>
    <w:pPr>
      <w:tabs>
        <w:tab w:val="center" w:pos="4513"/>
        <w:tab w:val="right" w:pos="9026"/>
      </w:tabs>
      <w:spacing w:after="0" w:line="240" w:lineRule="auto"/>
      <w:jc w:val="right"/>
    </w:pPr>
    <w:rPr>
      <w:sz w:val="18"/>
    </w:rPr>
  </w:style>
  <w:style w:type="character" w:customStyle="1" w:styleId="FooterChar">
    <w:name w:val="Footer Char"/>
    <w:basedOn w:val="DefaultParagraphFont"/>
    <w:link w:val="Footer"/>
    <w:uiPriority w:val="99"/>
    <w:rsid w:val="0019341A"/>
    <w:rPr>
      <w:rFonts w:ascii="Arial" w:eastAsiaTheme="minorHAnsi" w:hAnsi="Arial" w:cs="Arial"/>
      <w:sz w:val="18"/>
      <w:szCs w:val="22"/>
      <w:lang w:eastAsia="en-US"/>
    </w:rPr>
  </w:style>
  <w:style w:type="paragraph" w:styleId="Header">
    <w:name w:val="header"/>
    <w:basedOn w:val="Normal"/>
    <w:link w:val="HeaderChar"/>
    <w:uiPriority w:val="99"/>
    <w:unhideWhenUsed/>
    <w:rsid w:val="0019341A"/>
    <w:pPr>
      <w:tabs>
        <w:tab w:val="center" w:pos="4513"/>
        <w:tab w:val="right" w:pos="9026"/>
      </w:tabs>
      <w:spacing w:after="0" w:line="240" w:lineRule="auto"/>
    </w:pPr>
    <w:rPr>
      <w:bCs/>
      <w:sz w:val="18"/>
    </w:rPr>
  </w:style>
  <w:style w:type="character" w:customStyle="1" w:styleId="HeaderChar">
    <w:name w:val="Header Char"/>
    <w:basedOn w:val="DefaultParagraphFont"/>
    <w:link w:val="Header"/>
    <w:uiPriority w:val="99"/>
    <w:rsid w:val="0019341A"/>
    <w:rPr>
      <w:rFonts w:ascii="Arial" w:eastAsiaTheme="minorHAnsi" w:hAnsi="Arial" w:cs="Arial"/>
      <w:bCs/>
      <w:sz w:val="18"/>
      <w:szCs w:val="22"/>
      <w:lang w:eastAsia="en-US"/>
    </w:rPr>
  </w:style>
  <w:style w:type="paragraph" w:customStyle="1" w:styleId="TableText">
    <w:name w:val="TableText"/>
    <w:basedOn w:val="Normal"/>
    <w:rsid w:val="0019341A"/>
    <w:pPr>
      <w:spacing w:before="80" w:after="80"/>
    </w:pPr>
  </w:style>
  <w:style w:type="table" w:styleId="TableGridLight">
    <w:name w:val="Grid Table Light"/>
    <w:basedOn w:val="TableNormal"/>
    <w:uiPriority w:val="40"/>
    <w:rsid w:val="001934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ullet">
    <w:name w:val="TableBullet"/>
    <w:basedOn w:val="TableText"/>
    <w:rsid w:val="0019341A"/>
    <w:pPr>
      <w:numPr>
        <w:numId w:val="12"/>
      </w:numPr>
    </w:pPr>
  </w:style>
  <w:style w:type="character" w:styleId="PageNumber">
    <w:name w:val="page number"/>
    <w:basedOn w:val="DefaultParagraphFont"/>
    <w:rsid w:val="0019341A"/>
  </w:style>
  <w:style w:type="character" w:styleId="CommentReference">
    <w:name w:val="annotation reference"/>
    <w:basedOn w:val="DefaultParagraphFont"/>
    <w:uiPriority w:val="99"/>
    <w:semiHidden/>
    <w:unhideWhenUsed/>
    <w:rsid w:val="0019341A"/>
    <w:rPr>
      <w:sz w:val="16"/>
      <w:szCs w:val="16"/>
    </w:rPr>
  </w:style>
  <w:style w:type="paragraph" w:styleId="CommentText">
    <w:name w:val="annotation text"/>
    <w:basedOn w:val="Normal"/>
    <w:link w:val="CommentTextChar"/>
    <w:uiPriority w:val="99"/>
    <w:unhideWhenUsed/>
    <w:rsid w:val="0019341A"/>
    <w:pPr>
      <w:spacing w:line="240" w:lineRule="auto"/>
    </w:pPr>
    <w:rPr>
      <w:sz w:val="20"/>
      <w:szCs w:val="20"/>
    </w:rPr>
  </w:style>
  <w:style w:type="character" w:customStyle="1" w:styleId="CommentTextChar">
    <w:name w:val="Comment Text Char"/>
    <w:basedOn w:val="DefaultParagraphFont"/>
    <w:link w:val="CommentText"/>
    <w:uiPriority w:val="99"/>
    <w:rsid w:val="0019341A"/>
    <w:rPr>
      <w:rFonts w:ascii="Arial" w:eastAsiaTheme="minorHAnsi" w:hAnsi="Arial" w:cs="Arial"/>
      <w:lang w:eastAsia="en-US"/>
    </w:rPr>
  </w:style>
  <w:style w:type="paragraph" w:styleId="CommentSubject">
    <w:name w:val="annotation subject"/>
    <w:basedOn w:val="CommentText"/>
    <w:next w:val="CommentText"/>
    <w:link w:val="CommentSubjectChar"/>
    <w:uiPriority w:val="99"/>
    <w:semiHidden/>
    <w:unhideWhenUsed/>
    <w:rsid w:val="0019341A"/>
    <w:rPr>
      <w:b/>
      <w:bCs/>
    </w:rPr>
  </w:style>
  <w:style w:type="character" w:customStyle="1" w:styleId="CommentSubjectChar">
    <w:name w:val="Comment Subject Char"/>
    <w:basedOn w:val="CommentTextChar"/>
    <w:link w:val="CommentSubject"/>
    <w:uiPriority w:val="99"/>
    <w:semiHidden/>
    <w:rsid w:val="0019341A"/>
    <w:rPr>
      <w:rFonts w:ascii="Arial" w:eastAsiaTheme="minorHAnsi" w:hAnsi="Arial" w:cs="Arial"/>
      <w:b/>
      <w:bCs/>
      <w:lang w:eastAsia="en-US"/>
    </w:rPr>
  </w:style>
  <w:style w:type="paragraph" w:styleId="Revision">
    <w:name w:val="Revision"/>
    <w:hidden/>
    <w:uiPriority w:val="99"/>
    <w:semiHidden/>
    <w:rsid w:val="00B45545"/>
    <w:rPr>
      <w:rFonts w:ascii="Arial" w:eastAsia="Times New Roman" w:hAnsi="Arial" w:cs="Angsana New"/>
      <w:szCs w:val="24"/>
      <w:lang w:eastAsia="en-US" w:bidi="th-TH"/>
    </w:rPr>
  </w:style>
  <w:style w:type="paragraph" w:styleId="NormalWeb">
    <w:name w:val="Normal (Web)"/>
    <w:basedOn w:val="Normal"/>
    <w:uiPriority w:val="99"/>
    <w:unhideWhenUsed/>
    <w:rsid w:val="0019341A"/>
    <w:pPr>
      <w:spacing w:before="100" w:beforeAutospacing="1" w:after="100" w:afterAutospacing="1"/>
    </w:pPr>
    <w:rPr>
      <w:rFonts w:ascii="Times New Roman" w:eastAsiaTheme="minorEastAsia" w:hAnsi="Times New Roman" w:cs="Times New Roman"/>
      <w:sz w:val="24"/>
      <w:lang w:eastAsia="en-NZ"/>
    </w:rPr>
  </w:style>
  <w:style w:type="character" w:styleId="Hyperlink">
    <w:name w:val="Hyperlink"/>
    <w:basedOn w:val="DefaultParagraphFont"/>
    <w:uiPriority w:val="99"/>
    <w:unhideWhenUsed/>
    <w:rsid w:val="0019341A"/>
    <w:rPr>
      <w:color w:val="0000FF" w:themeColor="hyperlink"/>
      <w:u w:val="single"/>
    </w:rPr>
  </w:style>
  <w:style w:type="paragraph" w:styleId="NoSpacing">
    <w:name w:val="No Spacing"/>
    <w:uiPriority w:val="1"/>
    <w:qFormat/>
    <w:rsid w:val="0019341A"/>
    <w:rPr>
      <w:rFonts w:ascii="Arial" w:eastAsia="Times New Roman" w:hAnsi="Arial" w:cs="Angsana New"/>
      <w:szCs w:val="24"/>
      <w:lang w:eastAsia="en-US" w:bidi="th-TH"/>
    </w:rPr>
  </w:style>
  <w:style w:type="table" w:customStyle="1" w:styleId="HQSCdefault">
    <w:name w:val="HQSC default"/>
    <w:basedOn w:val="TableNormal"/>
    <w:uiPriority w:val="99"/>
    <w:rsid w:val="0019341A"/>
    <w:pPr>
      <w:spacing w:before="60" w:after="60" w:line="264" w:lineRule="auto"/>
    </w:pPr>
    <w:rPr>
      <w:rFonts w:ascii="Arial" w:hAnsi="Arial"/>
      <w:sz w:val="22"/>
    </w:rPr>
    <w:tblPr>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Mar>
        <w:top w:w="57" w:type="dxa"/>
      </w:tcMar>
    </w:tcPr>
    <w:tblStylePr w:type="firstRow">
      <w:tblPr/>
      <w:tcPr>
        <w:shd w:val="clear" w:color="auto" w:fill="F2F2F2" w:themeFill="background1" w:themeFillShade="F2"/>
      </w:tcPr>
    </w:tblStylePr>
    <w:tblStylePr w:type="lastRow">
      <w:rPr>
        <w:rFonts w:ascii="Arial" w:hAnsi="Arial"/>
        <w:b/>
        <w:color w:val="000000" w:themeColor="text1"/>
        <w:sz w:val="22"/>
      </w:rPr>
      <w:tblPr/>
      <w:tcPr>
        <w:shd w:val="clear" w:color="auto" w:fill="F2F2F2" w:themeFill="background1" w:themeFillShade="F2"/>
      </w:tcPr>
    </w:tblStylePr>
    <w:tblStylePr w:type="firstCol">
      <w:rPr>
        <w:rFonts w:ascii="Arial" w:hAnsi="Arial"/>
        <w:b/>
        <w:color w:val="000000" w:themeColor="text1"/>
        <w:sz w:val="22"/>
      </w:rPr>
      <w:tblPr/>
      <w:tcPr>
        <w:shd w:val="clear" w:color="auto" w:fill="F2F2F2" w:themeFill="background1" w:themeFillShade="F2"/>
      </w:tcPr>
    </w:tblStylePr>
  </w:style>
  <w:style w:type="table" w:styleId="TableGrid">
    <w:name w:val="Table Grid"/>
    <w:basedOn w:val="TableNormal"/>
    <w:uiPriority w:val="39"/>
    <w:rsid w:val="001934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9341A"/>
    <w:rPr>
      <w:rFonts w:ascii="Arial" w:eastAsiaTheme="majorEastAsia" w:hAnsi="Arial" w:cstheme="majorBidi"/>
      <w:b/>
      <w:color w:val="293868"/>
      <w:sz w:val="24"/>
      <w:szCs w:val="22"/>
      <w:lang w:eastAsia="en-US"/>
    </w:rPr>
  </w:style>
  <w:style w:type="paragraph" w:customStyle="1" w:styleId="Bullets">
    <w:name w:val="Bullets"/>
    <w:basedOn w:val="Normal"/>
    <w:link w:val="BulletsChar"/>
    <w:qFormat/>
    <w:rsid w:val="007D50AC"/>
    <w:pPr>
      <w:numPr>
        <w:numId w:val="2"/>
      </w:numPr>
      <w:spacing w:after="60"/>
    </w:pPr>
    <w:rPr>
      <w:color w:val="000000" w:themeColor="text1"/>
    </w:rPr>
  </w:style>
  <w:style w:type="character" w:customStyle="1" w:styleId="BulletsChar">
    <w:name w:val="Bullets Char"/>
    <w:basedOn w:val="DefaultParagraphFont"/>
    <w:link w:val="Bullets"/>
    <w:rsid w:val="007D50AC"/>
    <w:rPr>
      <w:rFonts w:ascii="Arial" w:eastAsiaTheme="minorHAnsi" w:hAnsi="Arial" w:cs="Arial"/>
      <w:color w:val="000000" w:themeColor="text1"/>
      <w:sz w:val="22"/>
      <w:szCs w:val="22"/>
      <w:lang w:eastAsia="en-US"/>
    </w:rPr>
  </w:style>
  <w:style w:type="paragraph" w:styleId="Caption">
    <w:name w:val="caption"/>
    <w:basedOn w:val="Normal"/>
    <w:next w:val="Normal"/>
    <w:uiPriority w:val="35"/>
    <w:unhideWhenUsed/>
    <w:qFormat/>
    <w:rsid w:val="0019341A"/>
    <w:pPr>
      <w:spacing w:line="240" w:lineRule="auto"/>
    </w:pPr>
    <w:rPr>
      <w:i/>
      <w:iCs/>
      <w:color w:val="1F497D" w:themeColor="text2"/>
      <w:sz w:val="18"/>
      <w:szCs w:val="18"/>
    </w:rPr>
  </w:style>
  <w:style w:type="numbering" w:customStyle="1" w:styleId="CurrentList1">
    <w:name w:val="Current List1"/>
    <w:uiPriority w:val="99"/>
    <w:rsid w:val="0019341A"/>
    <w:pPr>
      <w:numPr>
        <w:numId w:val="3"/>
      </w:numPr>
    </w:pPr>
  </w:style>
  <w:style w:type="character" w:styleId="Emphasis">
    <w:name w:val="Emphasis"/>
    <w:basedOn w:val="DefaultParagraphFont"/>
    <w:uiPriority w:val="20"/>
    <w:qFormat/>
    <w:rsid w:val="0019341A"/>
    <w:rPr>
      <w:i/>
      <w:iCs/>
    </w:rPr>
  </w:style>
  <w:style w:type="character" w:styleId="EndnoteReference">
    <w:name w:val="endnote reference"/>
    <w:basedOn w:val="DefaultParagraphFont"/>
    <w:uiPriority w:val="99"/>
    <w:semiHidden/>
    <w:unhideWhenUsed/>
    <w:rsid w:val="0019341A"/>
    <w:rPr>
      <w:vertAlign w:val="superscript"/>
    </w:rPr>
  </w:style>
  <w:style w:type="paragraph" w:styleId="EndnoteText">
    <w:name w:val="endnote text"/>
    <w:basedOn w:val="Normal"/>
    <w:link w:val="EndnoteTextChar"/>
    <w:uiPriority w:val="99"/>
    <w:semiHidden/>
    <w:unhideWhenUsed/>
    <w:rsid w:val="001934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341A"/>
    <w:rPr>
      <w:rFonts w:ascii="Arial" w:eastAsiaTheme="minorHAnsi" w:hAnsi="Arial" w:cs="Arial"/>
      <w:lang w:eastAsia="en-US"/>
    </w:rPr>
  </w:style>
  <w:style w:type="paragraph" w:customStyle="1" w:styleId="Figuretableheading">
    <w:name w:val="Figure table heading"/>
    <w:basedOn w:val="Normal"/>
    <w:link w:val="FiguretableheadingChar"/>
    <w:qFormat/>
    <w:rsid w:val="0019341A"/>
    <w:rPr>
      <w:b/>
    </w:rPr>
  </w:style>
  <w:style w:type="character" w:customStyle="1" w:styleId="FiguretableheadingChar">
    <w:name w:val="Figure table heading Char"/>
    <w:basedOn w:val="DefaultParagraphFont"/>
    <w:link w:val="Figuretableheading"/>
    <w:rsid w:val="0019341A"/>
    <w:rPr>
      <w:rFonts w:ascii="Arial" w:eastAsiaTheme="minorHAnsi" w:hAnsi="Arial" w:cs="Arial"/>
      <w:b/>
      <w:sz w:val="22"/>
      <w:szCs w:val="22"/>
      <w:lang w:eastAsia="en-US"/>
    </w:rPr>
  </w:style>
  <w:style w:type="character" w:styleId="FollowedHyperlink">
    <w:name w:val="FollowedHyperlink"/>
    <w:basedOn w:val="DefaultParagraphFont"/>
    <w:uiPriority w:val="99"/>
    <w:semiHidden/>
    <w:unhideWhenUsed/>
    <w:rsid w:val="0019341A"/>
    <w:rPr>
      <w:color w:val="800080" w:themeColor="followedHyperlink"/>
      <w:u w:val="single"/>
    </w:rPr>
  </w:style>
  <w:style w:type="character" w:styleId="FootnoteReference">
    <w:name w:val="footnote reference"/>
    <w:basedOn w:val="DefaultParagraphFont"/>
    <w:unhideWhenUsed/>
    <w:rsid w:val="0019341A"/>
    <w:rPr>
      <w:vertAlign w:val="superscript"/>
    </w:rPr>
  </w:style>
  <w:style w:type="paragraph" w:styleId="FootnoteText">
    <w:name w:val="footnote text"/>
    <w:aliases w:val="Footnote Text Char Char"/>
    <w:basedOn w:val="Normal"/>
    <w:link w:val="FootnoteTextChar"/>
    <w:unhideWhenUsed/>
    <w:rsid w:val="0019341A"/>
    <w:pPr>
      <w:spacing w:after="0" w:line="240" w:lineRule="auto"/>
    </w:pPr>
    <w:rPr>
      <w:rFonts w:asciiTheme="minorHAnsi" w:hAnsiTheme="minorHAnsi"/>
      <w:sz w:val="20"/>
      <w:szCs w:val="20"/>
    </w:rPr>
  </w:style>
  <w:style w:type="character" w:customStyle="1" w:styleId="FootnoteTextChar">
    <w:name w:val="Footnote Text Char"/>
    <w:aliases w:val="Footnote Text Char Char Char"/>
    <w:basedOn w:val="DefaultParagraphFont"/>
    <w:link w:val="FootnoteText"/>
    <w:rsid w:val="0019341A"/>
    <w:rPr>
      <w:rFonts w:asciiTheme="minorHAnsi" w:eastAsiaTheme="minorHAnsi" w:hAnsiTheme="minorHAnsi" w:cs="Arial"/>
      <w:lang w:eastAsia="en-US"/>
    </w:rPr>
  </w:style>
  <w:style w:type="paragraph" w:customStyle="1" w:styleId="Glossary">
    <w:name w:val="Glossary"/>
    <w:basedOn w:val="Normal"/>
    <w:qFormat/>
    <w:rsid w:val="0019341A"/>
    <w:pPr>
      <w:spacing w:before="120" w:line="240" w:lineRule="auto"/>
    </w:pPr>
    <w:rPr>
      <w:b/>
      <w:bCs/>
      <w:noProof/>
    </w:rPr>
  </w:style>
  <w:style w:type="numbering" w:customStyle="1" w:styleId="CurrentList2">
    <w:name w:val="Current List2"/>
    <w:uiPriority w:val="99"/>
    <w:rsid w:val="0019341A"/>
    <w:pPr>
      <w:numPr>
        <w:numId w:val="4"/>
      </w:numPr>
    </w:pPr>
  </w:style>
  <w:style w:type="character" w:customStyle="1" w:styleId="Heading4Char">
    <w:name w:val="Heading 4 Char"/>
    <w:basedOn w:val="DefaultParagraphFont"/>
    <w:link w:val="Heading4"/>
    <w:uiPriority w:val="9"/>
    <w:rsid w:val="0019341A"/>
    <w:rPr>
      <w:rFonts w:ascii="Arial" w:eastAsiaTheme="minorHAnsi" w:hAnsi="Arial" w:cs="Arial"/>
      <w:iCs/>
      <w:color w:val="293868"/>
      <w:sz w:val="22"/>
      <w:szCs w:val="22"/>
      <w:lang w:val="mi-NZ" w:eastAsia="en-US"/>
    </w:rPr>
  </w:style>
  <w:style w:type="character" w:customStyle="1" w:styleId="Heading5Char">
    <w:name w:val="Heading 5 Char"/>
    <w:basedOn w:val="DefaultParagraphFont"/>
    <w:link w:val="Heading5"/>
    <w:uiPriority w:val="9"/>
    <w:rsid w:val="0019341A"/>
    <w:rPr>
      <w:rFonts w:ascii="Arial" w:eastAsiaTheme="minorHAnsi" w:hAnsi="Arial" w:cs="Arial"/>
      <w:i/>
      <w:color w:val="293868"/>
      <w:sz w:val="22"/>
      <w:szCs w:val="22"/>
      <w:lang w:val="mi-NZ" w:eastAsia="en-US"/>
    </w:rPr>
  </w:style>
  <w:style w:type="paragraph" w:customStyle="1" w:styleId="Letters-twoandtwo0">
    <w:name w:val="Letters - two and two"/>
    <w:basedOn w:val="Normal"/>
    <w:link w:val="Letters-twoandtwoChar"/>
    <w:qFormat/>
    <w:rsid w:val="002E1D49"/>
    <w:pPr>
      <w:numPr>
        <w:numId w:val="18"/>
      </w:numPr>
      <w:spacing w:after="60"/>
    </w:pPr>
    <w:rPr>
      <w:bCs/>
    </w:rPr>
  </w:style>
  <w:style w:type="character" w:customStyle="1" w:styleId="Letters-twoandtwoChar">
    <w:name w:val="Letters - two and two Char"/>
    <w:basedOn w:val="DefaultParagraphFont"/>
    <w:link w:val="Letters-twoandtwo0"/>
    <w:rsid w:val="002E1D49"/>
    <w:rPr>
      <w:rFonts w:ascii="Arial" w:eastAsiaTheme="minorHAnsi" w:hAnsi="Arial" w:cs="Arial"/>
      <w:bCs/>
      <w:sz w:val="22"/>
      <w:szCs w:val="22"/>
      <w:lang w:eastAsia="en-US"/>
    </w:rPr>
  </w:style>
  <w:style w:type="paragraph" w:styleId="List">
    <w:name w:val="List"/>
    <w:basedOn w:val="Normal"/>
    <w:uiPriority w:val="99"/>
    <w:unhideWhenUsed/>
    <w:rsid w:val="0019341A"/>
    <w:pPr>
      <w:ind w:left="283" w:hanging="283"/>
      <w:contextualSpacing/>
    </w:pPr>
  </w:style>
  <w:style w:type="paragraph" w:styleId="ListNumber">
    <w:name w:val="List Number"/>
    <w:basedOn w:val="Normal"/>
    <w:link w:val="ListNumberChar"/>
    <w:uiPriority w:val="99"/>
    <w:unhideWhenUsed/>
    <w:rsid w:val="0019341A"/>
    <w:pPr>
      <w:numPr>
        <w:numId w:val="1"/>
      </w:numPr>
      <w:spacing w:after="60"/>
    </w:pPr>
  </w:style>
  <w:style w:type="paragraph" w:styleId="NormalIndent">
    <w:name w:val="Normal Indent"/>
    <w:basedOn w:val="Normal"/>
    <w:uiPriority w:val="99"/>
    <w:unhideWhenUsed/>
    <w:rsid w:val="0019341A"/>
    <w:pPr>
      <w:ind w:left="720"/>
    </w:pPr>
  </w:style>
  <w:style w:type="paragraph" w:styleId="Quote">
    <w:name w:val="Quote"/>
    <w:basedOn w:val="Normal"/>
    <w:next w:val="Normal"/>
    <w:link w:val="QuoteChar"/>
    <w:uiPriority w:val="29"/>
    <w:qFormat/>
    <w:rsid w:val="0019341A"/>
    <w:pPr>
      <w:spacing w:before="240" w:after="60"/>
      <w:ind w:left="709" w:right="709"/>
    </w:pPr>
    <w:rPr>
      <w:iCs/>
      <w:color w:val="595959" w:themeColor="text1" w:themeTint="A6"/>
    </w:rPr>
  </w:style>
  <w:style w:type="character" w:customStyle="1" w:styleId="QuoteChar">
    <w:name w:val="Quote Char"/>
    <w:basedOn w:val="DefaultParagraphFont"/>
    <w:link w:val="Quote"/>
    <w:uiPriority w:val="29"/>
    <w:rsid w:val="0019341A"/>
    <w:rPr>
      <w:rFonts w:ascii="Arial" w:eastAsiaTheme="minorHAnsi" w:hAnsi="Arial" w:cs="Arial"/>
      <w:iCs/>
      <w:color w:val="595959" w:themeColor="text1" w:themeTint="A6"/>
      <w:sz w:val="22"/>
      <w:szCs w:val="22"/>
      <w:lang w:eastAsia="en-US"/>
    </w:rPr>
  </w:style>
  <w:style w:type="paragraph" w:styleId="Subtitle">
    <w:name w:val="Subtitle"/>
    <w:basedOn w:val="Normal"/>
    <w:next w:val="Normal"/>
    <w:link w:val="SubtitleChar"/>
    <w:rsid w:val="0019341A"/>
    <w:pPr>
      <w:keepNext/>
      <w:keepLines/>
      <w:pBdr>
        <w:top w:val="nil"/>
        <w:left w:val="nil"/>
        <w:bottom w:val="nil"/>
        <w:right w:val="nil"/>
        <w:between w:val="nil"/>
      </w:pBdr>
      <w:spacing w:after="320"/>
      <w:contextualSpacing/>
    </w:pPr>
    <w:rPr>
      <w:rFonts w:eastAsia="Arial"/>
      <w:color w:val="666666"/>
      <w:sz w:val="30"/>
      <w:szCs w:val="30"/>
      <w:lang w:eastAsia="en-NZ"/>
    </w:rPr>
  </w:style>
  <w:style w:type="character" w:customStyle="1" w:styleId="SubtitleChar">
    <w:name w:val="Subtitle Char"/>
    <w:basedOn w:val="DefaultParagraphFont"/>
    <w:link w:val="Subtitle"/>
    <w:rsid w:val="0019341A"/>
    <w:rPr>
      <w:rFonts w:ascii="Arial" w:eastAsia="Arial" w:hAnsi="Arial" w:cs="Arial"/>
      <w:color w:val="666666"/>
      <w:sz w:val="30"/>
      <w:szCs w:val="30"/>
    </w:rPr>
  </w:style>
  <w:style w:type="paragraph" w:styleId="TOC1">
    <w:name w:val="toc 1"/>
    <w:basedOn w:val="Normal"/>
    <w:next w:val="Normal"/>
    <w:autoRedefine/>
    <w:uiPriority w:val="39"/>
    <w:unhideWhenUsed/>
    <w:rsid w:val="0019341A"/>
    <w:pPr>
      <w:tabs>
        <w:tab w:val="right" w:leader="dot" w:pos="9016"/>
      </w:tabs>
      <w:spacing w:after="0" w:line="240" w:lineRule="auto"/>
    </w:pPr>
    <w:rPr>
      <w:b/>
      <w:bCs/>
      <w:sz w:val="24"/>
      <w:szCs w:val="24"/>
    </w:rPr>
  </w:style>
  <w:style w:type="paragraph" w:styleId="TOC2">
    <w:name w:val="toc 2"/>
    <w:basedOn w:val="Normal"/>
    <w:next w:val="Normal"/>
    <w:autoRedefine/>
    <w:uiPriority w:val="39"/>
    <w:unhideWhenUsed/>
    <w:rsid w:val="0019341A"/>
    <w:pPr>
      <w:tabs>
        <w:tab w:val="right" w:leader="dot" w:pos="9016"/>
      </w:tabs>
      <w:spacing w:after="0" w:line="240" w:lineRule="auto"/>
      <w:ind w:left="284"/>
    </w:pPr>
    <w:rPr>
      <w:rFonts w:cstheme="minorHAnsi"/>
      <w:bCs/>
      <w:sz w:val="20"/>
      <w:szCs w:val="20"/>
    </w:rPr>
  </w:style>
  <w:style w:type="paragraph" w:styleId="TOC3">
    <w:name w:val="toc 3"/>
    <w:basedOn w:val="Normal"/>
    <w:next w:val="Normal"/>
    <w:autoRedefine/>
    <w:uiPriority w:val="39"/>
    <w:unhideWhenUsed/>
    <w:rsid w:val="0019341A"/>
    <w:pPr>
      <w:spacing w:after="0"/>
      <w:ind w:left="567"/>
    </w:pPr>
    <w:rPr>
      <w:rFonts w:asciiTheme="minorHAnsi" w:hAnsiTheme="minorHAnsi" w:cstheme="minorHAnsi"/>
      <w:sz w:val="20"/>
      <w:szCs w:val="20"/>
    </w:rPr>
  </w:style>
  <w:style w:type="character" w:styleId="UnresolvedMention">
    <w:name w:val="Unresolved Mention"/>
    <w:basedOn w:val="DefaultParagraphFont"/>
    <w:uiPriority w:val="99"/>
    <w:unhideWhenUsed/>
    <w:rsid w:val="0019341A"/>
    <w:rPr>
      <w:color w:val="605E5C"/>
      <w:shd w:val="clear" w:color="auto" w:fill="E1DFDD"/>
    </w:rPr>
  </w:style>
  <w:style w:type="numbering" w:customStyle="1" w:styleId="letters-twoandtwo">
    <w:name w:val="letters - two and two"/>
    <w:uiPriority w:val="99"/>
    <w:rsid w:val="002E1D49"/>
    <w:pPr>
      <w:numPr>
        <w:numId w:val="10"/>
      </w:numPr>
    </w:pPr>
  </w:style>
  <w:style w:type="paragraph" w:customStyle="1" w:styleId="Bulletsdash">
    <w:name w:val="Bullets dash"/>
    <w:basedOn w:val="Bullets"/>
    <w:link w:val="BulletsdashChar"/>
    <w:qFormat/>
    <w:rsid w:val="00A00C3C"/>
    <w:pPr>
      <w:numPr>
        <w:numId w:val="0"/>
      </w:numPr>
      <w:ind w:left="357" w:hanging="357"/>
    </w:pPr>
  </w:style>
  <w:style w:type="numbering" w:customStyle="1" w:styleId="CurrentList4">
    <w:name w:val="Current List4"/>
    <w:uiPriority w:val="99"/>
    <w:rsid w:val="0019341A"/>
    <w:pPr>
      <w:numPr>
        <w:numId w:val="6"/>
      </w:numPr>
    </w:pPr>
  </w:style>
  <w:style w:type="numbering" w:customStyle="1" w:styleId="CurrentList3">
    <w:name w:val="Current List3"/>
    <w:uiPriority w:val="99"/>
    <w:rsid w:val="0019341A"/>
    <w:pPr>
      <w:numPr>
        <w:numId w:val="5"/>
      </w:numPr>
    </w:pPr>
  </w:style>
  <w:style w:type="character" w:customStyle="1" w:styleId="BulletsdashChar">
    <w:name w:val="Bullets dash Char"/>
    <w:basedOn w:val="BulletsChar"/>
    <w:link w:val="Bulletsdash"/>
    <w:rsid w:val="00A00C3C"/>
    <w:rPr>
      <w:rFonts w:ascii="Arial" w:eastAsiaTheme="minorHAnsi" w:hAnsi="Arial" w:cs="Arial"/>
      <w:color w:val="000000" w:themeColor="text1"/>
      <w:sz w:val="22"/>
      <w:szCs w:val="22"/>
      <w:lang w:eastAsia="en-US"/>
    </w:rPr>
  </w:style>
  <w:style w:type="numbering" w:customStyle="1" w:styleId="CurrentList5">
    <w:name w:val="Current List5"/>
    <w:uiPriority w:val="99"/>
    <w:rsid w:val="0019341A"/>
    <w:pPr>
      <w:numPr>
        <w:numId w:val="7"/>
      </w:numPr>
    </w:pPr>
  </w:style>
  <w:style w:type="numbering" w:customStyle="1" w:styleId="Endash-twolevels">
    <w:name w:val="En dash - two levels"/>
    <w:uiPriority w:val="99"/>
    <w:rsid w:val="0019341A"/>
    <w:pPr>
      <w:numPr>
        <w:numId w:val="9"/>
      </w:numPr>
    </w:pPr>
  </w:style>
  <w:style w:type="paragraph" w:customStyle="1" w:styleId="Normalintable">
    <w:name w:val="Normal in table"/>
    <w:basedOn w:val="Normal"/>
    <w:qFormat/>
    <w:rsid w:val="008F40E5"/>
    <w:pPr>
      <w:spacing w:before="60" w:after="60"/>
    </w:pPr>
    <w:rPr>
      <w:color w:val="000000" w:themeColor="text1"/>
    </w:rPr>
  </w:style>
  <w:style w:type="paragraph" w:customStyle="1" w:styleId="Memotitle">
    <w:name w:val="Memo title"/>
    <w:qFormat/>
    <w:rsid w:val="00EA4C59"/>
    <w:pPr>
      <w:pBdr>
        <w:bottom w:val="single" w:sz="4" w:space="1" w:color="293868"/>
      </w:pBdr>
      <w:spacing w:after="240" w:line="276" w:lineRule="auto"/>
    </w:pPr>
    <w:rPr>
      <w:rFonts w:ascii="Arial" w:eastAsiaTheme="minorHAnsi" w:hAnsi="Arial" w:cs="Arial"/>
      <w:b/>
      <w:bCs/>
      <w:color w:val="293868"/>
      <w:sz w:val="44"/>
      <w:szCs w:val="44"/>
      <w:lang w:eastAsia="en-US"/>
    </w:rPr>
  </w:style>
  <w:style w:type="character" w:styleId="PlaceholderText">
    <w:name w:val="Placeholder Text"/>
    <w:basedOn w:val="DefaultParagraphFont"/>
    <w:uiPriority w:val="99"/>
    <w:semiHidden/>
    <w:rsid w:val="00DA67B8"/>
    <w:rPr>
      <w:color w:val="808080"/>
    </w:rPr>
  </w:style>
  <w:style w:type="paragraph" w:styleId="ListParagraph">
    <w:name w:val="List Paragraph"/>
    <w:aliases w:val="Bullet Normal,Normal text,List Paragraph1,Level 3,List Paragraph numbered,List Bullet indent,Rec para,Bullet List,FooterText,numbered,Paragraphe de liste1,Bulletr List Paragraph,列出段落,列出段落1,Listeafsnit1,Parágrafo da Lista1,List Paragraph2"/>
    <w:basedOn w:val="Normal"/>
    <w:link w:val="ListParagraphChar"/>
    <w:uiPriority w:val="34"/>
    <w:qFormat/>
    <w:rsid w:val="007955D6"/>
    <w:pPr>
      <w:autoSpaceDE/>
      <w:autoSpaceDN/>
      <w:adjustRightInd/>
      <w:spacing w:after="0" w:line="240" w:lineRule="auto"/>
      <w:ind w:left="720"/>
      <w:contextualSpacing/>
    </w:pPr>
    <w:rPr>
      <w:rFonts w:eastAsia="Times New Roman" w:cs="Times New Roman"/>
      <w:lang w:eastAsia="en-NZ"/>
    </w:rPr>
  </w:style>
  <w:style w:type="paragraph" w:customStyle="1" w:styleId="Boardpapernumbered">
    <w:name w:val="Board paper numbered"/>
    <w:basedOn w:val="ListNumber"/>
    <w:link w:val="BoardpapernumberedChar"/>
    <w:qFormat/>
    <w:rsid w:val="005B329F"/>
    <w:pPr>
      <w:spacing w:after="240"/>
      <w:ind w:left="357" w:hanging="357"/>
    </w:pPr>
    <w:rPr>
      <w:lang w:eastAsia="en-GB"/>
    </w:rPr>
  </w:style>
  <w:style w:type="character" w:customStyle="1" w:styleId="ListNumberChar">
    <w:name w:val="List Number Char"/>
    <w:basedOn w:val="DefaultParagraphFont"/>
    <w:link w:val="ListNumber"/>
    <w:uiPriority w:val="99"/>
    <w:rsid w:val="005B329F"/>
    <w:rPr>
      <w:rFonts w:ascii="Arial" w:eastAsiaTheme="minorHAnsi" w:hAnsi="Arial" w:cs="Arial"/>
      <w:sz w:val="22"/>
      <w:szCs w:val="22"/>
      <w:lang w:eastAsia="en-US"/>
    </w:rPr>
  </w:style>
  <w:style w:type="character" w:customStyle="1" w:styleId="BoardpapernumberedChar">
    <w:name w:val="Board paper numbered Char"/>
    <w:basedOn w:val="ListNumberChar"/>
    <w:link w:val="Boardpapernumbered"/>
    <w:rsid w:val="005B329F"/>
    <w:rPr>
      <w:rFonts w:ascii="Arial" w:eastAsiaTheme="minorHAnsi" w:hAnsi="Arial" w:cs="Arial"/>
      <w:sz w:val="22"/>
      <w:szCs w:val="22"/>
      <w:lang w:eastAsia="en-GB"/>
    </w:rPr>
  </w:style>
  <w:style w:type="character" w:customStyle="1" w:styleId="ListParagraphChar">
    <w:name w:val="List Paragraph Char"/>
    <w:aliases w:val="Bullet Normal Char,Normal text Char,List Paragraph1 Char,Level 3 Char,List Paragraph numbered Char,List Bullet indent Char,Rec para Char,Bullet List Char,FooterText Char,numbered Char,Paragraphe de liste1 Char,列出段落 Char,列出段落1 Char"/>
    <w:basedOn w:val="DefaultParagraphFont"/>
    <w:link w:val="ListParagraph"/>
    <w:uiPriority w:val="1"/>
    <w:qFormat/>
    <w:locked/>
    <w:rsid w:val="008B674B"/>
    <w:rPr>
      <w:rFonts w:ascii="Arial" w:eastAsia="Times New Roman" w:hAnsi="Arial"/>
      <w:sz w:val="22"/>
      <w:szCs w:val="22"/>
    </w:rPr>
  </w:style>
  <w:style w:type="paragraph" w:customStyle="1" w:styleId="TeThHauorabodytext">
    <w:name w:val="Te Tāhū Hauora body text"/>
    <w:basedOn w:val="Normal"/>
    <w:qFormat/>
    <w:rsid w:val="00BA5207"/>
    <w:pPr>
      <w:autoSpaceDE/>
      <w:autoSpaceDN/>
      <w:adjustRightInd/>
    </w:pPr>
  </w:style>
  <w:style w:type="paragraph" w:styleId="TOCHeading">
    <w:name w:val="TOC Heading"/>
    <w:basedOn w:val="Heading1"/>
    <w:next w:val="Normal"/>
    <w:uiPriority w:val="39"/>
    <w:unhideWhenUsed/>
    <w:qFormat/>
    <w:rsid w:val="00640D42"/>
    <w:pPr>
      <w:keepLines/>
      <w:autoSpaceDE/>
      <w:autoSpaceDN/>
      <w:adjustRightInd/>
      <w:spacing w:after="240" w:line="259" w:lineRule="auto"/>
      <w:outlineLvl w:val="9"/>
    </w:pPr>
    <w:rPr>
      <w:rFonts w:eastAsiaTheme="majorEastAsia" w:cstheme="majorBidi"/>
      <w:bCs w:val="0"/>
      <w:color w:val="000000" w:themeColor="text1"/>
      <w:szCs w:val="32"/>
      <w:lang w:val="en-US"/>
    </w:rPr>
  </w:style>
  <w:style w:type="paragraph" w:customStyle="1" w:styleId="Body">
    <w:name w:val="Body"/>
    <w:rsid w:val="00640D42"/>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numbering" w:customStyle="1" w:styleId="Dash">
    <w:name w:val="Dash"/>
    <w:rsid w:val="00640D42"/>
    <w:pPr>
      <w:numPr>
        <w:numId w:val="39"/>
      </w:numPr>
    </w:pPr>
  </w:style>
  <w:style w:type="paragraph" w:styleId="BalloonText">
    <w:name w:val="Balloon Text"/>
    <w:basedOn w:val="Normal"/>
    <w:link w:val="BalloonTextChar"/>
    <w:uiPriority w:val="99"/>
    <w:semiHidden/>
    <w:unhideWhenUsed/>
    <w:rsid w:val="00640D42"/>
    <w:pPr>
      <w:autoSpaceDE/>
      <w:autoSpaceDN/>
      <w:adjustRightInd/>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D42"/>
    <w:rPr>
      <w:rFonts w:ascii="Segoe UI" w:eastAsiaTheme="minorHAnsi" w:hAnsi="Segoe UI" w:cs="Segoe UI"/>
      <w:sz w:val="18"/>
      <w:szCs w:val="18"/>
      <w:lang w:eastAsia="en-US"/>
    </w:rPr>
  </w:style>
  <w:style w:type="paragraph" w:styleId="ListContinue">
    <w:name w:val="List Continue"/>
    <w:basedOn w:val="Normal"/>
    <w:uiPriority w:val="99"/>
    <w:unhideWhenUsed/>
    <w:rsid w:val="00640D42"/>
    <w:pPr>
      <w:autoSpaceDE/>
      <w:autoSpaceDN/>
      <w:adjustRightInd/>
      <w:ind w:left="283"/>
      <w:contextualSpacing/>
    </w:pPr>
    <w:rPr>
      <w:rFonts w:cstheme="minorBidi"/>
    </w:rPr>
  </w:style>
  <w:style w:type="paragraph" w:styleId="ListBullet">
    <w:name w:val="List Bullet"/>
    <w:basedOn w:val="Normal"/>
    <w:link w:val="ListBulletChar"/>
    <w:uiPriority w:val="99"/>
    <w:unhideWhenUsed/>
    <w:rsid w:val="00640D42"/>
    <w:pPr>
      <w:tabs>
        <w:tab w:val="num" w:pos="360"/>
      </w:tabs>
      <w:autoSpaceDE/>
      <w:autoSpaceDN/>
      <w:adjustRightInd/>
      <w:ind w:left="360" w:hanging="360"/>
      <w:contextualSpacing/>
    </w:pPr>
    <w:rPr>
      <w:rFonts w:cstheme="minorBidi"/>
    </w:rPr>
  </w:style>
  <w:style w:type="paragraph" w:styleId="BodyText">
    <w:name w:val="Body Text"/>
    <w:basedOn w:val="Normal"/>
    <w:link w:val="BodyTextChar"/>
    <w:uiPriority w:val="1"/>
    <w:qFormat/>
    <w:rsid w:val="00640D42"/>
    <w:pPr>
      <w:widowControl w:val="0"/>
      <w:autoSpaceDE/>
      <w:autoSpaceDN/>
      <w:adjustRightInd/>
    </w:pPr>
    <w:rPr>
      <w:rFonts w:eastAsia="Arial"/>
    </w:rPr>
  </w:style>
  <w:style w:type="character" w:customStyle="1" w:styleId="BodyTextChar">
    <w:name w:val="Body Text Char"/>
    <w:basedOn w:val="DefaultParagraphFont"/>
    <w:link w:val="BodyText"/>
    <w:uiPriority w:val="1"/>
    <w:rsid w:val="00640D42"/>
    <w:rPr>
      <w:rFonts w:ascii="Arial" w:eastAsia="Arial" w:hAnsi="Arial" w:cs="Arial"/>
      <w:sz w:val="22"/>
      <w:szCs w:val="22"/>
      <w:lang w:eastAsia="en-US"/>
    </w:rPr>
  </w:style>
  <w:style w:type="character" w:customStyle="1" w:styleId="ListBulletChar">
    <w:name w:val="List Bullet Char"/>
    <w:basedOn w:val="DefaultParagraphFont"/>
    <w:link w:val="ListBullet"/>
    <w:uiPriority w:val="99"/>
    <w:rsid w:val="00640D42"/>
    <w:rPr>
      <w:rFonts w:ascii="Arial" w:eastAsiaTheme="minorHAnsi" w:hAnsi="Arial" w:cstheme="minorBidi"/>
      <w:sz w:val="22"/>
      <w:szCs w:val="22"/>
      <w:lang w:eastAsia="en-US"/>
    </w:rPr>
  </w:style>
  <w:style w:type="table" w:styleId="GridTable4-Accent5">
    <w:name w:val="Grid Table 4 Accent 5"/>
    <w:basedOn w:val="TableNormal"/>
    <w:uiPriority w:val="49"/>
    <w:rsid w:val="00640D42"/>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5">
    <w:name w:val="Grid Table 5 Dark Accent 5"/>
    <w:basedOn w:val="TableNormal"/>
    <w:uiPriority w:val="50"/>
    <w:rsid w:val="00640D42"/>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eGrid2">
    <w:name w:val="Table Grid2"/>
    <w:basedOn w:val="TableNormal"/>
    <w:next w:val="TableGrid"/>
    <w:rsid w:val="00640D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640D42"/>
    <w:rPr>
      <w:color w:val="2B579A"/>
      <w:shd w:val="clear" w:color="auto" w:fill="E1DFDD"/>
    </w:rPr>
  </w:style>
  <w:style w:type="table" w:styleId="GridTable2-Accent1">
    <w:name w:val="Grid Table 2 Accent 1"/>
    <w:basedOn w:val="TableNormal"/>
    <w:uiPriority w:val="47"/>
    <w:rsid w:val="00640D42"/>
    <w:rPr>
      <w:rFonts w:asciiTheme="minorHAnsi" w:eastAsiaTheme="minorHAnsi" w:hAnsiTheme="minorHAnsi" w:cstheme="minorBidi"/>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3-Accent1">
    <w:name w:val="Grid Table 3 Accent 1"/>
    <w:basedOn w:val="TableNormal"/>
    <w:uiPriority w:val="48"/>
    <w:rsid w:val="00640D42"/>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5Dark-Accent1">
    <w:name w:val="Grid Table 5 Dark Accent 1"/>
    <w:basedOn w:val="TableNormal"/>
    <w:uiPriority w:val="50"/>
    <w:rsid w:val="00640D42"/>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640D42"/>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lock-listitem">
    <w:name w:val="block-list__item"/>
    <w:basedOn w:val="Normal"/>
    <w:rsid w:val="00640D42"/>
    <w:pPr>
      <w:autoSpaceDE/>
      <w:autoSpaceDN/>
      <w:adjustRightInd/>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640D42"/>
  </w:style>
  <w:style w:type="character" w:customStyle="1" w:styleId="eop">
    <w:name w:val="eop"/>
    <w:basedOn w:val="DefaultParagraphFont"/>
    <w:rsid w:val="00640D42"/>
  </w:style>
  <w:style w:type="character" w:customStyle="1" w:styleId="cf01">
    <w:name w:val="cf01"/>
    <w:basedOn w:val="DefaultParagraphFont"/>
    <w:rsid w:val="00640D42"/>
    <w:rPr>
      <w:rFonts w:ascii="Segoe UI" w:hAnsi="Segoe UI" w:cs="Segoe UI" w:hint="default"/>
      <w:sz w:val="18"/>
      <w:szCs w:val="18"/>
    </w:rPr>
  </w:style>
  <w:style w:type="paragraph" w:customStyle="1" w:styleId="pf0">
    <w:name w:val="pf0"/>
    <w:basedOn w:val="Normal"/>
    <w:rsid w:val="00640D42"/>
    <w:pPr>
      <w:autoSpaceDE/>
      <w:autoSpaceDN/>
      <w:adjustRightInd/>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11">
    <w:name w:val="cf11"/>
    <w:basedOn w:val="DefaultParagraphFont"/>
    <w:rsid w:val="00640D42"/>
    <w:rPr>
      <w:rFonts w:ascii="Segoe UI" w:hAnsi="Segoe UI" w:cs="Segoe UI" w:hint="default"/>
      <w:i/>
      <w:iCs/>
      <w:sz w:val="18"/>
      <w:szCs w:val="18"/>
    </w:rPr>
  </w:style>
  <w:style w:type="paragraph" w:customStyle="1" w:styleId="EndNoteBibliographyTitle">
    <w:name w:val="EndNote Bibliography Title"/>
    <w:basedOn w:val="Normal"/>
    <w:link w:val="EndNoteBibliographyTitleChar"/>
    <w:rsid w:val="00640D42"/>
    <w:pPr>
      <w:autoSpaceDE/>
      <w:autoSpaceDN/>
      <w:adjustRightInd/>
      <w:spacing w:after="0"/>
      <w:jc w:val="center"/>
    </w:pPr>
    <w:rPr>
      <w:noProof/>
      <w:sz w:val="36"/>
      <w:lang w:val="en-US"/>
    </w:rPr>
  </w:style>
  <w:style w:type="character" w:customStyle="1" w:styleId="EndNoteBibliographyTitleChar">
    <w:name w:val="EndNote Bibliography Title Char"/>
    <w:basedOn w:val="DefaultParagraphFont"/>
    <w:link w:val="EndNoteBibliographyTitle"/>
    <w:rsid w:val="00640D42"/>
    <w:rPr>
      <w:rFonts w:ascii="Arial" w:eastAsiaTheme="minorHAnsi" w:hAnsi="Arial" w:cs="Arial"/>
      <w:noProof/>
      <w:sz w:val="36"/>
      <w:szCs w:val="22"/>
      <w:lang w:val="en-US" w:eastAsia="en-US"/>
    </w:rPr>
  </w:style>
  <w:style w:type="paragraph" w:customStyle="1" w:styleId="EndNoteBibliography">
    <w:name w:val="EndNote Bibliography"/>
    <w:basedOn w:val="Normal"/>
    <w:link w:val="EndNoteBibliographyChar"/>
    <w:rsid w:val="00640D42"/>
    <w:pPr>
      <w:autoSpaceDE/>
      <w:autoSpaceDN/>
      <w:adjustRightInd/>
      <w:spacing w:line="240" w:lineRule="auto"/>
    </w:pPr>
    <w:rPr>
      <w:noProof/>
      <w:sz w:val="36"/>
      <w:lang w:val="en-US"/>
    </w:rPr>
  </w:style>
  <w:style w:type="character" w:customStyle="1" w:styleId="EndNoteBibliographyChar">
    <w:name w:val="EndNote Bibliography Char"/>
    <w:basedOn w:val="DefaultParagraphFont"/>
    <w:link w:val="EndNoteBibliography"/>
    <w:rsid w:val="00640D42"/>
    <w:rPr>
      <w:rFonts w:ascii="Arial" w:eastAsiaTheme="minorHAnsi" w:hAnsi="Arial" w:cs="Arial"/>
      <w:noProof/>
      <w:sz w:val="36"/>
      <w:szCs w:val="22"/>
      <w:lang w:val="en-US" w:eastAsia="en-US"/>
    </w:rPr>
  </w:style>
  <w:style w:type="paragraph" w:styleId="Bibliography">
    <w:name w:val="Bibliography"/>
    <w:basedOn w:val="Normal"/>
    <w:next w:val="Normal"/>
    <w:uiPriority w:val="37"/>
    <w:unhideWhenUsed/>
    <w:rsid w:val="00640D42"/>
    <w:pPr>
      <w:autoSpaceDE/>
      <w:autoSpaceDN/>
      <w:adjustRightInd/>
    </w:pPr>
    <w:rPr>
      <w:rFonts w:cstheme="minorBidi"/>
    </w:rPr>
  </w:style>
  <w:style w:type="paragraph" w:customStyle="1" w:styleId="NotTOC">
    <w:name w:val="NotTOC"/>
    <w:basedOn w:val="Heading1"/>
    <w:qFormat/>
    <w:rsid w:val="00640D42"/>
    <w:pPr>
      <w:keepLines/>
      <w:autoSpaceDE/>
      <w:autoSpaceDN/>
      <w:adjustRightInd/>
      <w:spacing w:after="240"/>
    </w:pPr>
    <w:rPr>
      <w:rFonts w:eastAsiaTheme="majorEastAsia" w:cstheme="majorBidi"/>
      <w:bCs w:val="0"/>
      <w:color w:val="auto"/>
      <w:szCs w:val="32"/>
    </w:rPr>
  </w:style>
  <w:style w:type="paragraph" w:customStyle="1" w:styleId="NewNotTOC">
    <w:name w:val="NewNotTOC"/>
    <w:basedOn w:val="Heading1"/>
    <w:qFormat/>
    <w:rsid w:val="00640D42"/>
    <w:pPr>
      <w:keepLines/>
      <w:autoSpaceDE/>
      <w:autoSpaceDN/>
      <w:adjustRightInd/>
      <w:spacing w:after="240"/>
    </w:pPr>
    <w:rPr>
      <w:rFonts w:eastAsiaTheme="majorEastAsia" w:cstheme="majorBidi"/>
      <w:bCs w:val="0"/>
      <w:color w:val="auto"/>
      <w:szCs w:val="32"/>
    </w:rPr>
  </w:style>
  <w:style w:type="paragraph" w:customStyle="1" w:styleId="TeThHauorahead1">
    <w:name w:val="Te Tāhū Hauora head 1"/>
    <w:basedOn w:val="Heading1"/>
    <w:qFormat/>
    <w:rsid w:val="00640D42"/>
    <w:pPr>
      <w:keepLines/>
      <w:autoSpaceDE/>
      <w:autoSpaceDN/>
      <w:adjustRightInd/>
      <w:spacing w:after="240"/>
    </w:pPr>
    <w:rPr>
      <w:rFonts w:eastAsiaTheme="majorEastAsia"/>
      <w:bCs w:val="0"/>
      <w:szCs w:val="32"/>
    </w:rPr>
  </w:style>
  <w:style w:type="paragraph" w:customStyle="1" w:styleId="HeadNotContents">
    <w:name w:val="HeadNotContents"/>
    <w:basedOn w:val="TeThHauorahead1"/>
    <w:qFormat/>
    <w:rsid w:val="00640D42"/>
  </w:style>
  <w:style w:type="paragraph" w:customStyle="1" w:styleId="TeThHauorahead2">
    <w:name w:val="Te Tāhū Hauora head 2"/>
    <w:basedOn w:val="Heading2"/>
    <w:qFormat/>
    <w:rsid w:val="00640D42"/>
    <w:pPr>
      <w:keepLines/>
      <w:autoSpaceDE/>
      <w:autoSpaceDN/>
      <w:adjustRightInd/>
    </w:pPr>
    <w:rPr>
      <w:rFonts w:eastAsiaTheme="majorEastAsia"/>
      <w:bCs w:val="0"/>
      <w:i/>
      <w:szCs w:val="26"/>
    </w:rPr>
  </w:style>
  <w:style w:type="paragraph" w:customStyle="1" w:styleId="TeThHauorahead3">
    <w:name w:val="Te Tāhū Hauora head 3"/>
    <w:basedOn w:val="Heading3"/>
    <w:link w:val="TeThHauorahead3Char"/>
    <w:qFormat/>
    <w:rsid w:val="00640D42"/>
    <w:pPr>
      <w:autoSpaceDE/>
      <w:autoSpaceDN/>
      <w:adjustRightInd/>
      <w:spacing w:before="280" w:after="200" w:line="240" w:lineRule="auto"/>
    </w:pPr>
    <w:rPr>
      <w:rFonts w:cs="Arial"/>
      <w:color w:val="auto"/>
      <w:szCs w:val="24"/>
    </w:rPr>
  </w:style>
  <w:style w:type="paragraph" w:customStyle="1" w:styleId="TeThHauoratablefigurecaption">
    <w:name w:val="Te Tāhū Hauora table/figure caption"/>
    <w:basedOn w:val="Figuretableheading"/>
    <w:qFormat/>
    <w:rsid w:val="00640D42"/>
    <w:pPr>
      <w:autoSpaceDE/>
      <w:autoSpaceDN/>
      <w:adjustRightInd/>
    </w:pPr>
  </w:style>
  <w:style w:type="paragraph" w:customStyle="1" w:styleId="TeThHauoratablecolumnhead">
    <w:name w:val="Te Tāhū Hauora table column head"/>
    <w:basedOn w:val="Normal"/>
    <w:qFormat/>
    <w:rsid w:val="00640D42"/>
    <w:pPr>
      <w:framePr w:hSpace="180" w:wrap="around" w:vAnchor="text" w:hAnchor="margin" w:y="2"/>
      <w:autoSpaceDE/>
      <w:autoSpaceDN/>
      <w:adjustRightInd/>
      <w:spacing w:before="60" w:after="60" w:line="240" w:lineRule="auto"/>
    </w:pPr>
    <w:rPr>
      <w:b/>
    </w:rPr>
  </w:style>
  <w:style w:type="paragraph" w:customStyle="1" w:styleId="TeThHauoratablecontent">
    <w:name w:val="Te Tāhū Hauora table content"/>
    <w:basedOn w:val="Normal"/>
    <w:qFormat/>
    <w:rsid w:val="00640D42"/>
    <w:pPr>
      <w:framePr w:hSpace="180" w:wrap="around" w:vAnchor="text" w:hAnchor="margin" w:y="2"/>
      <w:autoSpaceDE/>
      <w:autoSpaceDN/>
      <w:adjustRightInd/>
      <w:spacing w:before="60" w:after="60" w:line="240" w:lineRule="auto"/>
    </w:pPr>
  </w:style>
  <w:style w:type="paragraph" w:customStyle="1" w:styleId="TeThhauoraheading4">
    <w:name w:val="Te Tāhū hauora heading 4"/>
    <w:basedOn w:val="TeThHauorahead3"/>
    <w:link w:val="TeThhauoraheading4Char"/>
    <w:qFormat/>
    <w:rsid w:val="00737E04"/>
    <w:pPr>
      <w:spacing w:line="276" w:lineRule="auto"/>
    </w:pPr>
    <w:rPr>
      <w:i/>
      <w:iCs/>
    </w:rPr>
  </w:style>
  <w:style w:type="character" w:customStyle="1" w:styleId="TeThHauorahead3Char">
    <w:name w:val="Te Tāhū Hauora head 3 Char"/>
    <w:basedOn w:val="Heading3Char"/>
    <w:link w:val="TeThHauorahead3"/>
    <w:rsid w:val="00737E04"/>
    <w:rPr>
      <w:rFonts w:ascii="Arial" w:eastAsiaTheme="majorEastAsia" w:hAnsi="Arial" w:cs="Arial"/>
      <w:b/>
      <w:color w:val="293868"/>
      <w:sz w:val="24"/>
      <w:szCs w:val="24"/>
      <w:lang w:eastAsia="en-US"/>
    </w:rPr>
  </w:style>
  <w:style w:type="character" w:customStyle="1" w:styleId="TeThhauoraheading4Char">
    <w:name w:val="Te Tāhū hauora heading 4 Char"/>
    <w:basedOn w:val="TeThHauorahead3Char"/>
    <w:link w:val="TeThhauoraheading4"/>
    <w:rsid w:val="00737E04"/>
    <w:rPr>
      <w:rFonts w:ascii="Arial" w:eastAsiaTheme="majorEastAsia" w:hAnsi="Arial" w:cs="Arial"/>
      <w:b/>
      <w:i/>
      <w:iCs/>
      <w:color w:val="293868"/>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57475">
      <w:bodyDiv w:val="1"/>
      <w:marLeft w:val="0"/>
      <w:marRight w:val="0"/>
      <w:marTop w:val="0"/>
      <w:marBottom w:val="0"/>
      <w:divBdr>
        <w:top w:val="none" w:sz="0" w:space="0" w:color="auto"/>
        <w:left w:val="none" w:sz="0" w:space="0" w:color="auto"/>
        <w:bottom w:val="none" w:sz="0" w:space="0" w:color="auto"/>
        <w:right w:val="none" w:sz="0" w:space="0" w:color="auto"/>
      </w:divBdr>
    </w:div>
    <w:div w:id="130100762">
      <w:bodyDiv w:val="1"/>
      <w:marLeft w:val="0"/>
      <w:marRight w:val="0"/>
      <w:marTop w:val="0"/>
      <w:marBottom w:val="0"/>
      <w:divBdr>
        <w:top w:val="none" w:sz="0" w:space="0" w:color="auto"/>
        <w:left w:val="none" w:sz="0" w:space="0" w:color="auto"/>
        <w:bottom w:val="none" w:sz="0" w:space="0" w:color="auto"/>
        <w:right w:val="none" w:sz="0" w:space="0" w:color="auto"/>
      </w:divBdr>
    </w:div>
    <w:div w:id="272514229">
      <w:bodyDiv w:val="1"/>
      <w:marLeft w:val="0"/>
      <w:marRight w:val="0"/>
      <w:marTop w:val="0"/>
      <w:marBottom w:val="0"/>
      <w:divBdr>
        <w:top w:val="none" w:sz="0" w:space="0" w:color="auto"/>
        <w:left w:val="none" w:sz="0" w:space="0" w:color="auto"/>
        <w:bottom w:val="none" w:sz="0" w:space="0" w:color="auto"/>
        <w:right w:val="none" w:sz="0" w:space="0" w:color="auto"/>
      </w:divBdr>
    </w:div>
    <w:div w:id="377553311">
      <w:bodyDiv w:val="1"/>
      <w:marLeft w:val="0"/>
      <w:marRight w:val="0"/>
      <w:marTop w:val="0"/>
      <w:marBottom w:val="0"/>
      <w:divBdr>
        <w:top w:val="none" w:sz="0" w:space="0" w:color="auto"/>
        <w:left w:val="none" w:sz="0" w:space="0" w:color="auto"/>
        <w:bottom w:val="none" w:sz="0" w:space="0" w:color="auto"/>
        <w:right w:val="none" w:sz="0" w:space="0" w:color="auto"/>
      </w:divBdr>
    </w:div>
    <w:div w:id="460538009">
      <w:bodyDiv w:val="1"/>
      <w:marLeft w:val="0"/>
      <w:marRight w:val="0"/>
      <w:marTop w:val="0"/>
      <w:marBottom w:val="0"/>
      <w:divBdr>
        <w:top w:val="none" w:sz="0" w:space="0" w:color="auto"/>
        <w:left w:val="none" w:sz="0" w:space="0" w:color="auto"/>
        <w:bottom w:val="none" w:sz="0" w:space="0" w:color="auto"/>
        <w:right w:val="none" w:sz="0" w:space="0" w:color="auto"/>
      </w:divBdr>
    </w:div>
    <w:div w:id="533083708">
      <w:bodyDiv w:val="1"/>
      <w:marLeft w:val="0"/>
      <w:marRight w:val="0"/>
      <w:marTop w:val="0"/>
      <w:marBottom w:val="0"/>
      <w:divBdr>
        <w:top w:val="none" w:sz="0" w:space="0" w:color="auto"/>
        <w:left w:val="none" w:sz="0" w:space="0" w:color="auto"/>
        <w:bottom w:val="none" w:sz="0" w:space="0" w:color="auto"/>
        <w:right w:val="none" w:sz="0" w:space="0" w:color="auto"/>
      </w:divBdr>
    </w:div>
    <w:div w:id="623465604">
      <w:bodyDiv w:val="1"/>
      <w:marLeft w:val="0"/>
      <w:marRight w:val="0"/>
      <w:marTop w:val="0"/>
      <w:marBottom w:val="0"/>
      <w:divBdr>
        <w:top w:val="none" w:sz="0" w:space="0" w:color="auto"/>
        <w:left w:val="none" w:sz="0" w:space="0" w:color="auto"/>
        <w:bottom w:val="none" w:sz="0" w:space="0" w:color="auto"/>
        <w:right w:val="none" w:sz="0" w:space="0" w:color="auto"/>
      </w:divBdr>
    </w:div>
    <w:div w:id="878476647">
      <w:bodyDiv w:val="1"/>
      <w:marLeft w:val="0"/>
      <w:marRight w:val="0"/>
      <w:marTop w:val="0"/>
      <w:marBottom w:val="0"/>
      <w:divBdr>
        <w:top w:val="none" w:sz="0" w:space="0" w:color="auto"/>
        <w:left w:val="none" w:sz="0" w:space="0" w:color="auto"/>
        <w:bottom w:val="none" w:sz="0" w:space="0" w:color="auto"/>
        <w:right w:val="none" w:sz="0" w:space="0" w:color="auto"/>
      </w:divBdr>
      <w:divsChild>
        <w:div w:id="888104188">
          <w:marLeft w:val="547"/>
          <w:marRight w:val="0"/>
          <w:marTop w:val="0"/>
          <w:marBottom w:val="0"/>
          <w:divBdr>
            <w:top w:val="none" w:sz="0" w:space="0" w:color="auto"/>
            <w:left w:val="none" w:sz="0" w:space="0" w:color="auto"/>
            <w:bottom w:val="none" w:sz="0" w:space="0" w:color="auto"/>
            <w:right w:val="none" w:sz="0" w:space="0" w:color="auto"/>
          </w:divBdr>
        </w:div>
      </w:divsChild>
    </w:div>
    <w:div w:id="977105404">
      <w:bodyDiv w:val="1"/>
      <w:marLeft w:val="0"/>
      <w:marRight w:val="0"/>
      <w:marTop w:val="0"/>
      <w:marBottom w:val="0"/>
      <w:divBdr>
        <w:top w:val="none" w:sz="0" w:space="0" w:color="auto"/>
        <w:left w:val="none" w:sz="0" w:space="0" w:color="auto"/>
        <w:bottom w:val="none" w:sz="0" w:space="0" w:color="auto"/>
        <w:right w:val="none" w:sz="0" w:space="0" w:color="auto"/>
      </w:divBdr>
    </w:div>
    <w:div w:id="1132866642">
      <w:bodyDiv w:val="1"/>
      <w:marLeft w:val="0"/>
      <w:marRight w:val="0"/>
      <w:marTop w:val="0"/>
      <w:marBottom w:val="0"/>
      <w:divBdr>
        <w:top w:val="none" w:sz="0" w:space="0" w:color="auto"/>
        <w:left w:val="none" w:sz="0" w:space="0" w:color="auto"/>
        <w:bottom w:val="none" w:sz="0" w:space="0" w:color="auto"/>
        <w:right w:val="none" w:sz="0" w:space="0" w:color="auto"/>
      </w:divBdr>
    </w:div>
    <w:div w:id="1431243447">
      <w:bodyDiv w:val="1"/>
      <w:marLeft w:val="0"/>
      <w:marRight w:val="0"/>
      <w:marTop w:val="0"/>
      <w:marBottom w:val="0"/>
      <w:divBdr>
        <w:top w:val="none" w:sz="0" w:space="0" w:color="auto"/>
        <w:left w:val="none" w:sz="0" w:space="0" w:color="auto"/>
        <w:bottom w:val="none" w:sz="0" w:space="0" w:color="auto"/>
        <w:right w:val="none" w:sz="0" w:space="0" w:color="auto"/>
      </w:divBdr>
    </w:div>
    <w:div w:id="1986423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hqsc.govt.nz/resources/resource-library/maternal-morbidity-review-toolkit-for-maternity-services-te-kete-arotake-mate-whakawhanau-mo-nga-ratonga-whakawhan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doi.org/https://doi.org/10.1186/s12916-020-01563-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ewhatuora.govt.nz/our-health-system/data-and-statistics/nz-health-statistics/data-references/code-tables/common-code-tables#ethnicity-code-tables" TargetMode="External"/><Relationship Id="rId20" Type="http://schemas.openxmlformats.org/officeDocument/2006/relationships/hyperlink" Target="http://www.hqsc.govt.nz/resources/resource-library/code-of-expectations-for-health-entities-engagement-with-consumers-and-whan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reports.hqsc.govt.nz/AdverseEventsQuarterly/" TargetMode="Externa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www.hqsc.govt.nz/resources/resource-library/fifteenth-annual-report-of-the-perinatal-and-maternal-mortality-review-committee-reporting-mortality-and-morbidity-202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apps.who.int/iris/handle/10665/70882"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tewhatuora.govt.nz/for-health-professionals/health-workforce-development/maternity/aotearoa-badgernet-perinatal-spin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OneDrive\1%20-%20Current%20work\1%20-%20HQSC\4%20-%20Word%20templates%20revision\3%20-%20WIP\1%20HQSC%20template%20blue%20headings.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5" ma:contentTypeDescription="Create a new document." ma:contentTypeScope="" ma:versionID="30f13bc92687d36d5ab6a61f3bb8b0ff">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97bf6b177eb481fbaf016602c9db6c34"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_dlc_DocId xmlns="bef9904b-9bca-4a1b-aca3-78dad2044d15">DOCS-1129490080-87502</_dlc_DocId>
    <_dlc_DocIdUrl xmlns="bef9904b-9bca-4a1b-aca3-78dad2044d15">
      <Url>https://hqsc.sharepoint.com/sites/dms-comms/_layouts/15/DocIdRedir.aspx?ID=DOCS-1129490080-87502</Url>
      <Description>DOCS-1129490080-87502</Description>
    </_dlc_DocIdUrl>
    <TaxCatchAll xmlns="bef9904b-9bca-4a1b-aca3-78dad2044d15" xsi:nil="true"/>
    <SharedWithUsers xmlns="bef9904b-9bca-4a1b-aca3-78dad2044d15">
      <UserInfo>
        <DisplayName>Martin Thomas</DisplayName>
        <AccountId>2549</AccountId>
        <AccountType/>
      </UserInfo>
      <UserInfo>
        <DisplayName>Caii-Michelle Baker</DisplayName>
        <AccountId>5134</AccountId>
        <AccountType/>
      </UserInfo>
      <UserInfo>
        <DisplayName>Caroline Tilah</DisplayName>
        <AccountId>52</AccountId>
        <AccountType/>
      </UserInfo>
      <UserInfo>
        <DisplayName>Gillian Allen</DisplayName>
        <AccountId>3310</AccountId>
        <AccountType/>
      </UserInfo>
      <UserInfo>
        <DisplayName>Paula Farrand</DisplayName>
        <AccountId>15</AccountId>
        <AccountType/>
      </UserInfo>
      <UserInfo>
        <DisplayName>Anna Thomson</DisplayName>
        <AccountId>3706</AccountId>
        <AccountType/>
      </UserInfo>
      <UserInfo>
        <DisplayName>Gillian Bohm</DisplayName>
        <AccountId>18</AccountId>
        <AccountType/>
      </UserInfo>
      <UserInfo>
        <DisplayName>Jocasta Whittingham</DisplayName>
        <AccountId>38</AccountId>
        <AccountType/>
      </UserInfo>
      <UserInfo>
        <DisplayName>Glen Mitchell</DisplayName>
        <AccountId>79</AccountId>
        <AccountType/>
      </UserInfo>
    </SharedWithUsers>
    <lcf76f155ced4ddcb4097134ff3c332f xmlns="83c1f819-1d2e-4aad-8c9d-234667bc50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97B34C-2872-4992-9607-51437AB5F7F9}">
  <ds:schemaRefs>
    <ds:schemaRef ds:uri="http://schemas.microsoft.com/office/2006/metadata/longProperties"/>
  </ds:schemaRefs>
</ds:datastoreItem>
</file>

<file path=customXml/itemProps2.xml><?xml version="1.0" encoding="utf-8"?>
<ds:datastoreItem xmlns:ds="http://schemas.openxmlformats.org/officeDocument/2006/customXml" ds:itemID="{98BB7D33-0646-4E9B-85C8-E5B3B2088AAE}">
  <ds:schemaRefs>
    <ds:schemaRef ds:uri="http://schemas.microsoft.com/sharepoint/events"/>
  </ds:schemaRefs>
</ds:datastoreItem>
</file>

<file path=customXml/itemProps3.xml><?xml version="1.0" encoding="utf-8"?>
<ds:datastoreItem xmlns:ds="http://schemas.openxmlformats.org/officeDocument/2006/customXml" ds:itemID="{B79F5635-B069-44CC-98EA-9C2CBBA95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FF4F9-6E1A-422E-8FE3-5A46368DDD1F}">
  <ds:schemaRefs>
    <ds:schemaRef ds:uri="http://schemas.openxmlformats.org/officeDocument/2006/bibliography"/>
  </ds:schemaRefs>
</ds:datastoreItem>
</file>

<file path=customXml/itemProps5.xml><?xml version="1.0" encoding="utf-8"?>
<ds:datastoreItem xmlns:ds="http://schemas.openxmlformats.org/officeDocument/2006/customXml" ds:itemID="{63CC9226-C88A-4909-A007-B7ACF4F13A33}">
  <ds:schemaRefs>
    <ds:schemaRef ds:uri="http://schemas.microsoft.com/sharepoint/v3/contenttype/forms"/>
  </ds:schemaRefs>
</ds:datastoreItem>
</file>

<file path=customXml/itemProps6.xml><?xml version="1.0" encoding="utf-8"?>
<ds:datastoreItem xmlns:ds="http://schemas.openxmlformats.org/officeDocument/2006/customXml" ds:itemID="{49C968DD-81CA-4395-A9CF-8A01E9A32119}">
  <ds:schemaRefs>
    <ds:schemaRef ds:uri="http://schemas.openxmlformats.org/officeDocument/2006/bibliography"/>
  </ds:schemaRefs>
</ds:datastoreItem>
</file>

<file path=customXml/itemProps7.xml><?xml version="1.0" encoding="utf-8"?>
<ds:datastoreItem xmlns:ds="http://schemas.openxmlformats.org/officeDocument/2006/customXml" ds:itemID="{D22D2348-EFA7-4964-96D5-9E85DF7BF10E}">
  <ds:schemaRefs>
    <ds:schemaRef ds:uri="http://schemas.microsoft.com/office/2006/metadata/properties"/>
    <ds:schemaRef ds:uri="http://schemas.microsoft.com/office/infopath/2007/PartnerControls"/>
    <ds:schemaRef ds:uri="bef9904b-9bca-4a1b-aca3-78dad2044d15"/>
    <ds:schemaRef ds:uri="83c1f819-1d2e-4aad-8c9d-234667bc5029"/>
  </ds:schemaRefs>
</ds:datastoreItem>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1 HQSC template blue headings.dotx</Template>
  <TotalTime>1</TotalTime>
  <Pages>1</Pages>
  <Words>6959</Words>
  <Characters>39668</Characters>
  <Application>Microsoft Office Word</Application>
  <DocSecurity>0</DocSecurity>
  <Lines>330</Lines>
  <Paragraphs>93</Paragraphs>
  <ScaleCrop>false</ScaleCrop>
  <Company>Ministry of Health</Company>
  <LinksUpToDate>false</LinksUpToDate>
  <CharactersWithSpaces>46534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Coordinator - Fixed Term QI - July 2017</dc:title>
  <dc:subject/>
  <dc:creator>LIZ BENTLEY</dc:creator>
  <cp:keywords/>
  <cp:lastModifiedBy>Jocasta Whittingham</cp:lastModifiedBy>
  <cp:revision>4</cp:revision>
  <cp:lastPrinted>2024-06-05T01:03:00Z</cp:lastPrinted>
  <dcterms:created xsi:type="dcterms:W3CDTF">2024-06-30T22:14:00Z</dcterms:created>
  <dcterms:modified xsi:type="dcterms:W3CDTF">2024-06-30T22:15:00Z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HQSC-300-142</vt:lpwstr>
  </property>
  <property fmtid="{D5CDD505-2E9C-101B-9397-08002B2CF9AE}" pid="3" name="_dlc_DocIdUrl">
    <vt:lpwstr>http://intranet.hqsc.local/DMS/Administration/_layouts/DocIdRedir.aspx?ID=HQSC-300-142, HQSC-300-142</vt:lpwstr>
  </property>
  <property fmtid="{D5CDD505-2E9C-101B-9397-08002B2CF9AE}" pid="4" name="ContentTypeId">
    <vt:lpwstr>0x010100843E1B8698701A45A5408FB75B1B86C4</vt:lpwstr>
  </property>
  <property fmtid="{D5CDD505-2E9C-101B-9397-08002B2CF9AE}" pid="5" name="MediaServiceImageTags">
    <vt:lpwstr/>
  </property>
  <property fmtid="{D5CDD505-2E9C-101B-9397-08002B2CF9AE}" pid="6" name="_dlc_DocIdItemGuid">
    <vt:lpwstr>3967176c-bc65-40f0-b87a-f0743ebc599d</vt:lpwstr>
  </property>
</Properties>
</file>