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A4F5" w14:textId="3C33F3E9" w:rsidR="00FC07A7" w:rsidRPr="00626E18" w:rsidRDefault="00A557E2" w:rsidP="004547D0">
      <w:pPr>
        <w:spacing w:before="120" w:after="60"/>
        <w:rPr>
          <w:rFonts w:ascii="Arial" w:hAnsi="Arial" w:cs="Arial"/>
          <w:b/>
          <w:noProof/>
          <w:sz w:val="28"/>
          <w:szCs w:val="28"/>
          <w:lang w:val="en-NZ" w:eastAsia="en-NZ"/>
        </w:rPr>
      </w:pPr>
      <w:r w:rsidRPr="00626E18">
        <w:rPr>
          <w:rFonts w:ascii="Arial" w:hAnsi="Arial" w:cs="Arial"/>
          <w:b/>
          <w:noProof/>
          <w:sz w:val="28"/>
          <w:szCs w:val="28"/>
          <w:lang w:val="en-NZ" w:eastAsia="en-NZ"/>
        </w:rPr>
        <w:t xml:space="preserve">Principles </w:t>
      </w:r>
      <w:r w:rsidR="00525097" w:rsidRPr="00626E18">
        <w:rPr>
          <w:rFonts w:ascii="Arial" w:hAnsi="Arial" w:cs="Arial"/>
          <w:b/>
          <w:noProof/>
          <w:sz w:val="28"/>
          <w:szCs w:val="28"/>
          <w:lang w:val="en-NZ" w:eastAsia="en-NZ"/>
        </w:rPr>
        <w:t xml:space="preserve">for </w:t>
      </w:r>
      <w:r w:rsidR="00E95FB2" w:rsidRPr="00626E18">
        <w:rPr>
          <w:rFonts w:ascii="Arial" w:hAnsi="Arial" w:cs="Arial"/>
          <w:b/>
          <w:noProof/>
          <w:sz w:val="28"/>
          <w:szCs w:val="28"/>
          <w:lang w:val="en-NZ" w:eastAsia="en-NZ"/>
        </w:rPr>
        <w:t>engaging consumers and whānau in mental health and addiction adverse event</w:t>
      </w:r>
      <w:r w:rsidR="00A5390B">
        <w:rPr>
          <w:rFonts w:ascii="Arial" w:hAnsi="Arial" w:cs="Arial"/>
          <w:b/>
          <w:noProof/>
          <w:sz w:val="28"/>
          <w:szCs w:val="28"/>
          <w:lang w:val="en-NZ" w:eastAsia="en-NZ"/>
        </w:rPr>
        <w:t xml:space="preserve"> reviews</w:t>
      </w:r>
      <w:r w:rsidR="00E95FB2" w:rsidRPr="00626E18">
        <w:rPr>
          <w:rFonts w:ascii="Arial" w:hAnsi="Arial" w:cs="Arial"/>
          <w:b/>
          <w:noProof/>
          <w:sz w:val="28"/>
          <w:szCs w:val="28"/>
          <w:lang w:val="en-NZ" w:eastAsia="en-NZ"/>
        </w:rPr>
        <w:t xml:space="preserve"> </w:t>
      </w:r>
    </w:p>
    <w:p w14:paraId="31C6D3B7" w14:textId="17D7A1FC" w:rsidR="009F08D3" w:rsidRPr="00626E18" w:rsidRDefault="00FC07A7" w:rsidP="002F334E">
      <w:pPr>
        <w:spacing w:after="60" w:line="276" w:lineRule="auto"/>
        <w:rPr>
          <w:rFonts w:ascii="Arial" w:hAnsi="Arial" w:cs="Arial"/>
          <w:noProof/>
          <w:sz w:val="22"/>
          <w:szCs w:val="22"/>
          <w:lang w:val="en-NZ" w:eastAsia="en-NZ"/>
        </w:rPr>
      </w:pPr>
      <w:r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This information is provided </w:t>
      </w:r>
      <w:r w:rsidR="007C720B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for </w:t>
      </w:r>
      <w:r w:rsidR="008E211B" w:rsidRPr="00381A85">
        <w:rPr>
          <w:rFonts w:ascii="Arial" w:hAnsi="Arial" w:cs="Arial"/>
          <w:noProof/>
          <w:sz w:val="22"/>
          <w:szCs w:val="22"/>
          <w:lang w:val="en-NZ" w:eastAsia="en-NZ"/>
        </w:rPr>
        <w:t>mental health and addiction</w:t>
      </w:r>
      <w:r w:rsidR="00197737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</w:t>
      </w:r>
      <w:r w:rsidR="00C330B8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(MHA) </w:t>
      </w:r>
      <w:r w:rsidR="008E211B" w:rsidRPr="00381A85">
        <w:rPr>
          <w:rFonts w:ascii="Arial" w:hAnsi="Arial" w:cs="Arial"/>
          <w:noProof/>
          <w:sz w:val="22"/>
          <w:szCs w:val="22"/>
          <w:lang w:val="en-NZ" w:eastAsia="en-NZ"/>
        </w:rPr>
        <w:t>services. It is intended to</w:t>
      </w:r>
      <w:r w:rsidR="007C720B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guide</w:t>
      </w:r>
      <w:r w:rsidR="001F333C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</w:t>
      </w:r>
      <w:r w:rsidR="00847EE6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adverse </w:t>
      </w:r>
      <w:r w:rsidR="00662B41" w:rsidRPr="00381A85">
        <w:rPr>
          <w:rFonts w:ascii="Arial" w:hAnsi="Arial" w:cs="Arial"/>
          <w:noProof/>
          <w:sz w:val="22"/>
          <w:szCs w:val="22"/>
          <w:lang w:val="en-NZ" w:eastAsia="en-NZ"/>
        </w:rPr>
        <w:t>e</w:t>
      </w:r>
      <w:r w:rsidR="001F333C" w:rsidRPr="00381A85">
        <w:rPr>
          <w:rFonts w:ascii="Arial" w:hAnsi="Arial" w:cs="Arial"/>
          <w:noProof/>
          <w:sz w:val="22"/>
          <w:szCs w:val="22"/>
          <w:lang w:val="en-NZ" w:eastAsia="en-NZ"/>
        </w:rPr>
        <w:t>vent</w:t>
      </w:r>
      <w:r w:rsidR="00BB533D" w:rsidRPr="00381A85">
        <w:rPr>
          <w:rStyle w:val="FootnoteReference"/>
          <w:rFonts w:ascii="Arial" w:hAnsi="Arial" w:cs="Arial"/>
          <w:noProof/>
          <w:sz w:val="22"/>
          <w:szCs w:val="22"/>
          <w:lang w:val="en-NZ" w:eastAsia="en-NZ"/>
        </w:rPr>
        <w:footnoteReference w:id="1"/>
      </w:r>
      <w:r w:rsidRPr="00381A85">
        <w:rPr>
          <w:rFonts w:ascii="Arial" w:hAnsi="Arial" w:cs="Arial"/>
          <w:noProof/>
          <w:sz w:val="22"/>
          <w:szCs w:val="22"/>
          <w:vertAlign w:val="superscript"/>
          <w:lang w:val="en-NZ" w:eastAsia="en-NZ"/>
        </w:rPr>
        <w:t xml:space="preserve"> </w:t>
      </w:r>
      <w:r w:rsidR="00662B41" w:rsidRPr="00381A85">
        <w:rPr>
          <w:rFonts w:ascii="Arial" w:hAnsi="Arial" w:cs="Arial"/>
          <w:noProof/>
          <w:sz w:val="22"/>
          <w:szCs w:val="22"/>
          <w:lang w:val="en-NZ" w:eastAsia="en-NZ"/>
        </w:rPr>
        <w:t>re</w:t>
      </w:r>
      <w:r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view </w:t>
      </w:r>
      <w:r w:rsidR="004970F2" w:rsidRPr="00381A85">
        <w:rPr>
          <w:rFonts w:ascii="Arial" w:hAnsi="Arial" w:cs="Arial"/>
          <w:noProof/>
          <w:sz w:val="22"/>
          <w:szCs w:val="22"/>
          <w:lang w:val="en-NZ" w:eastAsia="en-NZ"/>
        </w:rPr>
        <w:t>facilitators</w:t>
      </w:r>
      <w:r w:rsidR="00A557E2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on the principles</w:t>
      </w:r>
      <w:r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of engaging with consumers and their wh</w:t>
      </w:r>
      <w:r w:rsidR="00FB3F97" w:rsidRPr="00381A85">
        <w:rPr>
          <w:rFonts w:ascii="Arial" w:hAnsi="Arial" w:cs="Arial"/>
          <w:noProof/>
          <w:sz w:val="22"/>
          <w:szCs w:val="22"/>
          <w:lang w:val="en-NZ" w:eastAsia="en-NZ"/>
        </w:rPr>
        <w:t>ā</w:t>
      </w:r>
      <w:r w:rsidRPr="00381A85">
        <w:rPr>
          <w:rFonts w:ascii="Arial" w:hAnsi="Arial" w:cs="Arial"/>
          <w:noProof/>
          <w:sz w:val="22"/>
          <w:szCs w:val="22"/>
          <w:lang w:val="en-NZ" w:eastAsia="en-NZ"/>
        </w:rPr>
        <w:t>n</w:t>
      </w:r>
      <w:r w:rsidR="008E211B" w:rsidRPr="00381A85">
        <w:rPr>
          <w:rFonts w:ascii="Arial" w:hAnsi="Arial" w:cs="Arial"/>
          <w:noProof/>
          <w:sz w:val="22"/>
          <w:szCs w:val="22"/>
          <w:lang w:val="en-NZ" w:eastAsia="en-NZ"/>
        </w:rPr>
        <w:t>a</w:t>
      </w:r>
      <w:r w:rsidRPr="00381A85">
        <w:rPr>
          <w:rFonts w:ascii="Arial" w:hAnsi="Arial" w:cs="Arial"/>
          <w:noProof/>
          <w:sz w:val="22"/>
          <w:szCs w:val="22"/>
          <w:lang w:val="en-NZ" w:eastAsia="en-NZ"/>
        </w:rPr>
        <w:t>u</w:t>
      </w:r>
      <w:r w:rsidR="00E260E6" w:rsidRPr="00381A85">
        <w:rPr>
          <w:rStyle w:val="FootnoteReference"/>
          <w:rFonts w:ascii="Arial" w:hAnsi="Arial" w:cs="Arial"/>
          <w:noProof/>
          <w:sz w:val="22"/>
          <w:szCs w:val="22"/>
          <w:lang w:val="en-NZ" w:eastAsia="en-NZ"/>
        </w:rPr>
        <w:footnoteReference w:id="2"/>
      </w:r>
      <w:r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affected by </w:t>
      </w:r>
      <w:r w:rsidR="00847EE6" w:rsidRPr="00381A85">
        <w:rPr>
          <w:rFonts w:ascii="Arial" w:hAnsi="Arial" w:cs="Arial"/>
          <w:noProof/>
          <w:sz w:val="22"/>
          <w:szCs w:val="22"/>
          <w:lang w:val="en-NZ" w:eastAsia="en-NZ"/>
        </w:rPr>
        <w:t>an adverse</w:t>
      </w:r>
      <w:r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event</w:t>
      </w:r>
      <w:r w:rsidR="00A557E2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and to complement the </w:t>
      </w:r>
      <w:r w:rsidR="00AC5755">
        <w:rPr>
          <w:rFonts w:ascii="Arial" w:hAnsi="Arial" w:cs="Arial"/>
          <w:noProof/>
          <w:sz w:val="22"/>
          <w:szCs w:val="22"/>
          <w:lang w:val="en-NZ" w:eastAsia="en-NZ"/>
        </w:rPr>
        <w:t xml:space="preserve">Te Tāhū Hauora </w:t>
      </w:r>
      <w:r w:rsidR="00C038B8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Health Quality &amp; Safety </w:t>
      </w:r>
      <w:r w:rsidR="00197737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Commission </w:t>
      </w:r>
      <w:r w:rsidR="00503850" w:rsidRPr="00381A85">
        <w:rPr>
          <w:rFonts w:ascii="Arial" w:hAnsi="Arial" w:cs="Arial"/>
          <w:noProof/>
          <w:sz w:val="22"/>
          <w:szCs w:val="22"/>
          <w:lang w:val="en-NZ" w:eastAsia="en-NZ"/>
        </w:rPr>
        <w:t>resource</w:t>
      </w:r>
      <w:r w:rsidR="00EC215F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 </w:t>
      </w:r>
      <w:r w:rsidR="007720D9">
        <w:rPr>
          <w:rFonts w:ascii="Arial" w:hAnsi="Arial" w:cs="Arial"/>
          <w:noProof/>
          <w:sz w:val="22"/>
          <w:szCs w:val="22"/>
          <w:lang w:val="en-NZ" w:eastAsia="en-NZ"/>
        </w:rPr>
        <w:t xml:space="preserve">How to engage </w:t>
      </w:r>
      <w:r w:rsidR="00E775E0" w:rsidRPr="00381A85">
        <w:rPr>
          <w:rFonts w:ascii="Arial" w:hAnsi="Arial" w:cs="Arial"/>
          <w:noProof/>
          <w:sz w:val="22"/>
          <w:szCs w:val="22"/>
          <w:lang w:val="en-NZ" w:eastAsia="en-NZ"/>
        </w:rPr>
        <w:t xml:space="preserve">with consumers </w:t>
      </w:r>
      <w:r w:rsidR="007720D9">
        <w:rPr>
          <w:rFonts w:ascii="Arial" w:hAnsi="Arial" w:cs="Arial"/>
          <w:noProof/>
          <w:sz w:val="22"/>
          <w:szCs w:val="22"/>
          <w:lang w:val="en-NZ" w:eastAsia="en-NZ"/>
        </w:rPr>
        <w:t xml:space="preserve">and whānau </w:t>
      </w:r>
      <w:r w:rsidR="00E775E0" w:rsidRPr="00381A85">
        <w:rPr>
          <w:rFonts w:ascii="Arial" w:hAnsi="Arial" w:cs="Arial"/>
          <w:noProof/>
          <w:sz w:val="22"/>
          <w:szCs w:val="22"/>
          <w:lang w:val="en-NZ" w:eastAsia="en-NZ"/>
        </w:rPr>
        <w:t>following an adverse event</w:t>
      </w:r>
      <w:r w:rsidR="00135601">
        <w:rPr>
          <w:rFonts w:ascii="Arial" w:hAnsi="Arial" w:cs="Arial"/>
          <w:noProof/>
          <w:sz w:val="22"/>
          <w:szCs w:val="22"/>
          <w:lang w:val="en-NZ" w:eastAsia="en-NZ"/>
        </w:rPr>
        <w:t>.</w:t>
      </w:r>
      <w:r w:rsidR="00E775E0" w:rsidRPr="00381A85">
        <w:rPr>
          <w:rStyle w:val="FootnoteReference"/>
          <w:rFonts w:ascii="Arial" w:hAnsi="Arial" w:cs="Arial"/>
          <w:noProof/>
          <w:sz w:val="22"/>
          <w:szCs w:val="22"/>
          <w:lang w:val="en-NZ" w:eastAsia="en-NZ"/>
        </w:rPr>
        <w:footnoteReference w:id="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7"/>
        <w:gridCol w:w="5028"/>
      </w:tblGrid>
      <w:tr w:rsidR="009F08D3" w:rsidRPr="009F08D3" w14:paraId="135D1D36" w14:textId="77777777" w:rsidTr="00F9212C">
        <w:trPr>
          <w:trHeight w:val="283"/>
        </w:trPr>
        <w:tc>
          <w:tcPr>
            <w:tcW w:w="5027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5476120D" w14:textId="5A4DA4E9" w:rsidR="009F08D3" w:rsidRPr="002F334E" w:rsidRDefault="009F08D3" w:rsidP="00EC491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34E">
              <w:rPr>
                <w:rFonts w:ascii="Arial" w:hAnsi="Arial" w:cs="Arial"/>
                <w:b/>
                <w:bCs/>
                <w:sz w:val="20"/>
                <w:szCs w:val="20"/>
              </w:rPr>
              <w:t>Cultural needs</w:t>
            </w:r>
          </w:p>
        </w:tc>
        <w:tc>
          <w:tcPr>
            <w:tcW w:w="5027" w:type="dxa"/>
            <w:shd w:val="clear" w:color="auto" w:fill="D6E3BC" w:themeFill="accent3" w:themeFillTint="66"/>
            <w:vAlign w:val="center"/>
          </w:tcPr>
          <w:p w14:paraId="509F6206" w14:textId="2FAEC51E" w:rsidR="009F08D3" w:rsidRPr="002F334E" w:rsidRDefault="009F08D3" w:rsidP="00EC4916">
            <w:pPr>
              <w:spacing w:before="40" w:after="40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NZ" w:eastAsia="en-NZ"/>
              </w:rPr>
              <w:t>Consumer</w:t>
            </w:r>
          </w:p>
        </w:tc>
        <w:tc>
          <w:tcPr>
            <w:tcW w:w="5028" w:type="dxa"/>
            <w:tcBorders>
              <w:right w:val="nil"/>
            </w:tcBorders>
            <w:shd w:val="clear" w:color="auto" w:fill="CCC0D9" w:themeFill="accent4" w:themeFillTint="66"/>
            <w:vAlign w:val="center"/>
          </w:tcPr>
          <w:p w14:paraId="0D807033" w14:textId="1ABF8CDC" w:rsidR="009F08D3" w:rsidRPr="002F334E" w:rsidRDefault="009F08D3" w:rsidP="00EC4916">
            <w:pPr>
              <w:spacing w:before="40" w:after="40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NZ" w:eastAsia="en-NZ"/>
              </w:rPr>
              <w:t>Whānau</w:t>
            </w:r>
          </w:p>
        </w:tc>
      </w:tr>
      <w:tr w:rsidR="009F08D3" w:rsidRPr="009F08D3" w14:paraId="49EE53F1" w14:textId="77777777" w:rsidTr="00F9212C">
        <w:trPr>
          <w:trHeight w:val="454"/>
        </w:trPr>
        <w:tc>
          <w:tcPr>
            <w:tcW w:w="5027" w:type="dxa"/>
            <w:tcBorders>
              <w:left w:val="nil"/>
            </w:tcBorders>
            <w:shd w:val="clear" w:color="auto" w:fill="auto"/>
          </w:tcPr>
          <w:p w14:paraId="1C571079" w14:textId="1D2B95F5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before="40" w:after="4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Ensure psychological safety</w:t>
            </w:r>
            <w:r w:rsidRPr="002F334E">
              <w:rPr>
                <w:rStyle w:val="FootnoteReference"/>
                <w:rFonts w:ascii="Arial" w:hAnsi="Arial" w:cs="Arial"/>
                <w:sz w:val="20"/>
                <w:szCs w:val="20"/>
                <w:lang w:val="en-NZ"/>
              </w:rPr>
              <w:footnoteReference w:id="4"/>
            </w: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 for all involved in the adverse event review process.</w:t>
            </w:r>
          </w:p>
          <w:p w14:paraId="531FBFA8" w14:textId="77777777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Seek cultural advice and support throughout the review process. </w:t>
            </w:r>
          </w:p>
          <w:p w14:paraId="040877BC" w14:textId="466E0255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Be led by the principles of </w:t>
            </w:r>
            <w:proofErr w:type="spellStart"/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whakawhanaungatanga</w:t>
            </w:r>
            <w:proofErr w:type="spellEnd"/>
            <w:r w:rsidRPr="002F334E">
              <w:rPr>
                <w:rStyle w:val="FootnoteReference"/>
                <w:rFonts w:ascii="Arial" w:hAnsi="Arial" w:cs="Arial"/>
                <w:sz w:val="20"/>
                <w:szCs w:val="20"/>
                <w:lang w:val="en-NZ"/>
              </w:rPr>
              <w:footnoteReference w:id="5"/>
            </w: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 and </w:t>
            </w:r>
            <w:proofErr w:type="spellStart"/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kotahitanga</w:t>
            </w:r>
            <w:proofErr w:type="spellEnd"/>
            <w:r w:rsidRPr="002F334E">
              <w:rPr>
                <w:rStyle w:val="FootnoteReference"/>
                <w:rFonts w:ascii="Arial" w:hAnsi="Arial" w:cs="Arial"/>
                <w:sz w:val="20"/>
                <w:szCs w:val="20"/>
                <w:lang w:val="en-NZ"/>
              </w:rPr>
              <w:footnoteReference w:id="6"/>
            </w:r>
          </w:p>
          <w:p w14:paraId="53E629C2" w14:textId="77777777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Ensure everyone understands the purpose of each part of the process.</w:t>
            </w:r>
          </w:p>
          <w:p w14:paraId="3FDCD5BD" w14:textId="77777777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Be clear about the parameters and limitations of the process.</w:t>
            </w:r>
          </w:p>
          <w:p w14:paraId="16007A78" w14:textId="77777777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Clarify the expectations of those involved in the process.</w:t>
            </w:r>
          </w:p>
          <w:p w14:paraId="2B671A06" w14:textId="2EBD98C2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Follow tikanga</w:t>
            </w:r>
            <w:r w:rsidRPr="002F334E">
              <w:rPr>
                <w:rStyle w:val="FootnoteReference"/>
                <w:rFonts w:ascii="Arial" w:hAnsi="Arial" w:cs="Arial"/>
                <w:sz w:val="20"/>
                <w:szCs w:val="20"/>
                <w:lang w:val="en-NZ"/>
              </w:rPr>
              <w:footnoteReference w:id="7"/>
            </w: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 practices. </w:t>
            </w:r>
          </w:p>
          <w:p w14:paraId="2D5E1626" w14:textId="77777777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Have processes in place to support staff resilience so staff can respond when and where needed after an adverse event.</w:t>
            </w:r>
          </w:p>
          <w:p w14:paraId="0D846B9A" w14:textId="77777777" w:rsidR="009F08D3" w:rsidRPr="002F334E" w:rsidRDefault="009F08D3" w:rsidP="00EC4916">
            <w:pPr>
              <w:numPr>
                <w:ilvl w:val="0"/>
                <w:numId w:val="4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Encourage staff to demonstrate flexibility and adaptability when working with consumers and </w:t>
            </w:r>
            <w:proofErr w:type="spellStart"/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wh</w:t>
            </w:r>
            <w:proofErr w:type="spellEnd"/>
            <w:r w:rsidRPr="002F334E">
              <w:rPr>
                <w:rFonts w:ascii="Arial" w:hAnsi="Arial" w:cs="Arial"/>
                <w:sz w:val="20"/>
                <w:szCs w:val="20"/>
                <w:lang w:val="mi-NZ"/>
              </w:rPr>
              <w:t>ā</w:t>
            </w:r>
            <w:proofErr w:type="spellStart"/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nau</w:t>
            </w:r>
            <w:proofErr w:type="spellEnd"/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, both during and after a serious event review.</w:t>
            </w:r>
          </w:p>
          <w:p w14:paraId="76365B6F" w14:textId="13B5B729" w:rsidR="009F08D3" w:rsidRPr="002F334E" w:rsidRDefault="009F08D3" w:rsidP="002F334E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Be compassionate – listen to understand. </w:t>
            </w:r>
          </w:p>
        </w:tc>
        <w:tc>
          <w:tcPr>
            <w:tcW w:w="5027" w:type="dxa"/>
            <w:shd w:val="clear" w:color="auto" w:fill="auto"/>
          </w:tcPr>
          <w:p w14:paraId="42F9B0AC" w14:textId="77777777" w:rsidR="009F08D3" w:rsidRPr="002F334E" w:rsidRDefault="009F08D3" w:rsidP="00AC5755">
            <w:pPr>
              <w:numPr>
                <w:ilvl w:val="0"/>
                <w:numId w:val="4"/>
              </w:numPr>
              <w:spacing w:before="40" w:after="4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Keep stories of the consumer experience at the heart of your work.  </w:t>
            </w:r>
          </w:p>
          <w:p w14:paraId="7FFB999C" w14:textId="77777777" w:rsidR="009F08D3" w:rsidRPr="002F334E" w:rsidRDefault="009F08D3" w:rsidP="002F334E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Provide training in the adverse event review process to your consumer leaders, consumer advisors and whānau advisors.</w:t>
            </w:r>
          </w:p>
          <w:p w14:paraId="724101C9" w14:textId="77777777" w:rsidR="009F08D3" w:rsidRPr="002F334E" w:rsidRDefault="009F08D3" w:rsidP="002F334E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Understand and work to address the power dynamics that exist in health systems and between consumer and clinical roles.</w:t>
            </w:r>
          </w:p>
          <w:p w14:paraId="42EE6FA2" w14:textId="77777777" w:rsidR="009F08D3" w:rsidRPr="002F334E" w:rsidRDefault="009F08D3" w:rsidP="002F334E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When involving consumers (both the consumer, staff and/or those affected by the adverse event) be clear what you are asking people to do. Clarify roles, </w:t>
            </w:r>
            <w:proofErr w:type="gramStart"/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>responsibilities</w:t>
            </w:r>
            <w:proofErr w:type="gramEnd"/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 and expectations – from both perspectives.</w:t>
            </w:r>
          </w:p>
          <w:p w14:paraId="503D7E2E" w14:textId="77777777" w:rsidR="009F08D3" w:rsidRPr="002F334E" w:rsidRDefault="009F08D3" w:rsidP="002F334E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F334E">
              <w:rPr>
                <w:rFonts w:ascii="Arial" w:hAnsi="Arial" w:cs="Arial"/>
                <w:sz w:val="20"/>
                <w:szCs w:val="20"/>
                <w:lang w:val="en-NZ"/>
              </w:rPr>
              <w:t xml:space="preserve">Offer coaching and mentoring to consumers involved in the review process/team, especially if they are at the early stage in their experience of adverse event reviews. </w:t>
            </w:r>
          </w:p>
          <w:p w14:paraId="1E5EA1B8" w14:textId="77777777" w:rsidR="009F08D3" w:rsidRPr="002F334E" w:rsidRDefault="009F08D3" w:rsidP="002F334E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tcBorders>
              <w:right w:val="nil"/>
            </w:tcBorders>
            <w:shd w:val="clear" w:color="auto" w:fill="auto"/>
          </w:tcPr>
          <w:p w14:paraId="0AE95004" w14:textId="77777777" w:rsidR="009F08D3" w:rsidRPr="002F334E" w:rsidRDefault="009F08D3" w:rsidP="00AC5755">
            <w:pPr>
              <w:numPr>
                <w:ilvl w:val="0"/>
                <w:numId w:val="6"/>
              </w:numPr>
              <w:tabs>
                <w:tab w:val="num" w:pos="720"/>
              </w:tabs>
              <w:spacing w:before="40" w:after="40" w:line="276" w:lineRule="auto"/>
              <w:ind w:left="357" w:hanging="357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Timelines for reviews are to be developed in consultation with the affected whānau.</w:t>
            </w:r>
          </w:p>
          <w:p w14:paraId="33AF57AF" w14:textId="77777777" w:rsidR="009F08D3" w:rsidRPr="002F334E" w:rsidRDefault="009F08D3" w:rsidP="002F334E">
            <w:pPr>
              <w:numPr>
                <w:ilvl w:val="0"/>
                <w:numId w:val="6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Aim to complete everything that happens in partnership with the affected whānau.</w:t>
            </w:r>
          </w:p>
          <w:p w14:paraId="68C3B12F" w14:textId="77777777" w:rsidR="009F08D3" w:rsidRPr="002F334E" w:rsidRDefault="009F08D3" w:rsidP="002F334E">
            <w:pPr>
              <w:numPr>
                <w:ilvl w:val="0"/>
                <w:numId w:val="6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Appoint a 'connector' from your team, who stays involved and provides ongoing information on the process (eg, wh</w:t>
            </w:r>
            <w:r w:rsidRPr="002F334E">
              <w:rPr>
                <w:rFonts w:ascii="Arial" w:hAnsi="Arial" w:cs="Arial"/>
                <w:noProof/>
                <w:sz w:val="20"/>
                <w:szCs w:val="20"/>
                <w:lang w:val="mi-NZ" w:eastAsia="en-NZ"/>
              </w:rPr>
              <w:t>ānau liaison)</w:t>
            </w: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.</w:t>
            </w:r>
          </w:p>
          <w:p w14:paraId="36714565" w14:textId="77777777" w:rsidR="009F08D3" w:rsidRPr="002F334E" w:rsidRDefault="009F08D3" w:rsidP="002F334E">
            <w:pPr>
              <w:numPr>
                <w:ilvl w:val="0"/>
                <w:numId w:val="6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Ask whānau if they want to nominate a spokesperson to stay connected, if the whānau themselves are not ready to be involved.</w:t>
            </w:r>
          </w:p>
          <w:p w14:paraId="32800E0E" w14:textId="13FDD64E" w:rsidR="009F08D3" w:rsidRPr="002F334E" w:rsidRDefault="009F08D3" w:rsidP="002F334E">
            <w:pPr>
              <w:numPr>
                <w:ilvl w:val="0"/>
                <w:numId w:val="6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 xml:space="preserve">Be clear that you are speaking to the nominated spokesperson </w:t>
            </w:r>
            <w:r w:rsidR="00025C4F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–</w:t>
            </w: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 xml:space="preserve"> as designated by the whānau.</w:t>
            </w:r>
          </w:p>
          <w:p w14:paraId="75A80B2B" w14:textId="77777777" w:rsidR="009F08D3" w:rsidRPr="002F334E" w:rsidRDefault="009F08D3" w:rsidP="002F334E">
            <w:pPr>
              <w:numPr>
                <w:ilvl w:val="0"/>
                <w:numId w:val="6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Ask whānau what their preferences are for cultural and other support required.</w:t>
            </w:r>
          </w:p>
          <w:p w14:paraId="4AC179E4" w14:textId="77777777" w:rsidR="009F08D3" w:rsidRPr="002F334E" w:rsidRDefault="009F08D3" w:rsidP="002F334E">
            <w:pPr>
              <w:numPr>
                <w:ilvl w:val="0"/>
                <w:numId w:val="6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Whānau are unique – respect and honour this.</w:t>
            </w:r>
          </w:p>
          <w:p w14:paraId="7B6DF0AC" w14:textId="77777777" w:rsidR="009F08D3" w:rsidRPr="002F334E" w:rsidRDefault="009F08D3" w:rsidP="002F334E">
            <w:pPr>
              <w:numPr>
                <w:ilvl w:val="0"/>
                <w:numId w:val="6"/>
              </w:numPr>
              <w:tabs>
                <w:tab w:val="num" w:pos="720"/>
              </w:tabs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Establish a centralised log of all whānau contacts: by who, when, actions and next steps. Summarise outcomes.</w:t>
            </w:r>
          </w:p>
          <w:p w14:paraId="2F6ED501" w14:textId="054476EC" w:rsidR="009F08D3" w:rsidRPr="002F334E" w:rsidRDefault="009F08D3" w:rsidP="002F334E">
            <w:pPr>
              <w:numPr>
                <w:ilvl w:val="0"/>
                <w:numId w:val="6"/>
              </w:numPr>
              <w:spacing w:after="40" w:line="276" w:lineRule="auto"/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</w:pPr>
            <w:r w:rsidRPr="002F334E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w:t>Meet with whānau at places and times that are convenient and safe for them.</w:t>
            </w:r>
          </w:p>
        </w:tc>
      </w:tr>
    </w:tbl>
    <w:p w14:paraId="59F81FE9" w14:textId="4CF9C7D5" w:rsidR="00A07688" w:rsidRPr="00D929E0" w:rsidRDefault="00F9212C" w:rsidP="007D443B">
      <w:pPr>
        <w:rPr>
          <w:rFonts w:ascii="Arial" w:hAnsi="Arial" w:cs="Arial"/>
          <w:noProof/>
          <w:sz w:val="8"/>
          <w:szCs w:val="8"/>
          <w:lang w:val="en-NZ" w:eastAsia="en-NZ"/>
        </w:rPr>
      </w:pPr>
      <w:r w:rsidRPr="00EF7342">
        <w:rPr>
          <w:rFonts w:ascii="Arial" w:eastAsia="Arial" w:hAnsi="Arial" w:cs="Arial"/>
          <w:noProof/>
          <w:sz w:val="22"/>
          <w:szCs w:val="22"/>
          <w:lang w:val="en-NZ" w:eastAsia="en-US" w:bidi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F9E13" wp14:editId="505A2EE3">
                <wp:simplePos x="0" y="0"/>
                <wp:positionH relativeFrom="margin">
                  <wp:posOffset>-105996</wp:posOffset>
                </wp:positionH>
                <wp:positionV relativeFrom="paragraph">
                  <wp:posOffset>48260</wp:posOffset>
                </wp:positionV>
                <wp:extent cx="9840595" cy="1404620"/>
                <wp:effectExtent l="0" t="0" r="825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4334" w14:textId="237E4DF6" w:rsidR="00EF7342" w:rsidRPr="001658AA" w:rsidRDefault="00EF7342" w:rsidP="00EF734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5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Published in </w:t>
                            </w:r>
                            <w:r w:rsidR="005D6692" w:rsidRPr="00165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June 2023</w:t>
                            </w:r>
                            <w:r w:rsidRPr="00165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5D6692" w:rsidRPr="00165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 </w:t>
                            </w:r>
                            <w:r w:rsidR="005D6692" w:rsidRPr="001658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NZ"/>
                              </w:rPr>
                              <w:t>Tāhū Hauora</w:t>
                            </w:r>
                            <w:r w:rsidR="005D6692" w:rsidRPr="00165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58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Quality &amp; Safety Commission, PO Box 25496, Wellington 6146, New Zealand.</w:t>
                            </w:r>
                            <w:r w:rsidR="00787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Available online at </w:t>
                            </w:r>
                            <w:hyperlink r:id="rId12" w:history="1">
                              <w:r w:rsidR="007878DA" w:rsidRPr="007F385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www.hqsc.govt.nz</w:t>
                              </w:r>
                            </w:hyperlink>
                            <w:r w:rsidR="00787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CF9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3.8pt;width:77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JYDQIAAPc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" stroked="f">
                <v:textbox style="mso-fit-shape-to-text:t">
                  <w:txbxContent>
                    <w:p w14:paraId="7D354334" w14:textId="237E4DF6" w:rsidR="00EF7342" w:rsidRPr="001658AA" w:rsidRDefault="00EF7342" w:rsidP="00EF734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58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Published in </w:t>
                      </w:r>
                      <w:r w:rsidR="005D6692" w:rsidRPr="001658AA">
                        <w:rPr>
                          <w:rFonts w:ascii="Arial" w:hAnsi="Arial" w:cs="Arial"/>
                          <w:sz w:val="20"/>
                          <w:szCs w:val="20"/>
                        </w:rPr>
                        <w:t>June 2023</w:t>
                      </w:r>
                      <w:r w:rsidRPr="001658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</w:t>
                      </w:r>
                      <w:r w:rsidR="005D6692" w:rsidRPr="001658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 </w:t>
                      </w:r>
                      <w:r w:rsidR="005D6692" w:rsidRPr="001658AA">
                        <w:rPr>
                          <w:rFonts w:ascii="Arial" w:hAnsi="Arial" w:cs="Arial"/>
                          <w:sz w:val="20"/>
                          <w:szCs w:val="20"/>
                          <w:lang w:val="en-NZ"/>
                        </w:rPr>
                        <w:t>Tāhū Hauora</w:t>
                      </w:r>
                      <w:r w:rsidR="005D6692" w:rsidRPr="001658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658AA">
                        <w:rPr>
                          <w:rFonts w:ascii="Arial" w:hAnsi="Arial" w:cs="Arial"/>
                          <w:sz w:val="20"/>
                          <w:szCs w:val="20"/>
                        </w:rPr>
                        <w:t>Health Quality &amp; Safety Commission, PO Box 25496, Wellington 6146, New Zealand.</w:t>
                      </w:r>
                      <w:r w:rsidR="007878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Available online at </w:t>
                      </w:r>
                      <w:hyperlink r:id="rId13" w:history="1">
                        <w:r w:rsidR="007878DA" w:rsidRPr="007F385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www.hqsc.govt.nz</w:t>
                        </w:r>
                      </w:hyperlink>
                      <w:r w:rsidR="007878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196" w:rsidRPr="00216196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69DE35D2" wp14:editId="5743C72D">
            <wp:simplePos x="0" y="0"/>
            <wp:positionH relativeFrom="column">
              <wp:posOffset>0</wp:posOffset>
            </wp:positionH>
            <wp:positionV relativeFrom="paragraph">
              <wp:posOffset>3206115</wp:posOffset>
            </wp:positionV>
            <wp:extent cx="2987040" cy="883285"/>
            <wp:effectExtent l="0" t="0" r="381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196" w:rsidRPr="00216196"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1" wp14:anchorId="7CF0DE6F" wp14:editId="78D5415C">
            <wp:simplePos x="0" y="0"/>
            <wp:positionH relativeFrom="column">
              <wp:posOffset>7287895</wp:posOffset>
            </wp:positionH>
            <wp:positionV relativeFrom="paragraph">
              <wp:posOffset>3212302</wp:posOffset>
            </wp:positionV>
            <wp:extent cx="2317115" cy="87376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7688" w:rsidRPr="00D929E0" w:rsidSect="007724E2">
      <w:headerReference w:type="default" r:id="rId16"/>
      <w:pgSz w:w="16838" w:h="11906" w:orient="landscape"/>
      <w:pgMar w:top="340" w:right="873" w:bottom="663" w:left="873" w:header="27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E162" w14:textId="77777777" w:rsidR="00016687" w:rsidRDefault="00016687" w:rsidP="00263437">
      <w:r>
        <w:separator/>
      </w:r>
    </w:p>
  </w:endnote>
  <w:endnote w:type="continuationSeparator" w:id="0">
    <w:p w14:paraId="420F783D" w14:textId="77777777" w:rsidR="00016687" w:rsidRDefault="00016687" w:rsidP="0026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Light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4F2A" w14:textId="77777777" w:rsidR="00016687" w:rsidRDefault="00016687" w:rsidP="00263437">
      <w:r>
        <w:separator/>
      </w:r>
    </w:p>
  </w:footnote>
  <w:footnote w:type="continuationSeparator" w:id="0">
    <w:p w14:paraId="7A162CE8" w14:textId="77777777" w:rsidR="00016687" w:rsidRDefault="00016687" w:rsidP="00263437">
      <w:r>
        <w:continuationSeparator/>
      </w:r>
    </w:p>
  </w:footnote>
  <w:footnote w:id="1">
    <w:p w14:paraId="39BDF1FC" w14:textId="35EE0D74" w:rsidR="00BB533D" w:rsidRPr="00F9212C" w:rsidRDefault="00BB533D" w:rsidP="005D669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9212C">
        <w:rPr>
          <w:rStyle w:val="FootnoteReference"/>
          <w:rFonts w:ascii="Arial" w:hAnsi="Arial" w:cs="Arial"/>
          <w:sz w:val="16"/>
          <w:szCs w:val="16"/>
        </w:rPr>
        <w:footnoteRef/>
      </w:r>
      <w:r w:rsidRPr="00F9212C">
        <w:rPr>
          <w:rFonts w:ascii="Arial" w:hAnsi="Arial" w:cs="Arial"/>
          <w:sz w:val="16"/>
          <w:szCs w:val="16"/>
        </w:rPr>
        <w:t xml:space="preserve"> An adverse event is ‘</w:t>
      </w:r>
      <w:r w:rsidR="007742FF" w:rsidRPr="00F9212C">
        <w:rPr>
          <w:rFonts w:ascii="Arial" w:hAnsi="Arial" w:cs="Arial"/>
          <w:sz w:val="16"/>
          <w:szCs w:val="16"/>
          <w:lang w:val="en-NZ" w:eastAsia="en-NZ"/>
        </w:rPr>
        <w:t>an event in which a person receiving health care experienced harm’.</w:t>
      </w:r>
      <w:r w:rsidRPr="00F9212C">
        <w:rPr>
          <w:rFonts w:ascii="Arial" w:hAnsi="Arial" w:cs="Arial"/>
          <w:sz w:val="16"/>
          <w:szCs w:val="16"/>
        </w:rPr>
        <w:t xml:space="preserve"> </w:t>
      </w:r>
      <w:r w:rsidR="005D6692" w:rsidRPr="00F9212C">
        <w:rPr>
          <w:rFonts w:ascii="Arial" w:hAnsi="Arial" w:cs="Arial"/>
          <w:sz w:val="16"/>
          <w:szCs w:val="16"/>
        </w:rPr>
        <w:t>Ha</w:t>
      </w:r>
      <w:r w:rsidR="007742FF" w:rsidRPr="00F9212C">
        <w:rPr>
          <w:rFonts w:ascii="Arial" w:hAnsi="Arial" w:cs="Arial"/>
          <w:sz w:val="16"/>
          <w:szCs w:val="16"/>
        </w:rPr>
        <w:t xml:space="preserve">rm </w:t>
      </w:r>
      <w:r w:rsidR="005D6692" w:rsidRPr="00F9212C">
        <w:rPr>
          <w:rFonts w:ascii="Arial" w:hAnsi="Arial" w:cs="Arial"/>
          <w:sz w:val="16"/>
          <w:szCs w:val="16"/>
        </w:rPr>
        <w:t>is</w:t>
      </w:r>
      <w:r w:rsidR="007742FF" w:rsidRPr="00F9212C">
        <w:rPr>
          <w:rFonts w:ascii="Arial" w:hAnsi="Arial" w:cs="Arial"/>
          <w:sz w:val="16"/>
          <w:szCs w:val="16"/>
        </w:rPr>
        <w:t xml:space="preserve"> ‘negative consequences for consumers and whānau directly arising from or associated with plans made, actions taken or omissions during the provision of</w:t>
      </w:r>
      <w:r w:rsidR="005D6692" w:rsidRPr="00F9212C">
        <w:rPr>
          <w:rFonts w:ascii="Arial" w:hAnsi="Arial" w:cs="Arial"/>
          <w:sz w:val="16"/>
          <w:szCs w:val="16"/>
        </w:rPr>
        <w:t xml:space="preserve"> </w:t>
      </w:r>
      <w:r w:rsidR="007742FF" w:rsidRPr="00F9212C">
        <w:rPr>
          <w:rFonts w:ascii="Arial" w:hAnsi="Arial" w:cs="Arial"/>
          <w:sz w:val="16"/>
          <w:szCs w:val="16"/>
        </w:rPr>
        <w:t>health care rather than an underlying disease or injury’.</w:t>
      </w:r>
      <w:r w:rsidR="005D6692" w:rsidRPr="00F9212C">
        <w:rPr>
          <w:rFonts w:ascii="Arial" w:hAnsi="Arial" w:cs="Arial"/>
          <w:sz w:val="16"/>
          <w:szCs w:val="16"/>
        </w:rPr>
        <w:t xml:space="preserve"> </w:t>
      </w:r>
      <w:r w:rsidR="00F9212C">
        <w:rPr>
          <w:rFonts w:ascii="Arial" w:hAnsi="Arial" w:cs="Arial"/>
          <w:sz w:val="16"/>
          <w:szCs w:val="16"/>
        </w:rPr>
        <w:t>Te Tāhū Hauora Health Quality &amp; Safety Commission</w:t>
      </w:r>
      <w:r w:rsidR="005D6692" w:rsidRPr="00F9212C">
        <w:rPr>
          <w:rFonts w:ascii="Arial" w:hAnsi="Arial" w:cs="Arial"/>
          <w:sz w:val="16"/>
          <w:szCs w:val="16"/>
        </w:rPr>
        <w:t xml:space="preserve">. 2023. </w:t>
      </w:r>
      <w:r w:rsidR="00673D6F" w:rsidRPr="00673D6F">
        <w:rPr>
          <w:rFonts w:ascii="Arial" w:hAnsi="Arial" w:cs="Arial"/>
          <w:sz w:val="16"/>
          <w:szCs w:val="16"/>
        </w:rPr>
        <w:t xml:space="preserve">Healing, </w:t>
      </w:r>
      <w:proofErr w:type="gramStart"/>
      <w:r w:rsidR="00673D6F" w:rsidRPr="00673D6F">
        <w:rPr>
          <w:rFonts w:ascii="Arial" w:hAnsi="Arial" w:cs="Arial"/>
          <w:sz w:val="16"/>
          <w:szCs w:val="16"/>
        </w:rPr>
        <w:t>learning</w:t>
      </w:r>
      <w:proofErr w:type="gramEnd"/>
      <w:r w:rsidR="00673D6F" w:rsidRPr="00673D6F">
        <w:rPr>
          <w:rFonts w:ascii="Arial" w:hAnsi="Arial" w:cs="Arial"/>
          <w:sz w:val="16"/>
          <w:szCs w:val="16"/>
        </w:rPr>
        <w:t xml:space="preserve"> and improving from harm: National adverse events policy 2023 | Te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whakaora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te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ako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me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te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whakapai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ake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i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te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kino: Te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kaupapa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here ā-motu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mō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ngā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mahi </w:t>
      </w:r>
      <w:proofErr w:type="spellStart"/>
      <w:r w:rsidR="00673D6F" w:rsidRPr="00673D6F">
        <w:rPr>
          <w:rFonts w:ascii="Arial" w:hAnsi="Arial" w:cs="Arial"/>
          <w:sz w:val="16"/>
          <w:szCs w:val="16"/>
        </w:rPr>
        <w:t>tūkino</w:t>
      </w:r>
      <w:proofErr w:type="spellEnd"/>
      <w:r w:rsidR="00673D6F" w:rsidRPr="00673D6F">
        <w:rPr>
          <w:rFonts w:ascii="Arial" w:hAnsi="Arial" w:cs="Arial"/>
          <w:sz w:val="16"/>
          <w:szCs w:val="16"/>
        </w:rPr>
        <w:t xml:space="preserve"> 2023</w:t>
      </w:r>
      <w:r w:rsidR="005D6692" w:rsidRPr="00F9212C">
        <w:rPr>
          <w:rFonts w:ascii="Arial" w:hAnsi="Arial" w:cs="Arial"/>
          <w:sz w:val="16"/>
          <w:szCs w:val="16"/>
        </w:rPr>
        <w:t xml:space="preserve">. Wellington: Te Tāhū Hauora. URL: </w:t>
      </w:r>
      <w:hyperlink r:id="rId1" w:history="1">
        <w:r w:rsidR="00BE39B1" w:rsidRPr="007F3850">
          <w:rPr>
            <w:rStyle w:val="Hyperlink"/>
            <w:rFonts w:ascii="Arial" w:hAnsi="Arial" w:cs="Arial"/>
            <w:sz w:val="16"/>
            <w:szCs w:val="16"/>
          </w:rPr>
          <w:t>www.hqsc.govt.nz/resources/resource-library/national-adverse-event-policy-2023</w:t>
        </w:r>
      </w:hyperlink>
      <w:r w:rsidR="00BE39B1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304A78C7" w14:textId="3519210F" w:rsidR="00E260E6" w:rsidRPr="00F9212C" w:rsidRDefault="00E260E6" w:rsidP="005D6692">
      <w:pPr>
        <w:pStyle w:val="FootnoteText"/>
        <w:rPr>
          <w:rFonts w:ascii="Arial" w:hAnsi="Arial" w:cs="Arial"/>
          <w:sz w:val="16"/>
          <w:szCs w:val="16"/>
        </w:rPr>
      </w:pPr>
      <w:r w:rsidRPr="00F9212C">
        <w:rPr>
          <w:rStyle w:val="FootnoteReference"/>
          <w:rFonts w:ascii="Arial" w:hAnsi="Arial" w:cs="Arial"/>
          <w:sz w:val="16"/>
          <w:szCs w:val="16"/>
        </w:rPr>
        <w:footnoteRef/>
      </w:r>
      <w:r w:rsidRPr="00F9212C">
        <w:rPr>
          <w:rFonts w:ascii="Arial" w:hAnsi="Arial" w:cs="Arial"/>
          <w:sz w:val="16"/>
          <w:szCs w:val="16"/>
        </w:rPr>
        <w:t xml:space="preserve"> Whānau</w:t>
      </w:r>
      <w:r w:rsidR="005D6692" w:rsidRPr="00F9212C">
        <w:rPr>
          <w:rFonts w:ascii="Arial" w:hAnsi="Arial" w:cs="Arial"/>
          <w:sz w:val="16"/>
          <w:szCs w:val="16"/>
        </w:rPr>
        <w:t xml:space="preserve"> is the family, extended family or family group of people who are important to a person who is receiving a service. Whānau includes a person’s extended family, their partners, friends, </w:t>
      </w:r>
      <w:proofErr w:type="gramStart"/>
      <w:r w:rsidR="005D6692" w:rsidRPr="00F9212C">
        <w:rPr>
          <w:rFonts w:ascii="Arial" w:hAnsi="Arial" w:cs="Arial"/>
          <w:sz w:val="16"/>
          <w:szCs w:val="16"/>
        </w:rPr>
        <w:t>guardians</w:t>
      </w:r>
      <w:proofErr w:type="gramEnd"/>
      <w:r w:rsidR="005D6692" w:rsidRPr="00F9212C">
        <w:rPr>
          <w:rFonts w:ascii="Arial" w:hAnsi="Arial" w:cs="Arial"/>
          <w:sz w:val="16"/>
          <w:szCs w:val="16"/>
        </w:rPr>
        <w:t xml:space="preserve"> or other representatives chosen by the person.</w:t>
      </w:r>
      <w:r w:rsidR="0085239D" w:rsidRPr="00F9212C">
        <w:rPr>
          <w:rFonts w:ascii="Arial" w:hAnsi="Arial" w:cs="Arial"/>
          <w:sz w:val="16"/>
          <w:szCs w:val="16"/>
        </w:rPr>
        <w:t xml:space="preserve"> </w:t>
      </w:r>
      <w:r w:rsidR="0085239D" w:rsidRPr="007B4CF2">
        <w:rPr>
          <w:rFonts w:ascii="Arial" w:hAnsi="Arial" w:cs="Arial"/>
          <w:i/>
          <w:iCs/>
          <w:sz w:val="16"/>
          <w:szCs w:val="16"/>
        </w:rPr>
        <w:t>Ibid.</w:t>
      </w:r>
    </w:p>
  </w:footnote>
  <w:footnote w:id="3">
    <w:p w14:paraId="2B7E9739" w14:textId="502639D1" w:rsidR="00E775E0" w:rsidRPr="00F9212C" w:rsidRDefault="00E775E0">
      <w:pPr>
        <w:pStyle w:val="FootnoteText"/>
        <w:rPr>
          <w:rFonts w:ascii="Arial" w:hAnsi="Arial" w:cs="Arial"/>
          <w:color w:val="FF0000"/>
          <w:sz w:val="16"/>
          <w:szCs w:val="16"/>
          <w:lang w:val="en-NZ"/>
        </w:rPr>
      </w:pPr>
      <w:r w:rsidRPr="00F9212C">
        <w:rPr>
          <w:rStyle w:val="FootnoteReference"/>
          <w:rFonts w:ascii="Arial" w:hAnsi="Arial" w:cs="Arial"/>
          <w:sz w:val="16"/>
          <w:szCs w:val="16"/>
        </w:rPr>
        <w:footnoteRef/>
      </w:r>
      <w:r w:rsidRPr="00F9212C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595ECF" w:rsidRPr="00F9212C">
          <w:rPr>
            <w:rStyle w:val="Hyperlink"/>
            <w:rFonts w:ascii="Arial" w:hAnsi="Arial" w:cs="Arial"/>
            <w:sz w:val="16"/>
            <w:szCs w:val="16"/>
          </w:rPr>
          <w:t>www.hqsc.govt.nz/our-work/system-safety/adverse-events/education/how-to-engage-with-consumers-following-an-adverse-event</w:t>
        </w:r>
      </w:hyperlink>
    </w:p>
  </w:footnote>
  <w:footnote w:id="4">
    <w:p w14:paraId="2C24AC13" w14:textId="286AE10B" w:rsidR="009F08D3" w:rsidRPr="00F9212C" w:rsidRDefault="009F08D3">
      <w:pPr>
        <w:pStyle w:val="FootnoteText"/>
        <w:rPr>
          <w:rFonts w:ascii="Arial" w:hAnsi="Arial" w:cs="Arial"/>
          <w:sz w:val="16"/>
          <w:szCs w:val="16"/>
          <w:lang w:val="en-NZ"/>
        </w:rPr>
      </w:pPr>
      <w:r w:rsidRPr="00F9212C">
        <w:rPr>
          <w:rStyle w:val="FootnoteReference"/>
          <w:rFonts w:ascii="Arial" w:hAnsi="Arial" w:cs="Arial"/>
          <w:sz w:val="16"/>
          <w:szCs w:val="16"/>
        </w:rPr>
        <w:footnoteRef/>
      </w:r>
      <w:r w:rsidRPr="00F9212C">
        <w:rPr>
          <w:rFonts w:ascii="Arial" w:hAnsi="Arial" w:cs="Arial"/>
          <w:sz w:val="16"/>
          <w:szCs w:val="16"/>
        </w:rPr>
        <w:t xml:space="preserve"> Psychological safety – a belief that one will not be punished or humiliated for speaking up with ideas, questions, </w:t>
      </w:r>
      <w:proofErr w:type="gramStart"/>
      <w:r w:rsidRPr="00F9212C">
        <w:rPr>
          <w:rFonts w:ascii="Arial" w:hAnsi="Arial" w:cs="Arial"/>
          <w:sz w:val="16"/>
          <w:szCs w:val="16"/>
        </w:rPr>
        <w:t>concerns</w:t>
      </w:r>
      <w:proofErr w:type="gramEnd"/>
      <w:r w:rsidRPr="00F9212C">
        <w:rPr>
          <w:rFonts w:ascii="Arial" w:hAnsi="Arial" w:cs="Arial"/>
          <w:sz w:val="16"/>
          <w:szCs w:val="16"/>
        </w:rPr>
        <w:t xml:space="preserve"> or mistakes. Edmondson A. 2018. </w:t>
      </w:r>
      <w:r w:rsidRPr="00F9212C">
        <w:rPr>
          <w:rFonts w:ascii="Arial" w:hAnsi="Arial" w:cs="Arial"/>
          <w:i/>
          <w:iCs/>
          <w:sz w:val="16"/>
          <w:szCs w:val="16"/>
        </w:rPr>
        <w:t>The Fearless Organization: Creating psychological safety in the workplace for learning, innovation, and growth</w:t>
      </w:r>
      <w:r w:rsidRPr="00F9212C">
        <w:rPr>
          <w:rFonts w:ascii="Arial" w:hAnsi="Arial" w:cs="Arial"/>
          <w:sz w:val="16"/>
          <w:szCs w:val="16"/>
        </w:rPr>
        <w:t>. New Jersey: John Wiley &amp; Sons.</w:t>
      </w:r>
    </w:p>
  </w:footnote>
  <w:footnote w:id="5">
    <w:p w14:paraId="104F6AB6" w14:textId="1730A485" w:rsidR="009F08D3" w:rsidRPr="00F9212C" w:rsidRDefault="009F08D3">
      <w:pPr>
        <w:pStyle w:val="FootnoteText"/>
        <w:rPr>
          <w:rFonts w:ascii="Arial" w:hAnsi="Arial" w:cs="Arial"/>
          <w:sz w:val="16"/>
          <w:szCs w:val="16"/>
          <w:lang w:val="en-NZ"/>
        </w:rPr>
      </w:pPr>
      <w:r w:rsidRPr="00F9212C">
        <w:rPr>
          <w:rStyle w:val="FootnoteReference"/>
          <w:rFonts w:ascii="Arial" w:hAnsi="Arial" w:cs="Arial"/>
          <w:sz w:val="16"/>
          <w:szCs w:val="16"/>
        </w:rPr>
        <w:footnoteRef/>
      </w:r>
      <w:r w:rsidRPr="00F921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12C">
        <w:rPr>
          <w:rFonts w:ascii="Arial" w:hAnsi="Arial" w:cs="Arial"/>
          <w:sz w:val="16"/>
          <w:szCs w:val="16"/>
        </w:rPr>
        <w:t>Whakawhanaungatanga</w:t>
      </w:r>
      <w:proofErr w:type="spellEnd"/>
      <w:r w:rsidRPr="00F9212C">
        <w:rPr>
          <w:rFonts w:ascii="Arial" w:hAnsi="Arial" w:cs="Arial"/>
          <w:sz w:val="16"/>
          <w:szCs w:val="16"/>
        </w:rPr>
        <w:t xml:space="preserve"> – process of establishing relationships, relating well to others (https://maoridictionary.co.nz).</w:t>
      </w:r>
    </w:p>
  </w:footnote>
  <w:footnote w:id="6">
    <w:p w14:paraId="26E115FA" w14:textId="6A1BC03A" w:rsidR="009F08D3" w:rsidRPr="00F9212C" w:rsidRDefault="009F08D3">
      <w:pPr>
        <w:pStyle w:val="FootnoteText"/>
        <w:rPr>
          <w:rFonts w:ascii="Arial" w:hAnsi="Arial" w:cs="Arial"/>
          <w:sz w:val="16"/>
          <w:szCs w:val="16"/>
          <w:lang w:val="en-NZ"/>
        </w:rPr>
      </w:pPr>
      <w:r w:rsidRPr="00F9212C">
        <w:rPr>
          <w:rStyle w:val="FootnoteReference"/>
          <w:rFonts w:ascii="Arial" w:hAnsi="Arial" w:cs="Arial"/>
          <w:sz w:val="16"/>
          <w:szCs w:val="16"/>
        </w:rPr>
        <w:footnoteRef/>
      </w:r>
      <w:r w:rsidRPr="00F9212C">
        <w:rPr>
          <w:rFonts w:ascii="Arial" w:hAnsi="Arial" w:cs="Arial"/>
          <w:sz w:val="16"/>
          <w:szCs w:val="16"/>
        </w:rPr>
        <w:t xml:space="preserve"> Kotahitanga – </w:t>
      </w:r>
      <w:r w:rsidRPr="00F9212C">
        <w:rPr>
          <w:rFonts w:ascii="Arial" w:hAnsi="Arial" w:cs="Arial"/>
          <w:color w:val="333333"/>
          <w:sz w:val="16"/>
          <w:szCs w:val="16"/>
          <w:shd w:val="clear" w:color="auto" w:fill="FFFFFF"/>
        </w:rPr>
        <w:t>unity, togetherness, solidarity, collective action (https://maoridictionary.co.nz).</w:t>
      </w:r>
    </w:p>
  </w:footnote>
  <w:footnote w:id="7">
    <w:p w14:paraId="3A9A2777" w14:textId="6535AB3C" w:rsidR="009F08D3" w:rsidRPr="00F9212C" w:rsidRDefault="009F08D3">
      <w:pPr>
        <w:pStyle w:val="FootnoteText"/>
        <w:rPr>
          <w:rFonts w:ascii="Arial" w:hAnsi="Arial" w:cs="Arial"/>
          <w:sz w:val="16"/>
          <w:szCs w:val="16"/>
          <w:lang w:val="en-NZ"/>
        </w:rPr>
      </w:pPr>
      <w:r w:rsidRPr="00F9212C">
        <w:rPr>
          <w:rStyle w:val="FootnoteReference"/>
          <w:rFonts w:ascii="Arial" w:hAnsi="Arial" w:cs="Arial"/>
          <w:sz w:val="16"/>
          <w:szCs w:val="16"/>
        </w:rPr>
        <w:footnoteRef/>
      </w:r>
      <w:r w:rsidRPr="00F9212C">
        <w:rPr>
          <w:rFonts w:ascii="Arial" w:hAnsi="Arial" w:cs="Arial"/>
          <w:sz w:val="16"/>
          <w:szCs w:val="16"/>
        </w:rPr>
        <w:t xml:space="preserve"> Tikanga – … the customary system of values and practices that have developed over time and are deeply embedded in the social context (https://maoridictionary.co.nz).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C30" w14:textId="0532634D" w:rsidR="001A6191" w:rsidRDefault="001A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371"/>
    <w:multiLevelType w:val="hybridMultilevel"/>
    <w:tmpl w:val="750CC874"/>
    <w:lvl w:ilvl="0" w:tplc="9918C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C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0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A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4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6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8C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0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AD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627E24"/>
    <w:multiLevelType w:val="hybridMultilevel"/>
    <w:tmpl w:val="F1A25EAA"/>
    <w:lvl w:ilvl="0" w:tplc="3152A0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958A1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3A82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EC7E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6FCE3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C433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F64E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D29F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6900E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CC1447"/>
    <w:multiLevelType w:val="hybridMultilevel"/>
    <w:tmpl w:val="2FAEA138"/>
    <w:lvl w:ilvl="0" w:tplc="747E7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65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289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A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B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4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8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2A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66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D3749D"/>
    <w:multiLevelType w:val="hybridMultilevel"/>
    <w:tmpl w:val="71D8D2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B1ABE"/>
    <w:multiLevelType w:val="hybridMultilevel"/>
    <w:tmpl w:val="2FF41BBE"/>
    <w:lvl w:ilvl="0" w:tplc="C284E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CE99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7ED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C3243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5872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00FF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096A0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BED0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7CEC8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1218D3"/>
    <w:multiLevelType w:val="singleLevel"/>
    <w:tmpl w:val="F9C47940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3676792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3108267">
    <w:abstractNumId w:val="2"/>
  </w:num>
  <w:num w:numId="3" w16cid:durableId="1427573027">
    <w:abstractNumId w:val="5"/>
  </w:num>
  <w:num w:numId="4" w16cid:durableId="1139298178">
    <w:abstractNumId w:val="4"/>
  </w:num>
  <w:num w:numId="5" w16cid:durableId="1369647357">
    <w:abstractNumId w:val="0"/>
  </w:num>
  <w:num w:numId="6" w16cid:durableId="19960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A7"/>
    <w:rsid w:val="0001639C"/>
    <w:rsid w:val="00016687"/>
    <w:rsid w:val="00025C4F"/>
    <w:rsid w:val="000347F3"/>
    <w:rsid w:val="0004416A"/>
    <w:rsid w:val="0005577E"/>
    <w:rsid w:val="00082812"/>
    <w:rsid w:val="000B25B4"/>
    <w:rsid w:val="000C7FBE"/>
    <w:rsid w:val="000D5192"/>
    <w:rsid w:val="000E7647"/>
    <w:rsid w:val="000E7A5A"/>
    <w:rsid w:val="000F1606"/>
    <w:rsid w:val="0011753C"/>
    <w:rsid w:val="00126F08"/>
    <w:rsid w:val="00130AB4"/>
    <w:rsid w:val="00135601"/>
    <w:rsid w:val="00157F18"/>
    <w:rsid w:val="001658AA"/>
    <w:rsid w:val="00171556"/>
    <w:rsid w:val="00182164"/>
    <w:rsid w:val="00186622"/>
    <w:rsid w:val="00192096"/>
    <w:rsid w:val="0019243B"/>
    <w:rsid w:val="0019255B"/>
    <w:rsid w:val="00197737"/>
    <w:rsid w:val="001A6191"/>
    <w:rsid w:val="001B42F2"/>
    <w:rsid w:val="001E0AFC"/>
    <w:rsid w:val="001F333C"/>
    <w:rsid w:val="002021BA"/>
    <w:rsid w:val="00206CDD"/>
    <w:rsid w:val="00216196"/>
    <w:rsid w:val="00263437"/>
    <w:rsid w:val="002A1AEA"/>
    <w:rsid w:val="002D44E6"/>
    <w:rsid w:val="002D761B"/>
    <w:rsid w:val="002E18ED"/>
    <w:rsid w:val="002F309B"/>
    <w:rsid w:val="002F334E"/>
    <w:rsid w:val="003172D1"/>
    <w:rsid w:val="00323CDB"/>
    <w:rsid w:val="00334A03"/>
    <w:rsid w:val="00336B73"/>
    <w:rsid w:val="00340F18"/>
    <w:rsid w:val="0035227C"/>
    <w:rsid w:val="00364DAA"/>
    <w:rsid w:val="003729FF"/>
    <w:rsid w:val="00381A85"/>
    <w:rsid w:val="00392289"/>
    <w:rsid w:val="003B1C5C"/>
    <w:rsid w:val="003C7D94"/>
    <w:rsid w:val="003E0BF2"/>
    <w:rsid w:val="003E4949"/>
    <w:rsid w:val="003F08D2"/>
    <w:rsid w:val="003F7D90"/>
    <w:rsid w:val="00417E38"/>
    <w:rsid w:val="00442CC1"/>
    <w:rsid w:val="0044468A"/>
    <w:rsid w:val="004547D0"/>
    <w:rsid w:val="00472D97"/>
    <w:rsid w:val="004801F0"/>
    <w:rsid w:val="00480376"/>
    <w:rsid w:val="0048792C"/>
    <w:rsid w:val="004970F2"/>
    <w:rsid w:val="004E6195"/>
    <w:rsid w:val="00503850"/>
    <w:rsid w:val="00507D82"/>
    <w:rsid w:val="00516C1E"/>
    <w:rsid w:val="005171B3"/>
    <w:rsid w:val="00525097"/>
    <w:rsid w:val="00541AE9"/>
    <w:rsid w:val="00542D41"/>
    <w:rsid w:val="005444C3"/>
    <w:rsid w:val="00545243"/>
    <w:rsid w:val="00566DF2"/>
    <w:rsid w:val="005945C6"/>
    <w:rsid w:val="00595ECF"/>
    <w:rsid w:val="005D6692"/>
    <w:rsid w:val="005E6682"/>
    <w:rsid w:val="005F036B"/>
    <w:rsid w:val="005F6C7D"/>
    <w:rsid w:val="00607830"/>
    <w:rsid w:val="00610E2B"/>
    <w:rsid w:val="00626E18"/>
    <w:rsid w:val="0063710F"/>
    <w:rsid w:val="00661B38"/>
    <w:rsid w:val="00662B41"/>
    <w:rsid w:val="00666817"/>
    <w:rsid w:val="00673D6F"/>
    <w:rsid w:val="00674F39"/>
    <w:rsid w:val="006A2F73"/>
    <w:rsid w:val="006C54AE"/>
    <w:rsid w:val="006D605E"/>
    <w:rsid w:val="007032D7"/>
    <w:rsid w:val="00724242"/>
    <w:rsid w:val="00736246"/>
    <w:rsid w:val="007372D3"/>
    <w:rsid w:val="0074641D"/>
    <w:rsid w:val="007720D9"/>
    <w:rsid w:val="007724E2"/>
    <w:rsid w:val="00773253"/>
    <w:rsid w:val="007742FF"/>
    <w:rsid w:val="00776E99"/>
    <w:rsid w:val="007878DA"/>
    <w:rsid w:val="007917AF"/>
    <w:rsid w:val="007A2AE3"/>
    <w:rsid w:val="007A7AC4"/>
    <w:rsid w:val="007A7B8C"/>
    <w:rsid w:val="007B4CF2"/>
    <w:rsid w:val="007B6CD0"/>
    <w:rsid w:val="007C720B"/>
    <w:rsid w:val="007D20E0"/>
    <w:rsid w:val="007D443B"/>
    <w:rsid w:val="007E1F3F"/>
    <w:rsid w:val="007F306D"/>
    <w:rsid w:val="00803B69"/>
    <w:rsid w:val="0080732A"/>
    <w:rsid w:val="008109FA"/>
    <w:rsid w:val="00821309"/>
    <w:rsid w:val="00847EE6"/>
    <w:rsid w:val="00850A66"/>
    <w:rsid w:val="0085239D"/>
    <w:rsid w:val="008632E8"/>
    <w:rsid w:val="0086643B"/>
    <w:rsid w:val="00893510"/>
    <w:rsid w:val="008E1945"/>
    <w:rsid w:val="008E211B"/>
    <w:rsid w:val="008E638C"/>
    <w:rsid w:val="008F7CC9"/>
    <w:rsid w:val="00944665"/>
    <w:rsid w:val="00973B79"/>
    <w:rsid w:val="00997C72"/>
    <w:rsid w:val="009A1AB6"/>
    <w:rsid w:val="009A62B0"/>
    <w:rsid w:val="009A7871"/>
    <w:rsid w:val="009B1409"/>
    <w:rsid w:val="009D2196"/>
    <w:rsid w:val="009E7142"/>
    <w:rsid w:val="009F08D3"/>
    <w:rsid w:val="009F41B8"/>
    <w:rsid w:val="009F4BAC"/>
    <w:rsid w:val="009F58E1"/>
    <w:rsid w:val="00A07688"/>
    <w:rsid w:val="00A1501C"/>
    <w:rsid w:val="00A336E7"/>
    <w:rsid w:val="00A34258"/>
    <w:rsid w:val="00A3603E"/>
    <w:rsid w:val="00A374CF"/>
    <w:rsid w:val="00A5390B"/>
    <w:rsid w:val="00A557E2"/>
    <w:rsid w:val="00A56037"/>
    <w:rsid w:val="00A62F3C"/>
    <w:rsid w:val="00A63CD2"/>
    <w:rsid w:val="00A65B34"/>
    <w:rsid w:val="00A67FAB"/>
    <w:rsid w:val="00A70365"/>
    <w:rsid w:val="00A80555"/>
    <w:rsid w:val="00AB227F"/>
    <w:rsid w:val="00AB33FB"/>
    <w:rsid w:val="00AC5755"/>
    <w:rsid w:val="00AD46EB"/>
    <w:rsid w:val="00AE591B"/>
    <w:rsid w:val="00AF5FA2"/>
    <w:rsid w:val="00B136B0"/>
    <w:rsid w:val="00B35402"/>
    <w:rsid w:val="00B64709"/>
    <w:rsid w:val="00B657C7"/>
    <w:rsid w:val="00B81FB3"/>
    <w:rsid w:val="00B94058"/>
    <w:rsid w:val="00B943C0"/>
    <w:rsid w:val="00BB533D"/>
    <w:rsid w:val="00BB7A8E"/>
    <w:rsid w:val="00BC3EC9"/>
    <w:rsid w:val="00BC41E4"/>
    <w:rsid w:val="00BD6514"/>
    <w:rsid w:val="00BE39B1"/>
    <w:rsid w:val="00BF6C17"/>
    <w:rsid w:val="00C038B8"/>
    <w:rsid w:val="00C04501"/>
    <w:rsid w:val="00C245F1"/>
    <w:rsid w:val="00C2582B"/>
    <w:rsid w:val="00C31A7A"/>
    <w:rsid w:val="00C330B8"/>
    <w:rsid w:val="00C34F7F"/>
    <w:rsid w:val="00C44151"/>
    <w:rsid w:val="00C67FC9"/>
    <w:rsid w:val="00CB3FD5"/>
    <w:rsid w:val="00CB4FDF"/>
    <w:rsid w:val="00CC0221"/>
    <w:rsid w:val="00CC7C7F"/>
    <w:rsid w:val="00CD3243"/>
    <w:rsid w:val="00CE6A8B"/>
    <w:rsid w:val="00CE6DD4"/>
    <w:rsid w:val="00D0068A"/>
    <w:rsid w:val="00D45870"/>
    <w:rsid w:val="00D6051A"/>
    <w:rsid w:val="00D70937"/>
    <w:rsid w:val="00D854E2"/>
    <w:rsid w:val="00D923DB"/>
    <w:rsid w:val="00D929E0"/>
    <w:rsid w:val="00D938D2"/>
    <w:rsid w:val="00DB079B"/>
    <w:rsid w:val="00DB4F98"/>
    <w:rsid w:val="00DB6C12"/>
    <w:rsid w:val="00DC3828"/>
    <w:rsid w:val="00DD27F9"/>
    <w:rsid w:val="00DF6D08"/>
    <w:rsid w:val="00DF78F3"/>
    <w:rsid w:val="00E04C94"/>
    <w:rsid w:val="00E111DD"/>
    <w:rsid w:val="00E23C02"/>
    <w:rsid w:val="00E260E6"/>
    <w:rsid w:val="00E32A77"/>
    <w:rsid w:val="00E34BB9"/>
    <w:rsid w:val="00E37109"/>
    <w:rsid w:val="00E441B6"/>
    <w:rsid w:val="00E775E0"/>
    <w:rsid w:val="00E95FB2"/>
    <w:rsid w:val="00EB6B99"/>
    <w:rsid w:val="00EC215F"/>
    <w:rsid w:val="00EC4916"/>
    <w:rsid w:val="00EE07F8"/>
    <w:rsid w:val="00EF06EC"/>
    <w:rsid w:val="00EF0A8B"/>
    <w:rsid w:val="00EF63AB"/>
    <w:rsid w:val="00EF7342"/>
    <w:rsid w:val="00F13ABF"/>
    <w:rsid w:val="00F27677"/>
    <w:rsid w:val="00F62149"/>
    <w:rsid w:val="00F71ADA"/>
    <w:rsid w:val="00F81736"/>
    <w:rsid w:val="00F81F8A"/>
    <w:rsid w:val="00F84B99"/>
    <w:rsid w:val="00F9212C"/>
    <w:rsid w:val="00FA4949"/>
    <w:rsid w:val="00FB3F97"/>
    <w:rsid w:val="00FC07A7"/>
    <w:rsid w:val="00FC1AEA"/>
    <w:rsid w:val="00FC39F6"/>
    <w:rsid w:val="00FC5863"/>
    <w:rsid w:val="00FD3E6C"/>
    <w:rsid w:val="00FE0094"/>
    <w:rsid w:val="00FE0456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26DAA"/>
  <w15:docId w15:val="{9713A25A-37C2-4A4E-A1DB-0CE9F58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0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7A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C07A7"/>
    <w:pPr>
      <w:ind w:left="720"/>
    </w:pPr>
    <w:rPr>
      <w:rFonts w:ascii="Calibri" w:eastAsiaTheme="minorHAnsi" w:hAnsi="Calibri" w:cs="Calibri"/>
      <w:sz w:val="22"/>
      <w:szCs w:val="22"/>
      <w:lang w:val="en-NZ" w:eastAsia="en-NZ"/>
    </w:rPr>
  </w:style>
  <w:style w:type="paragraph" w:styleId="Header">
    <w:name w:val="header"/>
    <w:basedOn w:val="Normal"/>
    <w:link w:val="HeaderChar"/>
    <w:rsid w:val="00263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343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63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343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2A1A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1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1AE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1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1AEA"/>
    <w:rPr>
      <w:b/>
      <w:bCs/>
      <w:lang w:val="en-GB" w:eastAsia="en-GB"/>
    </w:rPr>
  </w:style>
  <w:style w:type="character" w:customStyle="1" w:styleId="A7">
    <w:name w:val="A7"/>
    <w:uiPriority w:val="99"/>
    <w:rsid w:val="00EB6B99"/>
    <w:rPr>
      <w:rFonts w:cs="Whitney Light"/>
      <w:color w:val="000000"/>
      <w:sz w:val="11"/>
      <w:szCs w:val="11"/>
    </w:rPr>
  </w:style>
  <w:style w:type="character" w:styleId="Hyperlink">
    <w:name w:val="Hyperlink"/>
    <w:basedOn w:val="DefaultParagraphFont"/>
    <w:unhideWhenUsed/>
    <w:rsid w:val="00C038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8B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1925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255B"/>
    <w:rPr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19255B"/>
    <w:rPr>
      <w:vertAlign w:val="superscript"/>
    </w:rPr>
  </w:style>
  <w:style w:type="paragraph" w:customStyle="1" w:styleId="Bullet">
    <w:name w:val="Bullet"/>
    <w:basedOn w:val="Normal"/>
    <w:link w:val="BulletChar"/>
    <w:uiPriority w:val="99"/>
    <w:qFormat/>
    <w:rsid w:val="0019255B"/>
    <w:pPr>
      <w:numPr>
        <w:numId w:val="3"/>
      </w:numPr>
      <w:tabs>
        <w:tab w:val="clear" w:pos="284"/>
      </w:tabs>
      <w:spacing w:before="90"/>
    </w:pPr>
    <w:rPr>
      <w:rFonts w:ascii="Segoe UI" w:hAnsi="Segoe UI"/>
      <w:sz w:val="21"/>
      <w:szCs w:val="20"/>
      <w:lang w:val="en-NZ"/>
    </w:rPr>
  </w:style>
  <w:style w:type="character" w:customStyle="1" w:styleId="BulletChar">
    <w:name w:val="Bullet Char"/>
    <w:link w:val="Bullet"/>
    <w:uiPriority w:val="99"/>
    <w:locked/>
    <w:rsid w:val="0019255B"/>
    <w:rPr>
      <w:rFonts w:ascii="Segoe UI" w:hAnsi="Segoe UI"/>
      <w:sz w:val="21"/>
      <w:lang w:eastAsia="en-GB"/>
    </w:rPr>
  </w:style>
  <w:style w:type="paragraph" w:styleId="Revision">
    <w:name w:val="Revision"/>
    <w:hidden/>
    <w:uiPriority w:val="99"/>
    <w:semiHidden/>
    <w:rsid w:val="007E1F3F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EC215F"/>
    <w:rPr>
      <w:color w:val="800080" w:themeColor="followedHyperlink"/>
      <w:u w:val="single"/>
    </w:rPr>
  </w:style>
  <w:style w:type="table" w:styleId="TableGrid">
    <w:name w:val="Table Grid"/>
    <w:basedOn w:val="TableNormal"/>
    <w:rsid w:val="009F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345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525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25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679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784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984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924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914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767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502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1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307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960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038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27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787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269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3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903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553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699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315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318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367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262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qsc.govt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qsc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qsc.govt.nz/our-work/system-safety/adverse-events/education/how-to-engage-with-consumers-following-an-adverse-event" TargetMode="External"/><Relationship Id="rId1" Type="http://schemas.openxmlformats.org/officeDocument/2006/relationships/hyperlink" Target="http://www.hqsc.govt.nz/resources/resource-library/national-adverse-event-policy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4" ma:contentTypeDescription="Create a new document." ma:contentTypeScope="" ma:versionID="581dee2d707ec42ce140d6696b4d49c8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76d87e9865eacd9391a237c5316e563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DOCS-1129490080-82936</_dlc_DocId>
    <_dlc_DocIdUrl xmlns="bef9904b-9bca-4a1b-aca3-78dad2044d15">
      <Url>https://hqsc.sharepoint.com/sites/dms-comms/_layouts/15/DocIdRedir.aspx?ID=DOCS-1129490080-82936</Url>
      <Description>DOCS-1129490080-82936</Description>
    </_dlc_DocIdUrl>
  </documentManagement>
</p:properties>
</file>

<file path=customXml/itemProps1.xml><?xml version="1.0" encoding="utf-8"?>
<ds:datastoreItem xmlns:ds="http://schemas.openxmlformats.org/officeDocument/2006/customXml" ds:itemID="{D8FFFD46-31F0-4091-86BB-6EF24B539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5527A-2541-4BEF-8693-BCF99E418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21AA74-3F61-41B8-8A9B-2892C4990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69A28-5403-49A0-9D02-0CE2B7B00C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0BA042-A150-4A74-A1C9-170E4D23C651}">
  <ds:schemaRefs>
    <ds:schemaRef ds:uri="http://purl.org/dc/elements/1.1/"/>
    <ds:schemaRef ds:uri="83c1f819-1d2e-4aad-8c9d-234667bc5029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ef9904b-9bca-4a1b-aca3-78dad2044d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Laskey (CMDHB)</dc:creator>
  <cp:lastModifiedBy>Jocasta Whittingham</cp:lastModifiedBy>
  <cp:revision>2</cp:revision>
  <cp:lastPrinted>2021-05-03T00:43:00Z</cp:lastPrinted>
  <dcterms:created xsi:type="dcterms:W3CDTF">2023-07-02T21:45:00Z</dcterms:created>
  <dcterms:modified xsi:type="dcterms:W3CDTF">2023-07-02T21:45:00Z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MediaServiceImageTags">
    <vt:lpwstr/>
  </property>
  <property fmtid="{D5CDD505-2E9C-101B-9397-08002B2CF9AE}" pid="4" name="_dlc_DocIdItemGuid">
    <vt:lpwstr>1af8f518-b47c-4216-a69e-5a5a53130fd4</vt:lpwstr>
  </property>
</Properties>
</file>