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62F88" w14:textId="35D95EDD" w:rsidR="00BC10D7" w:rsidRDefault="00BC10D7">
      <w:pPr>
        <w:pStyle w:val="BodyText"/>
        <w:ind w:left="6351"/>
        <w:rPr>
          <w:rFonts w:ascii="Times New Roman"/>
          <w:sz w:val="20"/>
        </w:rPr>
      </w:pPr>
    </w:p>
    <w:p w14:paraId="4A1A4F72" w14:textId="77777777" w:rsidR="00BC10D7" w:rsidRDefault="00BC10D7">
      <w:pPr>
        <w:pStyle w:val="BodyText"/>
        <w:spacing w:before="5"/>
        <w:rPr>
          <w:rFonts w:ascii="Times New Roman"/>
          <w:sz w:val="12"/>
        </w:rPr>
      </w:pPr>
    </w:p>
    <w:p w14:paraId="6E66967D" w14:textId="065A512E" w:rsidR="00BC10D7" w:rsidRDefault="00B92D9D">
      <w:pPr>
        <w:spacing w:before="89"/>
        <w:ind w:left="112"/>
        <w:rPr>
          <w:b/>
          <w:sz w:val="32"/>
        </w:rPr>
      </w:pPr>
      <w:r>
        <w:rPr>
          <w:b/>
          <w:sz w:val="32"/>
        </w:rPr>
        <w:t xml:space="preserve">Always Report and Review </w:t>
      </w:r>
      <w:r w:rsidR="00762D64">
        <w:rPr>
          <w:b/>
          <w:sz w:val="32"/>
        </w:rPr>
        <w:t>l</w:t>
      </w:r>
      <w:r>
        <w:rPr>
          <w:b/>
          <w:sz w:val="32"/>
        </w:rPr>
        <w:t xml:space="preserve">ist </w:t>
      </w:r>
      <w:r w:rsidR="00F2126C">
        <w:rPr>
          <w:b/>
          <w:sz w:val="32"/>
        </w:rPr>
        <w:t>202</w:t>
      </w:r>
      <w:r w:rsidR="004F3ADA">
        <w:rPr>
          <w:b/>
          <w:sz w:val="32"/>
        </w:rPr>
        <w:t>1</w:t>
      </w:r>
      <w:r w:rsidR="003E7E7A">
        <w:rPr>
          <w:b/>
          <w:sz w:val="32"/>
        </w:rPr>
        <w:t>–</w:t>
      </w:r>
      <w:r w:rsidR="00F2126C">
        <w:rPr>
          <w:b/>
          <w:sz w:val="32"/>
        </w:rPr>
        <w:t>2</w:t>
      </w:r>
      <w:r w:rsidR="004F3ADA">
        <w:rPr>
          <w:b/>
          <w:sz w:val="32"/>
        </w:rPr>
        <w:t>2</w:t>
      </w:r>
    </w:p>
    <w:p w14:paraId="26BA37AF" w14:textId="40E1937F" w:rsidR="00D3236B" w:rsidRDefault="00B92D9D" w:rsidP="00D3236B">
      <w:pPr>
        <w:pStyle w:val="BodyText"/>
        <w:spacing w:before="254" w:line="273" w:lineRule="auto"/>
        <w:ind w:left="112" w:right="358"/>
      </w:pPr>
      <w:r>
        <w:t xml:space="preserve">The Always Report and Review </w:t>
      </w:r>
      <w:r w:rsidR="00762D64">
        <w:t>l</w:t>
      </w:r>
      <w:r>
        <w:t xml:space="preserve">ist is a subset of adverse events that </w:t>
      </w:r>
      <w:r w:rsidR="00B645CA">
        <w:t xml:space="preserve">health </w:t>
      </w:r>
      <w:r w:rsidR="00A11910">
        <w:t xml:space="preserve">providers </w:t>
      </w:r>
      <w:r>
        <w:t xml:space="preserve">should report and review in the same way as SAC 1 and 2 rated events, irrespective of </w:t>
      </w:r>
      <w:proofErr w:type="gramStart"/>
      <w:r>
        <w:t>whether or not</w:t>
      </w:r>
      <w:proofErr w:type="gramEnd"/>
      <w:r>
        <w:t xml:space="preserve"> there was harm to the consumer</w:t>
      </w:r>
      <w:r>
        <w:rPr>
          <w:i/>
        </w:rPr>
        <w:t>.</w:t>
      </w:r>
      <w:r w:rsidR="007725CE">
        <w:rPr>
          <w:rStyle w:val="FootnoteReference"/>
          <w:position w:val="8"/>
          <w:sz w:val="14"/>
        </w:rPr>
        <w:footnoteReference w:id="1"/>
      </w:r>
      <w:r>
        <w:rPr>
          <w:position w:val="8"/>
          <w:sz w:val="14"/>
        </w:rPr>
        <w:t xml:space="preserve"> </w:t>
      </w:r>
      <w:r w:rsidR="00A71939">
        <w:t>‘A</w:t>
      </w:r>
      <w:r>
        <w:t xml:space="preserve">lways </w:t>
      </w:r>
      <w:r w:rsidR="00D3236B">
        <w:t>r</w:t>
      </w:r>
      <w:r>
        <w:t xml:space="preserve">eport and </w:t>
      </w:r>
      <w:r w:rsidR="00D3236B">
        <w:t>r</w:t>
      </w:r>
      <w:r>
        <w:t>eview</w:t>
      </w:r>
      <w:r w:rsidR="00A71939">
        <w:t>’</w:t>
      </w:r>
      <w:r>
        <w:t xml:space="preserve"> events are events that can result in serious harm or death but are preventable with strong clinical and organisational systems.</w:t>
      </w:r>
    </w:p>
    <w:p w14:paraId="720711DC" w14:textId="77777777" w:rsidR="00D3236B" w:rsidRDefault="00D3236B">
      <w:pPr>
        <w:pStyle w:val="BodyText"/>
        <w:spacing w:before="5" w:line="278" w:lineRule="auto"/>
        <w:ind w:left="112" w:right="553"/>
      </w:pPr>
    </w:p>
    <w:p w14:paraId="7C83FE25" w14:textId="28E45737" w:rsidR="00BC10D7" w:rsidRDefault="00B92D9D">
      <w:pPr>
        <w:pStyle w:val="BodyText"/>
        <w:spacing w:before="5" w:line="278" w:lineRule="auto"/>
        <w:ind w:left="112" w:right="553"/>
      </w:pPr>
      <w:r>
        <w:t xml:space="preserve">Reporting </w:t>
      </w:r>
      <w:r w:rsidR="00D3236B">
        <w:t>‘a</w:t>
      </w:r>
      <w:r>
        <w:t xml:space="preserve">lways </w:t>
      </w:r>
      <w:r w:rsidR="00D3236B">
        <w:t xml:space="preserve">report and review’ </w:t>
      </w:r>
      <w:r>
        <w:t>events can highlight weaknesses in how an organisation manages fundamental safety processes.</w:t>
      </w:r>
    </w:p>
    <w:p w14:paraId="6EB9DEFA" w14:textId="53B050E8" w:rsidR="00BC10D7" w:rsidRDefault="00B92D9D">
      <w:pPr>
        <w:pStyle w:val="BodyText"/>
        <w:spacing w:before="196" w:line="273" w:lineRule="auto"/>
        <w:ind w:left="112" w:right="468"/>
        <w:rPr>
          <w:sz w:val="14"/>
        </w:rPr>
      </w:pPr>
      <w:r>
        <w:t xml:space="preserve">This is the </w:t>
      </w:r>
      <w:r w:rsidR="00F2126C">
        <w:t>202</w:t>
      </w:r>
      <w:r w:rsidR="004F3ADA">
        <w:t>1</w:t>
      </w:r>
      <w:r w:rsidR="00D3236B">
        <w:t>–</w:t>
      </w:r>
      <w:r w:rsidR="00F2126C">
        <w:t>2</w:t>
      </w:r>
      <w:r w:rsidR="004F3ADA">
        <w:t>2</w:t>
      </w:r>
      <w:r>
        <w:t xml:space="preserve"> list. It applies to all events that occur on or after 1 July </w:t>
      </w:r>
      <w:r w:rsidR="00F2126C">
        <w:t>2021</w:t>
      </w:r>
      <w:r>
        <w:t xml:space="preserve">. </w:t>
      </w:r>
      <w:r w:rsidR="00B645CA">
        <w:t>P</w:t>
      </w:r>
      <w:r>
        <w:t>roviders should use this list in conjunction with the National Adverse Events Reporting Policy 2017.</w:t>
      </w:r>
      <w:r w:rsidR="009F128C">
        <w:rPr>
          <w:rStyle w:val="FootnoteReference"/>
        </w:rPr>
        <w:footnoteReference w:id="2"/>
      </w:r>
      <w:r w:rsidR="009F128C" w:rsidDel="009F128C">
        <w:t xml:space="preserve"> </w:t>
      </w:r>
    </w:p>
    <w:p w14:paraId="6BAC21AA" w14:textId="580533CE" w:rsidR="00BC10D7" w:rsidRDefault="00B92D9D">
      <w:pPr>
        <w:pStyle w:val="BodyText"/>
        <w:spacing w:before="202" w:line="276" w:lineRule="auto"/>
        <w:ind w:left="112" w:right="419"/>
      </w:pPr>
      <w:r>
        <w:t xml:space="preserve">The Always Report and Review </w:t>
      </w:r>
      <w:r w:rsidR="00762D64">
        <w:t>l</w:t>
      </w:r>
      <w:r>
        <w:t xml:space="preserve">ist will be updated regularly by the Health Quality &amp; Safety Commission in consultation with the </w:t>
      </w:r>
      <w:r w:rsidR="00402F2B">
        <w:t xml:space="preserve">health </w:t>
      </w:r>
      <w:r>
        <w:t xml:space="preserve">sector. To provide feedback on the list or suggest changes, contact </w:t>
      </w:r>
      <w:hyperlink r:id="rId12">
        <w:r>
          <w:rPr>
            <w:color w:val="0000FF"/>
            <w:u w:val="single" w:color="0000FF"/>
          </w:rPr>
          <w:t>adverse.events@hqsc.govt.nz</w:t>
        </w:r>
      </w:hyperlink>
      <w:r>
        <w:t>.</w:t>
      </w:r>
    </w:p>
    <w:p w14:paraId="459478E9" w14:textId="1951E5B3" w:rsidR="00BC10D7" w:rsidRDefault="00BC10D7">
      <w:pPr>
        <w:pStyle w:val="BodyText"/>
        <w:spacing w:before="7"/>
        <w:rPr>
          <w:sz w:val="17"/>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94"/>
      </w:tblGrid>
      <w:tr w:rsidR="00BC10D7" w14:paraId="55ED330D" w14:textId="77777777" w:rsidTr="002F2C23">
        <w:trPr>
          <w:trHeight w:val="371"/>
        </w:trPr>
        <w:tc>
          <w:tcPr>
            <w:tcW w:w="9494" w:type="dxa"/>
            <w:shd w:val="clear" w:color="auto" w:fill="D9D9D9" w:themeFill="background1" w:themeFillShade="D9"/>
          </w:tcPr>
          <w:p w14:paraId="6BEF49C0" w14:textId="77777777" w:rsidR="00BC10D7" w:rsidRDefault="00B92D9D" w:rsidP="00032A35">
            <w:pPr>
              <w:pStyle w:val="TableParagraph"/>
              <w:spacing w:after="60" w:line="276" w:lineRule="auto"/>
              <w:rPr>
                <w:b/>
              </w:rPr>
            </w:pPr>
            <w:r>
              <w:rPr>
                <w:b/>
              </w:rPr>
              <w:t>Wrong blood component</w:t>
            </w:r>
          </w:p>
        </w:tc>
      </w:tr>
      <w:tr w:rsidR="00BC10D7" w14:paraId="43C89755" w14:textId="77777777">
        <w:trPr>
          <w:trHeight w:val="374"/>
        </w:trPr>
        <w:tc>
          <w:tcPr>
            <w:tcW w:w="9494" w:type="dxa"/>
          </w:tcPr>
          <w:p w14:paraId="07CC4D92" w14:textId="3A93988C" w:rsidR="00BC10D7" w:rsidRDefault="00B92D9D" w:rsidP="002F2C23">
            <w:pPr>
              <w:pStyle w:val="TableParagraph"/>
              <w:spacing w:before="60" w:after="60" w:line="276" w:lineRule="auto"/>
            </w:pPr>
            <w:r>
              <w:t>Actual or near-miss transfusion of ABO</w:t>
            </w:r>
            <w:r w:rsidR="005D32A1">
              <w:t>-</w:t>
            </w:r>
            <w:r>
              <w:t>incompatible red cells.</w:t>
            </w:r>
          </w:p>
        </w:tc>
      </w:tr>
      <w:tr w:rsidR="00BC10D7" w14:paraId="364A4D31" w14:textId="77777777" w:rsidTr="002F2C23">
        <w:trPr>
          <w:trHeight w:val="373"/>
        </w:trPr>
        <w:tc>
          <w:tcPr>
            <w:tcW w:w="9494" w:type="dxa"/>
            <w:shd w:val="clear" w:color="auto" w:fill="D9D9D9" w:themeFill="background1" w:themeFillShade="D9"/>
          </w:tcPr>
          <w:p w14:paraId="016261B0" w14:textId="77777777" w:rsidR="00BC10D7" w:rsidRDefault="00B92D9D" w:rsidP="002F2C23">
            <w:pPr>
              <w:pStyle w:val="TableParagraph"/>
              <w:spacing w:line="276" w:lineRule="auto"/>
              <w:rPr>
                <w:b/>
              </w:rPr>
            </w:pPr>
            <w:r>
              <w:rPr>
                <w:b/>
              </w:rPr>
              <w:t>Wrong site</w:t>
            </w:r>
          </w:p>
        </w:tc>
      </w:tr>
      <w:tr w:rsidR="00BC10D7" w14:paraId="14B0F130" w14:textId="77777777">
        <w:trPr>
          <w:trHeight w:val="3126"/>
        </w:trPr>
        <w:tc>
          <w:tcPr>
            <w:tcW w:w="9494" w:type="dxa"/>
          </w:tcPr>
          <w:p w14:paraId="5B8029BE" w14:textId="77777777" w:rsidR="00BC10D7" w:rsidRDefault="00B92D9D" w:rsidP="002F2C23">
            <w:pPr>
              <w:pStyle w:val="TableParagraph"/>
              <w:spacing w:before="60" w:after="60" w:line="276" w:lineRule="auto"/>
            </w:pPr>
            <w:r>
              <w:t>A procedure/intervention performed on the wrong site (</w:t>
            </w:r>
            <w:proofErr w:type="spellStart"/>
            <w:r>
              <w:t>eg</w:t>
            </w:r>
            <w:proofErr w:type="spellEnd"/>
            <w:r>
              <w:t xml:space="preserve">, wrong knee, wrong eye, wrong level spinal surgery, wrong limb, wrong </w:t>
            </w:r>
            <w:proofErr w:type="gramStart"/>
            <w:r>
              <w:t>tooth</w:t>
            </w:r>
            <w:proofErr w:type="gramEnd"/>
            <w:r>
              <w:t xml:space="preserve"> or wrong organ); the event is detected at any time after the start of the procedure/intervention.</w:t>
            </w:r>
          </w:p>
          <w:p w14:paraId="5ECE3444" w14:textId="3EBDB59F" w:rsidR="00BC10D7" w:rsidRDefault="00B92D9D" w:rsidP="002F2C23">
            <w:pPr>
              <w:pStyle w:val="TableParagraph"/>
              <w:numPr>
                <w:ilvl w:val="0"/>
                <w:numId w:val="4"/>
              </w:numPr>
              <w:tabs>
                <w:tab w:val="left" w:pos="468"/>
                <w:tab w:val="left" w:pos="469"/>
              </w:tabs>
              <w:spacing w:before="63" w:after="60" w:line="276" w:lineRule="auto"/>
              <w:ind w:right="346"/>
            </w:pPr>
            <w:r>
              <w:t>Includes interventions that are considered surgical but may be done outside a surgical environment. For example, wrong site block (unless being undertaken as a pain control procedure), biopsy, interventional radiology procedures, cardiology procedures, drain insertion and line insertion (</w:t>
            </w:r>
            <w:proofErr w:type="spellStart"/>
            <w:r>
              <w:t>eg</w:t>
            </w:r>
            <w:proofErr w:type="spellEnd"/>
            <w:r>
              <w:t>, peripherally inserted central catheter (PICC)/Hickman</w:t>
            </w:r>
            <w:r>
              <w:rPr>
                <w:spacing w:val="-44"/>
              </w:rPr>
              <w:t xml:space="preserve"> </w:t>
            </w:r>
            <w:r>
              <w:t>lines).</w:t>
            </w:r>
          </w:p>
          <w:p w14:paraId="27B7F12B" w14:textId="2B1B44EF" w:rsidR="00BC10D7" w:rsidRDefault="00B92D9D" w:rsidP="002F2C23">
            <w:pPr>
              <w:pStyle w:val="TableParagraph"/>
              <w:numPr>
                <w:ilvl w:val="0"/>
                <w:numId w:val="4"/>
              </w:numPr>
              <w:tabs>
                <w:tab w:val="left" w:pos="468"/>
                <w:tab w:val="left" w:pos="469"/>
              </w:tabs>
              <w:spacing w:before="63" w:after="60" w:line="276" w:lineRule="auto"/>
              <w:ind w:right="346"/>
            </w:pPr>
            <w:r>
              <w:t>Includes events where the wrong site surgery is due to incorrect laboratory reports/results or incorrect referral letters.</w:t>
            </w:r>
          </w:p>
          <w:p w14:paraId="56ABB7A4" w14:textId="0EED5EA5" w:rsidR="00BC10D7" w:rsidRDefault="00B92D9D" w:rsidP="002F2C23">
            <w:pPr>
              <w:pStyle w:val="TableParagraph"/>
              <w:numPr>
                <w:ilvl w:val="0"/>
                <w:numId w:val="4"/>
              </w:numPr>
              <w:tabs>
                <w:tab w:val="left" w:pos="468"/>
                <w:tab w:val="left" w:pos="469"/>
              </w:tabs>
              <w:spacing w:before="63" w:after="60" w:line="276" w:lineRule="auto"/>
              <w:ind w:right="346"/>
            </w:pPr>
            <w:r>
              <w:t>Excludes interventions where the wrong site is selected because of</w:t>
            </w:r>
            <w:r>
              <w:rPr>
                <w:spacing w:val="-38"/>
              </w:rPr>
              <w:t xml:space="preserve"> </w:t>
            </w:r>
            <w:r>
              <w:t xml:space="preserve">unknown/unexpected abnormalities in the </w:t>
            </w:r>
            <w:r w:rsidR="00A91ABA">
              <w:t xml:space="preserve">consumer’s </w:t>
            </w:r>
            <w:r>
              <w:t>anatomy. This should be documented in clinical</w:t>
            </w:r>
            <w:r>
              <w:rPr>
                <w:spacing w:val="-23"/>
              </w:rPr>
              <w:t xml:space="preserve"> </w:t>
            </w:r>
            <w:r>
              <w:t>notes.</w:t>
            </w:r>
          </w:p>
        </w:tc>
      </w:tr>
      <w:tr w:rsidR="00BC10D7" w14:paraId="15556D19" w14:textId="77777777" w:rsidTr="002F2C23">
        <w:trPr>
          <w:trHeight w:val="371"/>
        </w:trPr>
        <w:tc>
          <w:tcPr>
            <w:tcW w:w="9494" w:type="dxa"/>
            <w:shd w:val="clear" w:color="auto" w:fill="D9D9D9" w:themeFill="background1" w:themeFillShade="D9"/>
          </w:tcPr>
          <w:p w14:paraId="63217369" w14:textId="77777777" w:rsidR="00BC10D7" w:rsidRDefault="00B92D9D" w:rsidP="002F2C23">
            <w:pPr>
              <w:pStyle w:val="TableParagraph"/>
              <w:spacing w:line="276" w:lineRule="auto"/>
              <w:rPr>
                <w:b/>
              </w:rPr>
            </w:pPr>
            <w:r>
              <w:rPr>
                <w:b/>
              </w:rPr>
              <w:t>Wrong implant/prosthesis</w:t>
            </w:r>
          </w:p>
        </w:tc>
      </w:tr>
      <w:tr w:rsidR="00BC10D7" w14:paraId="32037CC4" w14:textId="77777777">
        <w:trPr>
          <w:trHeight w:val="2294"/>
        </w:trPr>
        <w:tc>
          <w:tcPr>
            <w:tcW w:w="9494" w:type="dxa"/>
          </w:tcPr>
          <w:p w14:paraId="0947056B" w14:textId="6ED494E6" w:rsidR="00BC10D7" w:rsidRDefault="00B92D9D" w:rsidP="002F2C23">
            <w:pPr>
              <w:pStyle w:val="TableParagraph"/>
              <w:spacing w:before="57" w:line="276" w:lineRule="auto"/>
              <w:ind w:right="334"/>
              <w:jc w:val="both"/>
            </w:pPr>
            <w:r>
              <w:t>Surgical placement of the wrong implant or prosthesis where the implant/prosthesis placed in the consumer is other than that specified in the surgical plan; the event is detected at any time after the implant/prosthesis is placed in the consumer.</w:t>
            </w:r>
          </w:p>
          <w:p w14:paraId="04A7893B" w14:textId="6C612E91" w:rsidR="00BC10D7" w:rsidRDefault="00B92D9D" w:rsidP="002F2C23">
            <w:pPr>
              <w:pStyle w:val="TableParagraph"/>
              <w:numPr>
                <w:ilvl w:val="0"/>
                <w:numId w:val="3"/>
              </w:numPr>
              <w:tabs>
                <w:tab w:val="left" w:pos="468"/>
                <w:tab w:val="left" w:pos="469"/>
              </w:tabs>
              <w:spacing w:before="61" w:line="276" w:lineRule="auto"/>
              <w:ind w:right="230"/>
            </w:pPr>
            <w:r>
              <w:t>Excludes where the implant/prosthesis placed in the consumer is intentionally different from the surgical plan, where this is based on clinical judgement at the time of the procedure. This should be documented in clinical</w:t>
            </w:r>
            <w:r>
              <w:rPr>
                <w:spacing w:val="-7"/>
              </w:rPr>
              <w:t xml:space="preserve"> </w:t>
            </w:r>
            <w:r>
              <w:t>notes.</w:t>
            </w:r>
          </w:p>
          <w:p w14:paraId="2A48481E" w14:textId="674469FC" w:rsidR="00BC10D7" w:rsidRDefault="00B92D9D" w:rsidP="002F2C23">
            <w:pPr>
              <w:pStyle w:val="TableParagraph"/>
              <w:numPr>
                <w:ilvl w:val="0"/>
                <w:numId w:val="3"/>
              </w:numPr>
              <w:tabs>
                <w:tab w:val="left" w:pos="470"/>
                <w:tab w:val="left" w:pos="471"/>
              </w:tabs>
              <w:spacing w:before="63" w:after="60" w:line="276" w:lineRule="auto"/>
              <w:ind w:right="346"/>
            </w:pPr>
            <w:r>
              <w:t>Excludes where the implant/prosthesis placed in the consumer is intentionally planned and placed but later found to be</w:t>
            </w:r>
            <w:r>
              <w:rPr>
                <w:spacing w:val="-8"/>
              </w:rPr>
              <w:t xml:space="preserve"> </w:t>
            </w:r>
            <w:r>
              <w:t>suboptimal.</w:t>
            </w:r>
          </w:p>
        </w:tc>
      </w:tr>
    </w:tbl>
    <w:p w14:paraId="5294C677" w14:textId="0125B5AA" w:rsidR="00631EE8" w:rsidRDefault="00631EE8" w:rsidP="002F2C23">
      <w:pPr>
        <w:spacing w:line="276" w:lineRule="auto"/>
      </w:pPr>
    </w:p>
    <w:p w14:paraId="1EB6D895" w14:textId="77777777" w:rsidR="00631EE8" w:rsidRDefault="00631EE8" w:rsidP="002F2C23">
      <w:pPr>
        <w:spacing w:line="276" w:lineRule="auto"/>
      </w:pPr>
    </w:p>
    <w:p w14:paraId="6C9F3FB5" w14:textId="69CDD48F" w:rsidR="009107E4" w:rsidRDefault="009107E4" w:rsidP="002F2C23">
      <w:pPr>
        <w:spacing w:line="276" w:lineRule="auto"/>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94"/>
      </w:tblGrid>
      <w:tr w:rsidR="00BC10D7" w14:paraId="1A0F3E11" w14:textId="77777777" w:rsidTr="002F2C23">
        <w:trPr>
          <w:trHeight w:val="373"/>
        </w:trPr>
        <w:tc>
          <w:tcPr>
            <w:tcW w:w="9494" w:type="dxa"/>
            <w:shd w:val="clear" w:color="auto" w:fill="D9D9D9" w:themeFill="background1" w:themeFillShade="D9"/>
          </w:tcPr>
          <w:p w14:paraId="4AD64B30" w14:textId="738912B3" w:rsidR="00BC10D7" w:rsidRDefault="00B92D9D" w:rsidP="002F2C23">
            <w:pPr>
              <w:pStyle w:val="TableParagraph"/>
              <w:spacing w:line="276" w:lineRule="auto"/>
              <w:rPr>
                <w:b/>
              </w:rPr>
            </w:pPr>
            <w:r>
              <w:rPr>
                <w:b/>
              </w:rPr>
              <w:t>Retained foreign object post</w:t>
            </w:r>
            <w:r w:rsidR="00731746">
              <w:rPr>
                <w:b/>
              </w:rPr>
              <w:t xml:space="preserve"> </w:t>
            </w:r>
            <w:r>
              <w:rPr>
                <w:b/>
              </w:rPr>
              <w:t>procedure</w:t>
            </w:r>
          </w:p>
        </w:tc>
      </w:tr>
      <w:tr w:rsidR="00631EE8" w14:paraId="2CCFDD71" w14:textId="77777777" w:rsidTr="00E476A9">
        <w:trPr>
          <w:trHeight w:val="3642"/>
        </w:trPr>
        <w:tc>
          <w:tcPr>
            <w:tcW w:w="9494" w:type="dxa"/>
          </w:tcPr>
          <w:p w14:paraId="3117686B" w14:textId="77777777" w:rsidR="00631EE8" w:rsidRDefault="00631EE8" w:rsidP="002F2C23">
            <w:pPr>
              <w:pStyle w:val="TableParagraph"/>
              <w:numPr>
                <w:ilvl w:val="0"/>
                <w:numId w:val="7"/>
              </w:numPr>
              <w:spacing w:before="57" w:line="276" w:lineRule="auto"/>
              <w:ind w:left="465" w:hanging="357"/>
            </w:pPr>
            <w:r>
              <w:t>Retention of a foreign object in a consumer after a surgical/invasive procedure.</w:t>
            </w:r>
          </w:p>
          <w:p w14:paraId="6A0D9D39" w14:textId="77777777" w:rsidR="00631EE8" w:rsidRDefault="00631EE8" w:rsidP="002F2C23">
            <w:pPr>
              <w:pStyle w:val="TableParagraph"/>
              <w:numPr>
                <w:ilvl w:val="0"/>
                <w:numId w:val="2"/>
              </w:numPr>
              <w:tabs>
                <w:tab w:val="left" w:pos="467"/>
                <w:tab w:val="left" w:pos="468"/>
              </w:tabs>
              <w:spacing w:before="63" w:after="60" w:line="276" w:lineRule="auto"/>
              <w:ind w:left="468" w:right="346"/>
            </w:pPr>
            <w:r>
              <w:t>Includes interventional radiology, cardiology, interventions related to vaginal birth and interventions performed outside the surgical environment (</w:t>
            </w:r>
            <w:proofErr w:type="spellStart"/>
            <w:r>
              <w:t>eg</w:t>
            </w:r>
            <w:proofErr w:type="spellEnd"/>
            <w:r>
              <w:t>, central line placement in ward areas, procedures performed in ‘rooms-based’ and outpatient</w:t>
            </w:r>
            <w:r>
              <w:rPr>
                <w:spacing w:val="-15"/>
              </w:rPr>
              <w:t xml:space="preserve"> </w:t>
            </w:r>
            <w:r>
              <w:t>settings).</w:t>
            </w:r>
          </w:p>
          <w:p w14:paraId="27557112" w14:textId="77777777" w:rsidR="00631EE8" w:rsidRDefault="00631EE8" w:rsidP="002F2C23">
            <w:pPr>
              <w:pStyle w:val="TableParagraph"/>
              <w:numPr>
                <w:ilvl w:val="0"/>
                <w:numId w:val="2"/>
              </w:numPr>
              <w:tabs>
                <w:tab w:val="left" w:pos="467"/>
                <w:tab w:val="left" w:pos="468"/>
              </w:tabs>
              <w:spacing w:before="63" w:after="60" w:line="276" w:lineRule="auto"/>
              <w:ind w:left="468" w:right="346"/>
            </w:pPr>
            <w:r>
              <w:t>Excludes items inserted during a procedure that are subject to the counting/checking process but are intentionally retained after completion of the procedure, with removal planned for a later time or date. This should be documented in clinical notes. If these items are not subsequently removed at the planned date, this would become an ‘always report and review’</w:t>
            </w:r>
            <w:r>
              <w:rPr>
                <w:spacing w:val="-3"/>
              </w:rPr>
              <w:t xml:space="preserve"> </w:t>
            </w:r>
            <w:r>
              <w:t>event.</w:t>
            </w:r>
          </w:p>
          <w:p w14:paraId="55CCCC8B" w14:textId="13DF7F75" w:rsidR="00631EE8" w:rsidRDefault="00631EE8" w:rsidP="002F2C23">
            <w:pPr>
              <w:pStyle w:val="TableParagraph"/>
              <w:numPr>
                <w:ilvl w:val="0"/>
                <w:numId w:val="2"/>
              </w:numPr>
              <w:tabs>
                <w:tab w:val="left" w:pos="470"/>
                <w:tab w:val="left" w:pos="471"/>
              </w:tabs>
              <w:spacing w:before="63" w:after="60" w:line="276" w:lineRule="auto"/>
              <w:ind w:left="468" w:right="346"/>
            </w:pPr>
            <w:r>
              <w:t>Excludes items that are known to be missing before the completion of the procedure and may be inside the consumer (</w:t>
            </w:r>
            <w:proofErr w:type="spellStart"/>
            <w:r>
              <w:t>eg</w:t>
            </w:r>
            <w:proofErr w:type="spellEnd"/>
            <w:r>
              <w:t>, screw fragments, drill bits) but where further action to locate and/or retrieve would be impossible or more damaging than retention. This should be documented in clinical</w:t>
            </w:r>
            <w:r>
              <w:rPr>
                <w:spacing w:val="-2"/>
              </w:rPr>
              <w:t xml:space="preserve"> </w:t>
            </w:r>
            <w:r>
              <w:t>notes.</w:t>
            </w:r>
          </w:p>
        </w:tc>
      </w:tr>
      <w:tr w:rsidR="00BC10D7" w14:paraId="2E0FBA40" w14:textId="77777777" w:rsidTr="002F2C23">
        <w:trPr>
          <w:trHeight w:val="373"/>
        </w:trPr>
        <w:tc>
          <w:tcPr>
            <w:tcW w:w="9494" w:type="dxa"/>
            <w:shd w:val="clear" w:color="auto" w:fill="D9D9D9" w:themeFill="background1" w:themeFillShade="D9"/>
          </w:tcPr>
          <w:p w14:paraId="316C97FE" w14:textId="42A8F019" w:rsidR="00BC10D7" w:rsidRDefault="00B92D9D" w:rsidP="002F2C23">
            <w:pPr>
              <w:pStyle w:val="TableParagraph"/>
              <w:spacing w:line="276" w:lineRule="auto"/>
              <w:rPr>
                <w:b/>
              </w:rPr>
            </w:pPr>
            <w:r>
              <w:rPr>
                <w:b/>
              </w:rPr>
              <w:t>Wrong consumer</w:t>
            </w:r>
          </w:p>
        </w:tc>
      </w:tr>
      <w:tr w:rsidR="00BC10D7" w14:paraId="03284FC5" w14:textId="77777777">
        <w:trPr>
          <w:trHeight w:val="1206"/>
        </w:trPr>
        <w:tc>
          <w:tcPr>
            <w:tcW w:w="9494" w:type="dxa"/>
          </w:tcPr>
          <w:p w14:paraId="2C68EDF6" w14:textId="660FD429" w:rsidR="00BC10D7" w:rsidRDefault="00B92D9D" w:rsidP="002F2C23">
            <w:pPr>
              <w:pStyle w:val="TableParagraph"/>
              <w:spacing w:before="57" w:line="276" w:lineRule="auto"/>
              <w:ind w:left="108" w:right="391"/>
            </w:pPr>
            <w:r>
              <w:t>Any invasive procedure/investigation performed on the wrong consumer; the event is detected at any time after the start of the procedure/investigation.</w:t>
            </w:r>
          </w:p>
          <w:p w14:paraId="507DBF7F" w14:textId="77777777" w:rsidR="00BC10D7" w:rsidRDefault="00B92D9D" w:rsidP="002F2C23">
            <w:pPr>
              <w:pStyle w:val="TableParagraph"/>
              <w:numPr>
                <w:ilvl w:val="0"/>
                <w:numId w:val="1"/>
              </w:numPr>
              <w:tabs>
                <w:tab w:val="left" w:pos="467"/>
                <w:tab w:val="left" w:pos="468"/>
              </w:tabs>
              <w:spacing w:before="63" w:after="60" w:line="276" w:lineRule="auto"/>
              <w:ind w:right="346"/>
            </w:pPr>
            <w:r>
              <w:t>Includes radiology imaging and invasive procedures (such as biopsy, endoscopic procedures, cardiology</w:t>
            </w:r>
            <w:r>
              <w:rPr>
                <w:spacing w:val="-4"/>
              </w:rPr>
              <w:t xml:space="preserve"> </w:t>
            </w:r>
            <w:r>
              <w:t>procedures).</w:t>
            </w:r>
          </w:p>
        </w:tc>
      </w:tr>
      <w:tr w:rsidR="00BC10D7" w14:paraId="6B80D76B" w14:textId="77777777" w:rsidTr="002F2C23">
        <w:trPr>
          <w:trHeight w:val="371"/>
        </w:trPr>
        <w:tc>
          <w:tcPr>
            <w:tcW w:w="9494" w:type="dxa"/>
            <w:shd w:val="clear" w:color="auto" w:fill="D9D9D9" w:themeFill="background1" w:themeFillShade="D9"/>
          </w:tcPr>
          <w:p w14:paraId="3C88E9DF" w14:textId="084B0403" w:rsidR="00BC10D7" w:rsidRDefault="00B92D9D" w:rsidP="002F2C23">
            <w:pPr>
              <w:pStyle w:val="TableParagraph"/>
              <w:spacing w:line="276" w:lineRule="auto"/>
              <w:rPr>
                <w:b/>
              </w:rPr>
            </w:pPr>
            <w:r>
              <w:rPr>
                <w:b/>
              </w:rPr>
              <w:t xml:space="preserve">Child/infant abduction or discharge to wrong </w:t>
            </w:r>
            <w:proofErr w:type="spellStart"/>
            <w:r>
              <w:rPr>
                <w:b/>
              </w:rPr>
              <w:t>whānau</w:t>
            </w:r>
            <w:proofErr w:type="spellEnd"/>
          </w:p>
        </w:tc>
      </w:tr>
      <w:tr w:rsidR="00BC10D7" w14:paraId="3220D24F" w14:textId="77777777">
        <w:trPr>
          <w:trHeight w:val="374"/>
        </w:trPr>
        <w:tc>
          <w:tcPr>
            <w:tcW w:w="9494" w:type="dxa"/>
          </w:tcPr>
          <w:p w14:paraId="48D518AF" w14:textId="77777777" w:rsidR="00BC10D7" w:rsidRDefault="00B92D9D" w:rsidP="002F2C23">
            <w:pPr>
              <w:pStyle w:val="TableParagraph"/>
              <w:spacing w:before="57" w:line="276" w:lineRule="auto"/>
            </w:pPr>
            <w:r>
              <w:t>Includes all events regardless of time absent from area or successful return.</w:t>
            </w:r>
          </w:p>
        </w:tc>
      </w:tr>
      <w:tr w:rsidR="000306EA" w:rsidRPr="000306EA" w14:paraId="5D66C03E" w14:textId="77777777" w:rsidTr="002F2C23">
        <w:trPr>
          <w:trHeight w:val="374"/>
        </w:trPr>
        <w:tc>
          <w:tcPr>
            <w:tcW w:w="94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F4BE396" w14:textId="297BFC51" w:rsidR="00501648" w:rsidRPr="000306EA" w:rsidRDefault="00F2126C" w:rsidP="002F2C23">
            <w:pPr>
              <w:pStyle w:val="TableParagraph"/>
              <w:spacing w:line="276" w:lineRule="auto"/>
              <w:ind w:left="108"/>
              <w:rPr>
                <w:b/>
                <w:bCs/>
              </w:rPr>
            </w:pPr>
            <w:r w:rsidRPr="000306EA">
              <w:rPr>
                <w:b/>
                <w:bCs/>
              </w:rPr>
              <w:t>Unconsented</w:t>
            </w:r>
            <w:r w:rsidR="002D3505" w:rsidRPr="000306EA">
              <w:rPr>
                <w:b/>
                <w:bCs/>
              </w:rPr>
              <w:t xml:space="preserve"> treatment</w:t>
            </w:r>
          </w:p>
        </w:tc>
      </w:tr>
      <w:tr w:rsidR="000306EA" w:rsidRPr="000306EA" w14:paraId="2C5DBBCC" w14:textId="77777777" w:rsidTr="009107E4">
        <w:trPr>
          <w:trHeight w:val="1377"/>
        </w:trPr>
        <w:tc>
          <w:tcPr>
            <w:tcW w:w="9494" w:type="dxa"/>
            <w:tcBorders>
              <w:top w:val="single" w:sz="4" w:space="0" w:color="000000"/>
              <w:left w:val="single" w:sz="4" w:space="0" w:color="000000"/>
              <w:bottom w:val="single" w:sz="4" w:space="0" w:color="000000"/>
              <w:right w:val="single" w:sz="4" w:space="0" w:color="000000"/>
            </w:tcBorders>
          </w:tcPr>
          <w:p w14:paraId="4D28827F" w14:textId="56E12129" w:rsidR="00C04EB2" w:rsidRPr="000306EA" w:rsidRDefault="000756DD" w:rsidP="002F2C23">
            <w:pPr>
              <w:pStyle w:val="ListParagraph"/>
              <w:numPr>
                <w:ilvl w:val="0"/>
                <w:numId w:val="6"/>
              </w:numPr>
              <w:spacing w:before="63" w:after="60" w:line="276" w:lineRule="auto"/>
              <w:ind w:left="468" w:right="346" w:hanging="358"/>
              <w:rPr>
                <w:rFonts w:eastAsia="Times New Roman"/>
              </w:rPr>
            </w:pPr>
            <w:r w:rsidRPr="000306EA">
              <w:rPr>
                <w:rFonts w:eastAsia="Times New Roman"/>
              </w:rPr>
              <w:t>Seclusion</w:t>
            </w:r>
            <w:r w:rsidR="00C04EB2" w:rsidRPr="000306EA">
              <w:rPr>
                <w:rFonts w:eastAsia="Times New Roman"/>
              </w:rPr>
              <w:t xml:space="preserve"> while not subject to the Mental Health (Compulsory Assessment and Treatment) Act 1992</w:t>
            </w:r>
            <w:r w:rsidR="00B61881" w:rsidRPr="000306EA">
              <w:rPr>
                <w:rFonts w:eastAsia="Times New Roman"/>
              </w:rPr>
              <w:t>.</w:t>
            </w:r>
          </w:p>
          <w:p w14:paraId="49E9E0B1" w14:textId="4989A3A0" w:rsidR="00F2126C" w:rsidRPr="000306EA" w:rsidRDefault="00D355C7" w:rsidP="002F2C23">
            <w:pPr>
              <w:pStyle w:val="ListParagraph"/>
              <w:numPr>
                <w:ilvl w:val="0"/>
                <w:numId w:val="6"/>
              </w:numPr>
              <w:spacing w:before="63" w:after="60" w:line="276" w:lineRule="auto"/>
              <w:ind w:left="468" w:right="346" w:hanging="358"/>
              <w:rPr>
                <w:rFonts w:eastAsia="Times New Roman"/>
              </w:rPr>
            </w:pPr>
            <w:r w:rsidRPr="000306EA">
              <w:rPr>
                <w:rFonts w:eastAsia="Times New Roman"/>
              </w:rPr>
              <w:t>E</w:t>
            </w:r>
            <w:r w:rsidR="002C4099" w:rsidRPr="000306EA">
              <w:rPr>
                <w:rFonts w:eastAsia="Times New Roman"/>
              </w:rPr>
              <w:t>lectroconvulsive therapy (E</w:t>
            </w:r>
            <w:r w:rsidRPr="000306EA">
              <w:rPr>
                <w:rFonts w:eastAsia="Times New Roman"/>
              </w:rPr>
              <w:t>CT</w:t>
            </w:r>
            <w:r w:rsidR="002C4099" w:rsidRPr="000306EA">
              <w:rPr>
                <w:rFonts w:eastAsia="Times New Roman"/>
              </w:rPr>
              <w:t>)</w:t>
            </w:r>
            <w:r w:rsidRPr="000306EA">
              <w:rPr>
                <w:rFonts w:eastAsia="Times New Roman"/>
              </w:rPr>
              <w:t xml:space="preserve"> without consent </w:t>
            </w:r>
            <w:r w:rsidR="006338B1" w:rsidRPr="000306EA">
              <w:rPr>
                <w:rFonts w:eastAsia="Times New Roman"/>
              </w:rPr>
              <w:t xml:space="preserve">and </w:t>
            </w:r>
            <w:r w:rsidRPr="000306EA">
              <w:rPr>
                <w:rFonts w:eastAsia="Times New Roman"/>
              </w:rPr>
              <w:t xml:space="preserve">not subject to </w:t>
            </w:r>
            <w:r w:rsidR="00CA17CB" w:rsidRPr="000306EA">
              <w:rPr>
                <w:rFonts w:eastAsia="Times New Roman"/>
              </w:rPr>
              <w:t>s</w:t>
            </w:r>
            <w:r w:rsidRPr="000306EA">
              <w:rPr>
                <w:rFonts w:eastAsia="Times New Roman"/>
              </w:rPr>
              <w:t xml:space="preserve">ection 60 of the Mental Health </w:t>
            </w:r>
            <w:r w:rsidR="00CA17CB" w:rsidRPr="000306EA">
              <w:rPr>
                <w:rFonts w:eastAsia="Times New Roman"/>
              </w:rPr>
              <w:t>(</w:t>
            </w:r>
            <w:r w:rsidR="00CA17CB" w:rsidRPr="000306EA">
              <w:rPr>
                <w:shd w:val="clear" w:color="auto" w:fill="FFFFFF"/>
              </w:rPr>
              <w:t xml:space="preserve">Compulsory Assessment and Treatment) </w:t>
            </w:r>
            <w:r w:rsidRPr="000306EA">
              <w:rPr>
                <w:rFonts w:eastAsia="Times New Roman"/>
              </w:rPr>
              <w:t>Act</w:t>
            </w:r>
            <w:r w:rsidR="00405FAA" w:rsidRPr="000306EA">
              <w:rPr>
                <w:rFonts w:eastAsia="Times New Roman"/>
              </w:rPr>
              <w:t xml:space="preserve"> 1992.</w:t>
            </w:r>
          </w:p>
        </w:tc>
      </w:tr>
    </w:tbl>
    <w:p w14:paraId="74807E9E" w14:textId="77777777" w:rsidR="009107E4" w:rsidRDefault="009107E4"/>
    <w:p w14:paraId="00865DCD" w14:textId="3CD62580" w:rsidR="009107E4" w:rsidRDefault="009107E4" w:rsidP="009107E4">
      <w:pPr>
        <w:ind w:left="142"/>
      </w:pPr>
      <w:r>
        <w:t>Published in February 2022 by the Health Quality &amp; Safety Commission, PO Bo</w:t>
      </w:r>
      <w:r w:rsidRPr="000A6D91">
        <w:t xml:space="preserve">x 25496, </w:t>
      </w:r>
      <w:r>
        <w:br/>
      </w:r>
      <w:r w:rsidRPr="000A6D91">
        <w:t>Wellington 6146, New Zealand.</w:t>
      </w:r>
    </w:p>
    <w:p w14:paraId="3030E748" w14:textId="30E10620" w:rsidR="00B92D9D" w:rsidRDefault="002F2C23">
      <w:r w:rsidRPr="009107E4">
        <w:drawing>
          <wp:anchor distT="0" distB="0" distL="114300" distR="114300" simplePos="0" relativeHeight="251692032" behindDoc="0" locked="0" layoutInCell="1" allowOverlap="1" wp14:anchorId="353D6F07" wp14:editId="00FEFB89">
            <wp:simplePos x="0" y="0"/>
            <wp:positionH relativeFrom="column">
              <wp:posOffset>90170</wp:posOffset>
            </wp:positionH>
            <wp:positionV relativeFrom="paragraph">
              <wp:posOffset>2511425</wp:posOffset>
            </wp:positionV>
            <wp:extent cx="2159635" cy="638175"/>
            <wp:effectExtent l="0" t="0" r="0" b="9525"/>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635" cy="638175"/>
                    </a:xfrm>
                    <a:prstGeom prst="rect">
                      <a:avLst/>
                    </a:prstGeom>
                  </pic:spPr>
                </pic:pic>
              </a:graphicData>
            </a:graphic>
            <wp14:sizeRelH relativeFrom="margin">
              <wp14:pctWidth>0</wp14:pctWidth>
            </wp14:sizeRelH>
            <wp14:sizeRelV relativeFrom="margin">
              <wp14:pctHeight>0</wp14:pctHeight>
            </wp14:sizeRelV>
          </wp:anchor>
        </w:drawing>
      </w:r>
      <w:r w:rsidRPr="009107E4">
        <w:drawing>
          <wp:anchor distT="0" distB="0" distL="114300" distR="114300" simplePos="0" relativeHeight="251651072" behindDoc="0" locked="0" layoutInCell="1" allowOverlap="1" wp14:anchorId="2893C035" wp14:editId="217C609E">
            <wp:simplePos x="0" y="0"/>
            <wp:positionH relativeFrom="column">
              <wp:posOffset>4253865</wp:posOffset>
            </wp:positionH>
            <wp:positionV relativeFrom="paragraph">
              <wp:posOffset>2467719</wp:posOffset>
            </wp:positionV>
            <wp:extent cx="1799590" cy="678180"/>
            <wp:effectExtent l="0" t="0" r="0" b="7620"/>
            <wp:wrapNone/>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9590" cy="678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07E4" w:rsidRPr="009107E4">
        <mc:AlternateContent>
          <mc:Choice Requires="wps">
            <w:drawing>
              <wp:anchor distT="45720" distB="45720" distL="114300" distR="114300" simplePos="0" relativeHeight="251704320" behindDoc="0" locked="0" layoutInCell="1" allowOverlap="1" wp14:anchorId="74288810" wp14:editId="20038B4F">
                <wp:simplePos x="0" y="0"/>
                <wp:positionH relativeFrom="page">
                  <wp:align>left</wp:align>
                </wp:positionH>
                <wp:positionV relativeFrom="paragraph">
                  <wp:posOffset>1376177</wp:posOffset>
                </wp:positionV>
                <wp:extent cx="8564056" cy="344031"/>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4056" cy="344031"/>
                        </a:xfrm>
                        <a:prstGeom prst="rect">
                          <a:avLst/>
                        </a:prstGeom>
                        <a:solidFill>
                          <a:srgbClr val="FFFFFF"/>
                        </a:solidFill>
                        <a:ln w="9525">
                          <a:noFill/>
                          <a:miter lim="800000"/>
                          <a:headEnd/>
                          <a:tailEnd/>
                        </a:ln>
                      </wps:spPr>
                      <wps:txbx>
                        <w:txbxContent>
                          <w:p w14:paraId="3470785D" w14:textId="707A3F87" w:rsidR="009107E4" w:rsidRDefault="009107E4" w:rsidP="009107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288810" id="_x0000_t202" coordsize="21600,21600" o:spt="202" path="m,l,21600r21600,l21600,xe">
                <v:stroke joinstyle="miter"/>
                <v:path gradientshapeok="t" o:connecttype="rect"/>
              </v:shapetype>
              <v:shape id="Text Box 2" o:spid="_x0000_s1026" type="#_x0000_t202" style="position:absolute;margin-left:0;margin-top:108.35pt;width:674.35pt;height:27.1pt;z-index:25170432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" stroked="f">
                <v:textbox>
                  <w:txbxContent>
                    <w:p w14:paraId="3470785D" w14:textId="707A3F87" w:rsidR="009107E4" w:rsidRDefault="009107E4" w:rsidP="009107E4"/>
                  </w:txbxContent>
                </v:textbox>
                <w10:wrap type="square" anchorx="page"/>
              </v:shape>
            </w:pict>
          </mc:Fallback>
        </mc:AlternateContent>
      </w:r>
    </w:p>
    <w:sectPr w:rsidR="00B92D9D">
      <w:footerReference w:type="default" r:id="rId15"/>
      <w:pgSz w:w="11910" w:h="16840"/>
      <w:pgMar w:top="680" w:right="1020" w:bottom="1120" w:left="102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31D8C" w14:textId="77777777" w:rsidR="00AA575A" w:rsidRDefault="00AA575A">
      <w:r>
        <w:separator/>
      </w:r>
    </w:p>
  </w:endnote>
  <w:endnote w:type="continuationSeparator" w:id="0">
    <w:p w14:paraId="0631179B" w14:textId="77777777" w:rsidR="00AA575A" w:rsidRDefault="00AA5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41B4" w14:textId="7F2E70D3" w:rsidR="00BC10D7" w:rsidRDefault="00BC10D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C5855" w14:textId="77777777" w:rsidR="00AA575A" w:rsidRDefault="00AA575A">
      <w:r>
        <w:separator/>
      </w:r>
    </w:p>
  </w:footnote>
  <w:footnote w:type="continuationSeparator" w:id="0">
    <w:p w14:paraId="7FCD00C7" w14:textId="77777777" w:rsidR="00AA575A" w:rsidRDefault="00AA575A">
      <w:r>
        <w:continuationSeparator/>
      </w:r>
    </w:p>
  </w:footnote>
  <w:footnote w:id="1">
    <w:p w14:paraId="7C651FE7" w14:textId="2093BD8A" w:rsidR="007725CE" w:rsidRDefault="007725CE">
      <w:pPr>
        <w:pStyle w:val="FootnoteText"/>
      </w:pPr>
      <w:r>
        <w:rPr>
          <w:rStyle w:val="FootnoteReference"/>
        </w:rPr>
        <w:footnoteRef/>
      </w:r>
      <w:r>
        <w:t xml:space="preserve"> </w:t>
      </w:r>
      <w:r w:rsidRPr="007725CE">
        <w:t xml:space="preserve">See Severity Assessment Code (SAC) rating and triage tool for adverse event reporting </w:t>
      </w:r>
      <w:r w:rsidR="009F128C">
        <w:t xml:space="preserve">at: </w:t>
      </w:r>
      <w:hyperlink r:id="rId1" w:history="1">
        <w:r w:rsidR="009F128C" w:rsidRPr="00B92BEF">
          <w:rPr>
            <w:rStyle w:val="Hyperlink"/>
          </w:rPr>
          <w:t>www.hqsc.govt.nz/resources/resource-library/severity-assessment-code-sac-rating-and-triage-tool-for-adverse-event-reporting</w:t>
        </w:r>
      </w:hyperlink>
      <w:r w:rsidRPr="007725CE">
        <w:t>.</w:t>
      </w:r>
    </w:p>
  </w:footnote>
  <w:footnote w:id="2">
    <w:p w14:paraId="09900F2E" w14:textId="7DB3E046" w:rsidR="0079362B" w:rsidRDefault="009F128C">
      <w:pPr>
        <w:pStyle w:val="FootnoteText"/>
      </w:pPr>
      <w:r>
        <w:rPr>
          <w:rStyle w:val="FootnoteReference"/>
        </w:rPr>
        <w:footnoteRef/>
      </w:r>
      <w:r>
        <w:t xml:space="preserve"> </w:t>
      </w:r>
      <w:r w:rsidRPr="009F128C">
        <w:t xml:space="preserve">The National Adverse Events Reporting Policy 2017 is available at: </w:t>
      </w:r>
      <w:hyperlink r:id="rId2" w:history="1">
        <w:r w:rsidRPr="00B92BEF">
          <w:rPr>
            <w:rStyle w:val="Hyperlink"/>
          </w:rPr>
          <w:t>www.hqsc.govt.nz/our-work/system-safety/adverse-events/national-adverse-events-reporting-policy/</w:t>
        </w:r>
      </w:hyperlink>
      <w:r>
        <w:t xml:space="preserve">. </w:t>
      </w:r>
      <w:r w:rsidRPr="009F128C">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BE3"/>
    <w:multiLevelType w:val="hybridMultilevel"/>
    <w:tmpl w:val="E3106360"/>
    <w:lvl w:ilvl="0" w:tplc="C4101628">
      <w:numFmt w:val="bullet"/>
      <w:lvlText w:val=""/>
      <w:lvlJc w:val="left"/>
      <w:pPr>
        <w:ind w:left="468" w:hanging="358"/>
      </w:pPr>
      <w:rPr>
        <w:rFonts w:ascii="Symbol" w:eastAsia="Symbol" w:hAnsi="Symbol" w:cs="Symbol" w:hint="default"/>
        <w:w w:val="100"/>
        <w:sz w:val="22"/>
        <w:szCs w:val="22"/>
        <w:lang w:val="en-NZ" w:eastAsia="en-NZ" w:bidi="en-NZ"/>
      </w:rPr>
    </w:lvl>
    <w:lvl w:ilvl="1" w:tplc="71AEC160">
      <w:numFmt w:val="bullet"/>
      <w:lvlText w:val="•"/>
      <w:lvlJc w:val="left"/>
      <w:pPr>
        <w:ind w:left="1362" w:hanging="358"/>
      </w:pPr>
      <w:rPr>
        <w:rFonts w:hint="default"/>
        <w:lang w:val="en-NZ" w:eastAsia="en-NZ" w:bidi="en-NZ"/>
      </w:rPr>
    </w:lvl>
    <w:lvl w:ilvl="2" w:tplc="0FE667A0">
      <w:numFmt w:val="bullet"/>
      <w:lvlText w:val="•"/>
      <w:lvlJc w:val="left"/>
      <w:pPr>
        <w:ind w:left="2264" w:hanging="358"/>
      </w:pPr>
      <w:rPr>
        <w:rFonts w:hint="default"/>
        <w:lang w:val="en-NZ" w:eastAsia="en-NZ" w:bidi="en-NZ"/>
      </w:rPr>
    </w:lvl>
    <w:lvl w:ilvl="3" w:tplc="FFBC7B2E">
      <w:numFmt w:val="bullet"/>
      <w:lvlText w:val="•"/>
      <w:lvlJc w:val="left"/>
      <w:pPr>
        <w:ind w:left="3167" w:hanging="358"/>
      </w:pPr>
      <w:rPr>
        <w:rFonts w:hint="default"/>
        <w:lang w:val="en-NZ" w:eastAsia="en-NZ" w:bidi="en-NZ"/>
      </w:rPr>
    </w:lvl>
    <w:lvl w:ilvl="4" w:tplc="2C460918">
      <w:numFmt w:val="bullet"/>
      <w:lvlText w:val="•"/>
      <w:lvlJc w:val="left"/>
      <w:pPr>
        <w:ind w:left="4069" w:hanging="358"/>
      </w:pPr>
      <w:rPr>
        <w:rFonts w:hint="default"/>
        <w:lang w:val="en-NZ" w:eastAsia="en-NZ" w:bidi="en-NZ"/>
      </w:rPr>
    </w:lvl>
    <w:lvl w:ilvl="5" w:tplc="5742FAEC">
      <w:numFmt w:val="bullet"/>
      <w:lvlText w:val="•"/>
      <w:lvlJc w:val="left"/>
      <w:pPr>
        <w:ind w:left="4972" w:hanging="358"/>
      </w:pPr>
      <w:rPr>
        <w:rFonts w:hint="default"/>
        <w:lang w:val="en-NZ" w:eastAsia="en-NZ" w:bidi="en-NZ"/>
      </w:rPr>
    </w:lvl>
    <w:lvl w:ilvl="6" w:tplc="B28E69F4">
      <w:numFmt w:val="bullet"/>
      <w:lvlText w:val="•"/>
      <w:lvlJc w:val="left"/>
      <w:pPr>
        <w:ind w:left="5874" w:hanging="358"/>
      </w:pPr>
      <w:rPr>
        <w:rFonts w:hint="default"/>
        <w:lang w:val="en-NZ" w:eastAsia="en-NZ" w:bidi="en-NZ"/>
      </w:rPr>
    </w:lvl>
    <w:lvl w:ilvl="7" w:tplc="5330ACB8">
      <w:numFmt w:val="bullet"/>
      <w:lvlText w:val="•"/>
      <w:lvlJc w:val="left"/>
      <w:pPr>
        <w:ind w:left="6776" w:hanging="358"/>
      </w:pPr>
      <w:rPr>
        <w:rFonts w:hint="default"/>
        <w:lang w:val="en-NZ" w:eastAsia="en-NZ" w:bidi="en-NZ"/>
      </w:rPr>
    </w:lvl>
    <w:lvl w:ilvl="8" w:tplc="C3E6D060">
      <w:numFmt w:val="bullet"/>
      <w:lvlText w:val="•"/>
      <w:lvlJc w:val="left"/>
      <w:pPr>
        <w:ind w:left="7679" w:hanging="358"/>
      </w:pPr>
      <w:rPr>
        <w:rFonts w:hint="default"/>
        <w:lang w:val="en-NZ" w:eastAsia="en-NZ" w:bidi="en-NZ"/>
      </w:rPr>
    </w:lvl>
  </w:abstractNum>
  <w:abstractNum w:abstractNumId="1" w15:restartNumberingAfterBreak="0">
    <w:nsid w:val="0FA44248"/>
    <w:multiLevelType w:val="hybridMultilevel"/>
    <w:tmpl w:val="F44E14F6"/>
    <w:lvl w:ilvl="0" w:tplc="67443C0A">
      <w:numFmt w:val="bullet"/>
      <w:lvlText w:val=""/>
      <w:lvlJc w:val="left"/>
      <w:pPr>
        <w:ind w:left="468" w:hanging="358"/>
      </w:pPr>
      <w:rPr>
        <w:rFonts w:ascii="Symbol" w:eastAsia="Symbol" w:hAnsi="Symbol" w:cs="Symbol" w:hint="default"/>
        <w:w w:val="100"/>
        <w:sz w:val="22"/>
        <w:szCs w:val="22"/>
        <w:lang w:val="en-NZ" w:eastAsia="en-NZ" w:bidi="en-NZ"/>
      </w:rPr>
    </w:lvl>
    <w:lvl w:ilvl="1" w:tplc="A8E4DDBC">
      <w:numFmt w:val="bullet"/>
      <w:lvlText w:val="•"/>
      <w:lvlJc w:val="left"/>
      <w:pPr>
        <w:ind w:left="1362" w:hanging="358"/>
      </w:pPr>
      <w:rPr>
        <w:rFonts w:hint="default"/>
        <w:lang w:val="en-NZ" w:eastAsia="en-NZ" w:bidi="en-NZ"/>
      </w:rPr>
    </w:lvl>
    <w:lvl w:ilvl="2" w:tplc="0EE00EE4">
      <w:numFmt w:val="bullet"/>
      <w:lvlText w:val="•"/>
      <w:lvlJc w:val="left"/>
      <w:pPr>
        <w:ind w:left="2264" w:hanging="358"/>
      </w:pPr>
      <w:rPr>
        <w:rFonts w:hint="default"/>
        <w:lang w:val="en-NZ" w:eastAsia="en-NZ" w:bidi="en-NZ"/>
      </w:rPr>
    </w:lvl>
    <w:lvl w:ilvl="3" w:tplc="82AEB754">
      <w:numFmt w:val="bullet"/>
      <w:lvlText w:val="•"/>
      <w:lvlJc w:val="left"/>
      <w:pPr>
        <w:ind w:left="3167" w:hanging="358"/>
      </w:pPr>
      <w:rPr>
        <w:rFonts w:hint="default"/>
        <w:lang w:val="en-NZ" w:eastAsia="en-NZ" w:bidi="en-NZ"/>
      </w:rPr>
    </w:lvl>
    <w:lvl w:ilvl="4" w:tplc="B49A1FEA">
      <w:numFmt w:val="bullet"/>
      <w:lvlText w:val="•"/>
      <w:lvlJc w:val="left"/>
      <w:pPr>
        <w:ind w:left="4069" w:hanging="358"/>
      </w:pPr>
      <w:rPr>
        <w:rFonts w:hint="default"/>
        <w:lang w:val="en-NZ" w:eastAsia="en-NZ" w:bidi="en-NZ"/>
      </w:rPr>
    </w:lvl>
    <w:lvl w:ilvl="5" w:tplc="DA045C5A">
      <w:numFmt w:val="bullet"/>
      <w:lvlText w:val="•"/>
      <w:lvlJc w:val="left"/>
      <w:pPr>
        <w:ind w:left="4972" w:hanging="358"/>
      </w:pPr>
      <w:rPr>
        <w:rFonts w:hint="default"/>
        <w:lang w:val="en-NZ" w:eastAsia="en-NZ" w:bidi="en-NZ"/>
      </w:rPr>
    </w:lvl>
    <w:lvl w:ilvl="6" w:tplc="427C01F6">
      <w:numFmt w:val="bullet"/>
      <w:lvlText w:val="•"/>
      <w:lvlJc w:val="left"/>
      <w:pPr>
        <w:ind w:left="5874" w:hanging="358"/>
      </w:pPr>
      <w:rPr>
        <w:rFonts w:hint="default"/>
        <w:lang w:val="en-NZ" w:eastAsia="en-NZ" w:bidi="en-NZ"/>
      </w:rPr>
    </w:lvl>
    <w:lvl w:ilvl="7" w:tplc="B55E836A">
      <w:numFmt w:val="bullet"/>
      <w:lvlText w:val="•"/>
      <w:lvlJc w:val="left"/>
      <w:pPr>
        <w:ind w:left="6776" w:hanging="358"/>
      </w:pPr>
      <w:rPr>
        <w:rFonts w:hint="default"/>
        <w:lang w:val="en-NZ" w:eastAsia="en-NZ" w:bidi="en-NZ"/>
      </w:rPr>
    </w:lvl>
    <w:lvl w:ilvl="8" w:tplc="07FCA0AE">
      <w:numFmt w:val="bullet"/>
      <w:lvlText w:val="•"/>
      <w:lvlJc w:val="left"/>
      <w:pPr>
        <w:ind w:left="7679" w:hanging="358"/>
      </w:pPr>
      <w:rPr>
        <w:rFonts w:hint="default"/>
        <w:lang w:val="en-NZ" w:eastAsia="en-NZ" w:bidi="en-NZ"/>
      </w:rPr>
    </w:lvl>
  </w:abstractNum>
  <w:abstractNum w:abstractNumId="2" w15:restartNumberingAfterBreak="0">
    <w:nsid w:val="23E00FED"/>
    <w:multiLevelType w:val="multilevel"/>
    <w:tmpl w:val="4C1E9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7F1554"/>
    <w:multiLevelType w:val="hybridMultilevel"/>
    <w:tmpl w:val="E79A9C56"/>
    <w:lvl w:ilvl="0" w:tplc="3072FA66">
      <w:numFmt w:val="bullet"/>
      <w:lvlText w:val=""/>
      <w:lvlJc w:val="left"/>
      <w:pPr>
        <w:ind w:left="467" w:hanging="358"/>
      </w:pPr>
      <w:rPr>
        <w:rFonts w:ascii="Symbol" w:eastAsia="Symbol" w:hAnsi="Symbol" w:cs="Symbol" w:hint="default"/>
        <w:w w:val="100"/>
        <w:sz w:val="22"/>
        <w:szCs w:val="22"/>
        <w:lang w:val="en-NZ" w:eastAsia="en-NZ" w:bidi="en-NZ"/>
      </w:rPr>
    </w:lvl>
    <w:lvl w:ilvl="1" w:tplc="A00C8FEA">
      <w:numFmt w:val="bullet"/>
      <w:lvlText w:val="•"/>
      <w:lvlJc w:val="left"/>
      <w:pPr>
        <w:ind w:left="1362" w:hanging="358"/>
      </w:pPr>
      <w:rPr>
        <w:rFonts w:hint="default"/>
        <w:lang w:val="en-NZ" w:eastAsia="en-NZ" w:bidi="en-NZ"/>
      </w:rPr>
    </w:lvl>
    <w:lvl w:ilvl="2" w:tplc="9DDA313C">
      <w:numFmt w:val="bullet"/>
      <w:lvlText w:val="•"/>
      <w:lvlJc w:val="left"/>
      <w:pPr>
        <w:ind w:left="2264" w:hanging="358"/>
      </w:pPr>
      <w:rPr>
        <w:rFonts w:hint="default"/>
        <w:lang w:val="en-NZ" w:eastAsia="en-NZ" w:bidi="en-NZ"/>
      </w:rPr>
    </w:lvl>
    <w:lvl w:ilvl="3" w:tplc="2FAEAACA">
      <w:numFmt w:val="bullet"/>
      <w:lvlText w:val="•"/>
      <w:lvlJc w:val="left"/>
      <w:pPr>
        <w:ind w:left="3167" w:hanging="358"/>
      </w:pPr>
      <w:rPr>
        <w:rFonts w:hint="default"/>
        <w:lang w:val="en-NZ" w:eastAsia="en-NZ" w:bidi="en-NZ"/>
      </w:rPr>
    </w:lvl>
    <w:lvl w:ilvl="4" w:tplc="74240CB0">
      <w:numFmt w:val="bullet"/>
      <w:lvlText w:val="•"/>
      <w:lvlJc w:val="left"/>
      <w:pPr>
        <w:ind w:left="4069" w:hanging="358"/>
      </w:pPr>
      <w:rPr>
        <w:rFonts w:hint="default"/>
        <w:lang w:val="en-NZ" w:eastAsia="en-NZ" w:bidi="en-NZ"/>
      </w:rPr>
    </w:lvl>
    <w:lvl w:ilvl="5" w:tplc="26480E8E">
      <w:numFmt w:val="bullet"/>
      <w:lvlText w:val="•"/>
      <w:lvlJc w:val="left"/>
      <w:pPr>
        <w:ind w:left="4972" w:hanging="358"/>
      </w:pPr>
      <w:rPr>
        <w:rFonts w:hint="default"/>
        <w:lang w:val="en-NZ" w:eastAsia="en-NZ" w:bidi="en-NZ"/>
      </w:rPr>
    </w:lvl>
    <w:lvl w:ilvl="6" w:tplc="98580314">
      <w:numFmt w:val="bullet"/>
      <w:lvlText w:val="•"/>
      <w:lvlJc w:val="left"/>
      <w:pPr>
        <w:ind w:left="5874" w:hanging="358"/>
      </w:pPr>
      <w:rPr>
        <w:rFonts w:hint="default"/>
        <w:lang w:val="en-NZ" w:eastAsia="en-NZ" w:bidi="en-NZ"/>
      </w:rPr>
    </w:lvl>
    <w:lvl w:ilvl="7" w:tplc="4E160C50">
      <w:numFmt w:val="bullet"/>
      <w:lvlText w:val="•"/>
      <w:lvlJc w:val="left"/>
      <w:pPr>
        <w:ind w:left="6776" w:hanging="358"/>
      </w:pPr>
      <w:rPr>
        <w:rFonts w:hint="default"/>
        <w:lang w:val="en-NZ" w:eastAsia="en-NZ" w:bidi="en-NZ"/>
      </w:rPr>
    </w:lvl>
    <w:lvl w:ilvl="8" w:tplc="CFEC0BC0">
      <w:numFmt w:val="bullet"/>
      <w:lvlText w:val="•"/>
      <w:lvlJc w:val="left"/>
      <w:pPr>
        <w:ind w:left="7679" w:hanging="358"/>
      </w:pPr>
      <w:rPr>
        <w:rFonts w:hint="default"/>
        <w:lang w:val="en-NZ" w:eastAsia="en-NZ" w:bidi="en-NZ"/>
      </w:rPr>
    </w:lvl>
  </w:abstractNum>
  <w:abstractNum w:abstractNumId="4" w15:restartNumberingAfterBreak="0">
    <w:nsid w:val="4A402DC1"/>
    <w:multiLevelType w:val="hybridMultilevel"/>
    <w:tmpl w:val="E758B2DA"/>
    <w:lvl w:ilvl="0" w:tplc="14090001">
      <w:start w:val="1"/>
      <w:numFmt w:val="bullet"/>
      <w:lvlText w:val=""/>
      <w:lvlJc w:val="left"/>
      <w:pPr>
        <w:ind w:left="873" w:hanging="360"/>
      </w:pPr>
      <w:rPr>
        <w:rFonts w:ascii="Symbol" w:hAnsi="Symbol" w:hint="default"/>
      </w:rPr>
    </w:lvl>
    <w:lvl w:ilvl="1" w:tplc="14090003" w:tentative="1">
      <w:start w:val="1"/>
      <w:numFmt w:val="bullet"/>
      <w:lvlText w:val="o"/>
      <w:lvlJc w:val="left"/>
      <w:pPr>
        <w:ind w:left="1593" w:hanging="360"/>
      </w:pPr>
      <w:rPr>
        <w:rFonts w:ascii="Courier New" w:hAnsi="Courier New" w:cs="Courier New" w:hint="default"/>
      </w:rPr>
    </w:lvl>
    <w:lvl w:ilvl="2" w:tplc="14090005" w:tentative="1">
      <w:start w:val="1"/>
      <w:numFmt w:val="bullet"/>
      <w:lvlText w:val=""/>
      <w:lvlJc w:val="left"/>
      <w:pPr>
        <w:ind w:left="2313" w:hanging="360"/>
      </w:pPr>
      <w:rPr>
        <w:rFonts w:ascii="Wingdings" w:hAnsi="Wingdings" w:hint="default"/>
      </w:rPr>
    </w:lvl>
    <w:lvl w:ilvl="3" w:tplc="14090001" w:tentative="1">
      <w:start w:val="1"/>
      <w:numFmt w:val="bullet"/>
      <w:lvlText w:val=""/>
      <w:lvlJc w:val="left"/>
      <w:pPr>
        <w:ind w:left="3033" w:hanging="360"/>
      </w:pPr>
      <w:rPr>
        <w:rFonts w:ascii="Symbol" w:hAnsi="Symbol" w:hint="default"/>
      </w:rPr>
    </w:lvl>
    <w:lvl w:ilvl="4" w:tplc="14090003" w:tentative="1">
      <w:start w:val="1"/>
      <w:numFmt w:val="bullet"/>
      <w:lvlText w:val="o"/>
      <w:lvlJc w:val="left"/>
      <w:pPr>
        <w:ind w:left="3753" w:hanging="360"/>
      </w:pPr>
      <w:rPr>
        <w:rFonts w:ascii="Courier New" w:hAnsi="Courier New" w:cs="Courier New" w:hint="default"/>
      </w:rPr>
    </w:lvl>
    <w:lvl w:ilvl="5" w:tplc="14090005" w:tentative="1">
      <w:start w:val="1"/>
      <w:numFmt w:val="bullet"/>
      <w:lvlText w:val=""/>
      <w:lvlJc w:val="left"/>
      <w:pPr>
        <w:ind w:left="4473" w:hanging="360"/>
      </w:pPr>
      <w:rPr>
        <w:rFonts w:ascii="Wingdings" w:hAnsi="Wingdings" w:hint="default"/>
      </w:rPr>
    </w:lvl>
    <w:lvl w:ilvl="6" w:tplc="14090001" w:tentative="1">
      <w:start w:val="1"/>
      <w:numFmt w:val="bullet"/>
      <w:lvlText w:val=""/>
      <w:lvlJc w:val="left"/>
      <w:pPr>
        <w:ind w:left="5193" w:hanging="360"/>
      </w:pPr>
      <w:rPr>
        <w:rFonts w:ascii="Symbol" w:hAnsi="Symbol" w:hint="default"/>
      </w:rPr>
    </w:lvl>
    <w:lvl w:ilvl="7" w:tplc="14090003" w:tentative="1">
      <w:start w:val="1"/>
      <w:numFmt w:val="bullet"/>
      <w:lvlText w:val="o"/>
      <w:lvlJc w:val="left"/>
      <w:pPr>
        <w:ind w:left="5913" w:hanging="360"/>
      </w:pPr>
      <w:rPr>
        <w:rFonts w:ascii="Courier New" w:hAnsi="Courier New" w:cs="Courier New" w:hint="default"/>
      </w:rPr>
    </w:lvl>
    <w:lvl w:ilvl="8" w:tplc="14090005" w:tentative="1">
      <w:start w:val="1"/>
      <w:numFmt w:val="bullet"/>
      <w:lvlText w:val=""/>
      <w:lvlJc w:val="left"/>
      <w:pPr>
        <w:ind w:left="6633" w:hanging="360"/>
      </w:pPr>
      <w:rPr>
        <w:rFonts w:ascii="Wingdings" w:hAnsi="Wingdings" w:hint="default"/>
      </w:rPr>
    </w:lvl>
  </w:abstractNum>
  <w:abstractNum w:abstractNumId="5" w15:restartNumberingAfterBreak="0">
    <w:nsid w:val="4DD36B2C"/>
    <w:multiLevelType w:val="hybridMultilevel"/>
    <w:tmpl w:val="9FA401BE"/>
    <w:lvl w:ilvl="0" w:tplc="14090001">
      <w:start w:val="1"/>
      <w:numFmt w:val="bullet"/>
      <w:lvlText w:val=""/>
      <w:lvlJc w:val="left"/>
      <w:pPr>
        <w:ind w:left="830" w:hanging="360"/>
      </w:pPr>
      <w:rPr>
        <w:rFonts w:ascii="Symbol" w:hAnsi="Symbol" w:hint="default"/>
      </w:rPr>
    </w:lvl>
    <w:lvl w:ilvl="1" w:tplc="14090003" w:tentative="1">
      <w:start w:val="1"/>
      <w:numFmt w:val="bullet"/>
      <w:lvlText w:val="o"/>
      <w:lvlJc w:val="left"/>
      <w:pPr>
        <w:ind w:left="1550" w:hanging="360"/>
      </w:pPr>
      <w:rPr>
        <w:rFonts w:ascii="Courier New" w:hAnsi="Courier New" w:cs="Courier New" w:hint="default"/>
      </w:rPr>
    </w:lvl>
    <w:lvl w:ilvl="2" w:tplc="14090005" w:tentative="1">
      <w:start w:val="1"/>
      <w:numFmt w:val="bullet"/>
      <w:lvlText w:val=""/>
      <w:lvlJc w:val="left"/>
      <w:pPr>
        <w:ind w:left="2270" w:hanging="360"/>
      </w:pPr>
      <w:rPr>
        <w:rFonts w:ascii="Wingdings" w:hAnsi="Wingdings" w:hint="default"/>
      </w:rPr>
    </w:lvl>
    <w:lvl w:ilvl="3" w:tplc="14090001" w:tentative="1">
      <w:start w:val="1"/>
      <w:numFmt w:val="bullet"/>
      <w:lvlText w:val=""/>
      <w:lvlJc w:val="left"/>
      <w:pPr>
        <w:ind w:left="2990" w:hanging="360"/>
      </w:pPr>
      <w:rPr>
        <w:rFonts w:ascii="Symbol" w:hAnsi="Symbol" w:hint="default"/>
      </w:rPr>
    </w:lvl>
    <w:lvl w:ilvl="4" w:tplc="14090003" w:tentative="1">
      <w:start w:val="1"/>
      <w:numFmt w:val="bullet"/>
      <w:lvlText w:val="o"/>
      <w:lvlJc w:val="left"/>
      <w:pPr>
        <w:ind w:left="3710" w:hanging="360"/>
      </w:pPr>
      <w:rPr>
        <w:rFonts w:ascii="Courier New" w:hAnsi="Courier New" w:cs="Courier New" w:hint="default"/>
      </w:rPr>
    </w:lvl>
    <w:lvl w:ilvl="5" w:tplc="14090005" w:tentative="1">
      <w:start w:val="1"/>
      <w:numFmt w:val="bullet"/>
      <w:lvlText w:val=""/>
      <w:lvlJc w:val="left"/>
      <w:pPr>
        <w:ind w:left="4430" w:hanging="360"/>
      </w:pPr>
      <w:rPr>
        <w:rFonts w:ascii="Wingdings" w:hAnsi="Wingdings" w:hint="default"/>
      </w:rPr>
    </w:lvl>
    <w:lvl w:ilvl="6" w:tplc="14090001" w:tentative="1">
      <w:start w:val="1"/>
      <w:numFmt w:val="bullet"/>
      <w:lvlText w:val=""/>
      <w:lvlJc w:val="left"/>
      <w:pPr>
        <w:ind w:left="5150" w:hanging="360"/>
      </w:pPr>
      <w:rPr>
        <w:rFonts w:ascii="Symbol" w:hAnsi="Symbol" w:hint="default"/>
      </w:rPr>
    </w:lvl>
    <w:lvl w:ilvl="7" w:tplc="14090003" w:tentative="1">
      <w:start w:val="1"/>
      <w:numFmt w:val="bullet"/>
      <w:lvlText w:val="o"/>
      <w:lvlJc w:val="left"/>
      <w:pPr>
        <w:ind w:left="5870" w:hanging="360"/>
      </w:pPr>
      <w:rPr>
        <w:rFonts w:ascii="Courier New" w:hAnsi="Courier New" w:cs="Courier New" w:hint="default"/>
      </w:rPr>
    </w:lvl>
    <w:lvl w:ilvl="8" w:tplc="14090005" w:tentative="1">
      <w:start w:val="1"/>
      <w:numFmt w:val="bullet"/>
      <w:lvlText w:val=""/>
      <w:lvlJc w:val="left"/>
      <w:pPr>
        <w:ind w:left="6590" w:hanging="360"/>
      </w:pPr>
      <w:rPr>
        <w:rFonts w:ascii="Wingdings" w:hAnsi="Wingdings" w:hint="default"/>
      </w:rPr>
    </w:lvl>
  </w:abstractNum>
  <w:abstractNum w:abstractNumId="6" w15:restartNumberingAfterBreak="0">
    <w:nsid w:val="571C02C0"/>
    <w:multiLevelType w:val="hybridMultilevel"/>
    <w:tmpl w:val="49FA8BB2"/>
    <w:lvl w:ilvl="0" w:tplc="B40A882E">
      <w:numFmt w:val="bullet"/>
      <w:lvlText w:val=""/>
      <w:lvlJc w:val="left"/>
      <w:pPr>
        <w:ind w:left="468" w:hanging="358"/>
      </w:pPr>
      <w:rPr>
        <w:rFonts w:ascii="Symbol" w:eastAsia="Symbol" w:hAnsi="Symbol" w:cs="Symbol" w:hint="default"/>
        <w:w w:val="100"/>
        <w:sz w:val="22"/>
        <w:szCs w:val="22"/>
        <w:lang w:val="en-NZ" w:eastAsia="en-NZ" w:bidi="en-NZ"/>
      </w:rPr>
    </w:lvl>
    <w:lvl w:ilvl="1" w:tplc="C9822988">
      <w:numFmt w:val="bullet"/>
      <w:lvlText w:val="•"/>
      <w:lvlJc w:val="left"/>
      <w:pPr>
        <w:ind w:left="1362" w:hanging="358"/>
      </w:pPr>
      <w:rPr>
        <w:rFonts w:hint="default"/>
        <w:lang w:val="en-NZ" w:eastAsia="en-NZ" w:bidi="en-NZ"/>
      </w:rPr>
    </w:lvl>
    <w:lvl w:ilvl="2" w:tplc="A2120512">
      <w:numFmt w:val="bullet"/>
      <w:lvlText w:val="•"/>
      <w:lvlJc w:val="left"/>
      <w:pPr>
        <w:ind w:left="2264" w:hanging="358"/>
      </w:pPr>
      <w:rPr>
        <w:rFonts w:hint="default"/>
        <w:lang w:val="en-NZ" w:eastAsia="en-NZ" w:bidi="en-NZ"/>
      </w:rPr>
    </w:lvl>
    <w:lvl w:ilvl="3" w:tplc="CF580182">
      <w:numFmt w:val="bullet"/>
      <w:lvlText w:val="•"/>
      <w:lvlJc w:val="left"/>
      <w:pPr>
        <w:ind w:left="3167" w:hanging="358"/>
      </w:pPr>
      <w:rPr>
        <w:rFonts w:hint="default"/>
        <w:lang w:val="en-NZ" w:eastAsia="en-NZ" w:bidi="en-NZ"/>
      </w:rPr>
    </w:lvl>
    <w:lvl w:ilvl="4" w:tplc="5716705E">
      <w:numFmt w:val="bullet"/>
      <w:lvlText w:val="•"/>
      <w:lvlJc w:val="left"/>
      <w:pPr>
        <w:ind w:left="4069" w:hanging="358"/>
      </w:pPr>
      <w:rPr>
        <w:rFonts w:hint="default"/>
        <w:lang w:val="en-NZ" w:eastAsia="en-NZ" w:bidi="en-NZ"/>
      </w:rPr>
    </w:lvl>
    <w:lvl w:ilvl="5" w:tplc="69321866">
      <w:numFmt w:val="bullet"/>
      <w:lvlText w:val="•"/>
      <w:lvlJc w:val="left"/>
      <w:pPr>
        <w:ind w:left="4972" w:hanging="358"/>
      </w:pPr>
      <w:rPr>
        <w:rFonts w:hint="default"/>
        <w:lang w:val="en-NZ" w:eastAsia="en-NZ" w:bidi="en-NZ"/>
      </w:rPr>
    </w:lvl>
    <w:lvl w:ilvl="6" w:tplc="40C4224A">
      <w:numFmt w:val="bullet"/>
      <w:lvlText w:val="•"/>
      <w:lvlJc w:val="left"/>
      <w:pPr>
        <w:ind w:left="5874" w:hanging="358"/>
      </w:pPr>
      <w:rPr>
        <w:rFonts w:hint="default"/>
        <w:lang w:val="en-NZ" w:eastAsia="en-NZ" w:bidi="en-NZ"/>
      </w:rPr>
    </w:lvl>
    <w:lvl w:ilvl="7" w:tplc="C630A83C">
      <w:numFmt w:val="bullet"/>
      <w:lvlText w:val="•"/>
      <w:lvlJc w:val="left"/>
      <w:pPr>
        <w:ind w:left="6776" w:hanging="358"/>
      </w:pPr>
      <w:rPr>
        <w:rFonts w:hint="default"/>
        <w:lang w:val="en-NZ" w:eastAsia="en-NZ" w:bidi="en-NZ"/>
      </w:rPr>
    </w:lvl>
    <w:lvl w:ilvl="8" w:tplc="A58C9140">
      <w:numFmt w:val="bullet"/>
      <w:lvlText w:val="•"/>
      <w:lvlJc w:val="left"/>
      <w:pPr>
        <w:ind w:left="7679" w:hanging="358"/>
      </w:pPr>
      <w:rPr>
        <w:rFonts w:hint="default"/>
        <w:lang w:val="en-NZ" w:eastAsia="en-NZ" w:bidi="en-NZ"/>
      </w:rPr>
    </w:lvl>
  </w:abstractNum>
  <w:num w:numId="1">
    <w:abstractNumId w:val="0"/>
  </w:num>
  <w:num w:numId="2">
    <w:abstractNumId w:val="3"/>
  </w:num>
  <w:num w:numId="3">
    <w:abstractNumId w:val="1"/>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0D7"/>
    <w:rsid w:val="00001EC5"/>
    <w:rsid w:val="000306EA"/>
    <w:rsid w:val="00032A35"/>
    <w:rsid w:val="0004045F"/>
    <w:rsid w:val="00041F39"/>
    <w:rsid w:val="000449D6"/>
    <w:rsid w:val="000756DD"/>
    <w:rsid w:val="00095ACF"/>
    <w:rsid w:val="00102A7B"/>
    <w:rsid w:val="001922C1"/>
    <w:rsid w:val="001A6178"/>
    <w:rsid w:val="001F32A9"/>
    <w:rsid w:val="00212AEF"/>
    <w:rsid w:val="00255973"/>
    <w:rsid w:val="002637EA"/>
    <w:rsid w:val="00273483"/>
    <w:rsid w:val="002A6357"/>
    <w:rsid w:val="002C4099"/>
    <w:rsid w:val="002D3505"/>
    <w:rsid w:val="002D5815"/>
    <w:rsid w:val="002F195A"/>
    <w:rsid w:val="002F2C23"/>
    <w:rsid w:val="00313A87"/>
    <w:rsid w:val="0033361E"/>
    <w:rsid w:val="00373FDB"/>
    <w:rsid w:val="0037530B"/>
    <w:rsid w:val="0038659B"/>
    <w:rsid w:val="003E76F6"/>
    <w:rsid w:val="003E7E7A"/>
    <w:rsid w:val="003F6DF4"/>
    <w:rsid w:val="00402F2B"/>
    <w:rsid w:val="00405FAA"/>
    <w:rsid w:val="00433C78"/>
    <w:rsid w:val="00456D17"/>
    <w:rsid w:val="00470B5F"/>
    <w:rsid w:val="00491013"/>
    <w:rsid w:val="004A07B1"/>
    <w:rsid w:val="004D1527"/>
    <w:rsid w:val="004F3ADA"/>
    <w:rsid w:val="004F65E9"/>
    <w:rsid w:val="00501648"/>
    <w:rsid w:val="00507AB2"/>
    <w:rsid w:val="0052370D"/>
    <w:rsid w:val="00573EE9"/>
    <w:rsid w:val="00575F8A"/>
    <w:rsid w:val="005770BA"/>
    <w:rsid w:val="0059541F"/>
    <w:rsid w:val="005C4AC1"/>
    <w:rsid w:val="005D32A1"/>
    <w:rsid w:val="005E67E2"/>
    <w:rsid w:val="00604775"/>
    <w:rsid w:val="00605C85"/>
    <w:rsid w:val="00631EE8"/>
    <w:rsid w:val="006338B1"/>
    <w:rsid w:val="00701E6C"/>
    <w:rsid w:val="00704B49"/>
    <w:rsid w:val="00706D7A"/>
    <w:rsid w:val="007102DF"/>
    <w:rsid w:val="007258DE"/>
    <w:rsid w:val="00731746"/>
    <w:rsid w:val="007543A7"/>
    <w:rsid w:val="00762D64"/>
    <w:rsid w:val="007725CE"/>
    <w:rsid w:val="0079362B"/>
    <w:rsid w:val="007E703D"/>
    <w:rsid w:val="007F3516"/>
    <w:rsid w:val="007F7C2A"/>
    <w:rsid w:val="00837DC3"/>
    <w:rsid w:val="0088334E"/>
    <w:rsid w:val="008A2349"/>
    <w:rsid w:val="008E3538"/>
    <w:rsid w:val="009107E4"/>
    <w:rsid w:val="00961FF2"/>
    <w:rsid w:val="0099627D"/>
    <w:rsid w:val="009D5B45"/>
    <w:rsid w:val="009F128C"/>
    <w:rsid w:val="009F562A"/>
    <w:rsid w:val="00A11910"/>
    <w:rsid w:val="00A120B2"/>
    <w:rsid w:val="00A71939"/>
    <w:rsid w:val="00A91ABA"/>
    <w:rsid w:val="00AA575A"/>
    <w:rsid w:val="00AB215D"/>
    <w:rsid w:val="00AE2799"/>
    <w:rsid w:val="00B01DBB"/>
    <w:rsid w:val="00B163B0"/>
    <w:rsid w:val="00B61881"/>
    <w:rsid w:val="00B645CA"/>
    <w:rsid w:val="00B92D9D"/>
    <w:rsid w:val="00BB397B"/>
    <w:rsid w:val="00BC10D7"/>
    <w:rsid w:val="00C04EB2"/>
    <w:rsid w:val="00C46246"/>
    <w:rsid w:val="00C6370C"/>
    <w:rsid w:val="00C81F22"/>
    <w:rsid w:val="00CA17CB"/>
    <w:rsid w:val="00CC0E39"/>
    <w:rsid w:val="00CE08D5"/>
    <w:rsid w:val="00D1189F"/>
    <w:rsid w:val="00D17B39"/>
    <w:rsid w:val="00D2747A"/>
    <w:rsid w:val="00D3236B"/>
    <w:rsid w:val="00D332E4"/>
    <w:rsid w:val="00D34C2D"/>
    <w:rsid w:val="00D355C7"/>
    <w:rsid w:val="00D5270E"/>
    <w:rsid w:val="00D63C82"/>
    <w:rsid w:val="00D66C70"/>
    <w:rsid w:val="00D7550C"/>
    <w:rsid w:val="00DC309C"/>
    <w:rsid w:val="00E00919"/>
    <w:rsid w:val="00E14F6E"/>
    <w:rsid w:val="00E34F0D"/>
    <w:rsid w:val="00E3661B"/>
    <w:rsid w:val="00E55EF1"/>
    <w:rsid w:val="00E62C7F"/>
    <w:rsid w:val="00E83622"/>
    <w:rsid w:val="00EB0C4C"/>
    <w:rsid w:val="00EB207E"/>
    <w:rsid w:val="00EB6A30"/>
    <w:rsid w:val="00EC6419"/>
    <w:rsid w:val="00ED70A0"/>
    <w:rsid w:val="00EF0170"/>
    <w:rsid w:val="00F2126C"/>
    <w:rsid w:val="00F938B1"/>
    <w:rsid w:val="00F954D0"/>
    <w:rsid w:val="00F96D40"/>
    <w:rsid w:val="00FB5831"/>
    <w:rsid w:val="00FD0B5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D99F66"/>
  <w15:docId w15:val="{77C7DE05-32B6-47AA-8E5C-F0F45E90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NZ" w:eastAsia="en-NZ" w:bidi="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5"/>
      <w:ind w:left="110"/>
    </w:pPr>
  </w:style>
  <w:style w:type="paragraph" w:styleId="BalloonText">
    <w:name w:val="Balloon Text"/>
    <w:basedOn w:val="Normal"/>
    <w:link w:val="BalloonTextChar"/>
    <w:uiPriority w:val="99"/>
    <w:semiHidden/>
    <w:unhideWhenUsed/>
    <w:rsid w:val="002D35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505"/>
    <w:rPr>
      <w:rFonts w:ascii="Segoe UI" w:eastAsia="Arial" w:hAnsi="Segoe UI" w:cs="Segoe UI"/>
      <w:sz w:val="18"/>
      <w:szCs w:val="18"/>
      <w:lang w:val="en-NZ" w:eastAsia="en-NZ" w:bidi="en-NZ"/>
    </w:rPr>
  </w:style>
  <w:style w:type="character" w:styleId="CommentReference">
    <w:name w:val="annotation reference"/>
    <w:basedOn w:val="DefaultParagraphFont"/>
    <w:uiPriority w:val="99"/>
    <w:semiHidden/>
    <w:unhideWhenUsed/>
    <w:rsid w:val="00EC6419"/>
    <w:rPr>
      <w:sz w:val="16"/>
      <w:szCs w:val="16"/>
    </w:rPr>
  </w:style>
  <w:style w:type="paragraph" w:styleId="CommentText">
    <w:name w:val="annotation text"/>
    <w:basedOn w:val="Normal"/>
    <w:link w:val="CommentTextChar"/>
    <w:uiPriority w:val="99"/>
    <w:semiHidden/>
    <w:unhideWhenUsed/>
    <w:rsid w:val="00EC6419"/>
    <w:rPr>
      <w:sz w:val="20"/>
      <w:szCs w:val="20"/>
    </w:rPr>
  </w:style>
  <w:style w:type="character" w:customStyle="1" w:styleId="CommentTextChar">
    <w:name w:val="Comment Text Char"/>
    <w:basedOn w:val="DefaultParagraphFont"/>
    <w:link w:val="CommentText"/>
    <w:uiPriority w:val="99"/>
    <w:semiHidden/>
    <w:rsid w:val="00EC6419"/>
    <w:rPr>
      <w:rFonts w:ascii="Arial" w:eastAsia="Arial" w:hAnsi="Arial" w:cs="Arial"/>
      <w:sz w:val="20"/>
      <w:szCs w:val="20"/>
      <w:lang w:val="en-NZ" w:eastAsia="en-NZ" w:bidi="en-NZ"/>
    </w:rPr>
  </w:style>
  <w:style w:type="paragraph" w:styleId="CommentSubject">
    <w:name w:val="annotation subject"/>
    <w:basedOn w:val="CommentText"/>
    <w:next w:val="CommentText"/>
    <w:link w:val="CommentSubjectChar"/>
    <w:uiPriority w:val="99"/>
    <w:semiHidden/>
    <w:unhideWhenUsed/>
    <w:rsid w:val="00EC6419"/>
    <w:rPr>
      <w:b/>
      <w:bCs/>
    </w:rPr>
  </w:style>
  <w:style w:type="character" w:customStyle="1" w:styleId="CommentSubjectChar">
    <w:name w:val="Comment Subject Char"/>
    <w:basedOn w:val="CommentTextChar"/>
    <w:link w:val="CommentSubject"/>
    <w:uiPriority w:val="99"/>
    <w:semiHidden/>
    <w:rsid w:val="00EC6419"/>
    <w:rPr>
      <w:rFonts w:ascii="Arial" w:eastAsia="Arial" w:hAnsi="Arial" w:cs="Arial"/>
      <w:b/>
      <w:bCs/>
      <w:sz w:val="20"/>
      <w:szCs w:val="20"/>
      <w:lang w:val="en-NZ" w:eastAsia="en-NZ" w:bidi="en-NZ"/>
    </w:rPr>
  </w:style>
  <w:style w:type="paragraph" w:styleId="Header">
    <w:name w:val="header"/>
    <w:basedOn w:val="Normal"/>
    <w:link w:val="HeaderChar"/>
    <w:uiPriority w:val="99"/>
    <w:unhideWhenUsed/>
    <w:rsid w:val="004A07B1"/>
    <w:pPr>
      <w:tabs>
        <w:tab w:val="center" w:pos="4513"/>
        <w:tab w:val="right" w:pos="9026"/>
      </w:tabs>
    </w:pPr>
  </w:style>
  <w:style w:type="character" w:customStyle="1" w:styleId="HeaderChar">
    <w:name w:val="Header Char"/>
    <w:basedOn w:val="DefaultParagraphFont"/>
    <w:link w:val="Header"/>
    <w:uiPriority w:val="99"/>
    <w:rsid w:val="004A07B1"/>
    <w:rPr>
      <w:rFonts w:ascii="Arial" w:eastAsia="Arial" w:hAnsi="Arial" w:cs="Arial"/>
      <w:lang w:val="en-NZ" w:eastAsia="en-NZ" w:bidi="en-NZ"/>
    </w:rPr>
  </w:style>
  <w:style w:type="paragraph" w:styleId="Footer">
    <w:name w:val="footer"/>
    <w:basedOn w:val="Normal"/>
    <w:link w:val="FooterChar"/>
    <w:uiPriority w:val="99"/>
    <w:unhideWhenUsed/>
    <w:rsid w:val="004A07B1"/>
    <w:pPr>
      <w:tabs>
        <w:tab w:val="center" w:pos="4513"/>
        <w:tab w:val="right" w:pos="9026"/>
      </w:tabs>
    </w:pPr>
  </w:style>
  <w:style w:type="character" w:customStyle="1" w:styleId="FooterChar">
    <w:name w:val="Footer Char"/>
    <w:basedOn w:val="DefaultParagraphFont"/>
    <w:link w:val="Footer"/>
    <w:uiPriority w:val="99"/>
    <w:rsid w:val="004A07B1"/>
    <w:rPr>
      <w:rFonts w:ascii="Arial" w:eastAsia="Arial" w:hAnsi="Arial" w:cs="Arial"/>
      <w:lang w:val="en-NZ" w:eastAsia="en-NZ" w:bidi="en-NZ"/>
    </w:rPr>
  </w:style>
  <w:style w:type="paragraph" w:styleId="Revision">
    <w:name w:val="Revision"/>
    <w:hidden/>
    <w:uiPriority w:val="99"/>
    <w:semiHidden/>
    <w:rsid w:val="003E7E7A"/>
    <w:pPr>
      <w:widowControl/>
      <w:autoSpaceDE/>
      <w:autoSpaceDN/>
    </w:pPr>
    <w:rPr>
      <w:rFonts w:ascii="Arial" w:eastAsia="Arial" w:hAnsi="Arial" w:cs="Arial"/>
      <w:lang w:val="en-NZ" w:eastAsia="en-NZ" w:bidi="en-NZ"/>
    </w:rPr>
  </w:style>
  <w:style w:type="character" w:styleId="Hyperlink">
    <w:name w:val="Hyperlink"/>
    <w:basedOn w:val="DefaultParagraphFont"/>
    <w:uiPriority w:val="99"/>
    <w:unhideWhenUsed/>
    <w:rsid w:val="0052370D"/>
    <w:rPr>
      <w:color w:val="0000FF" w:themeColor="hyperlink"/>
      <w:u w:val="single"/>
    </w:rPr>
  </w:style>
  <w:style w:type="character" w:styleId="UnresolvedMention">
    <w:name w:val="Unresolved Mention"/>
    <w:basedOn w:val="DefaultParagraphFont"/>
    <w:uiPriority w:val="99"/>
    <w:semiHidden/>
    <w:unhideWhenUsed/>
    <w:rsid w:val="0052370D"/>
    <w:rPr>
      <w:color w:val="605E5C"/>
      <w:shd w:val="clear" w:color="auto" w:fill="E1DFDD"/>
    </w:rPr>
  </w:style>
  <w:style w:type="paragraph" w:styleId="FootnoteText">
    <w:name w:val="footnote text"/>
    <w:basedOn w:val="Normal"/>
    <w:link w:val="FootnoteTextChar"/>
    <w:uiPriority w:val="99"/>
    <w:semiHidden/>
    <w:unhideWhenUsed/>
    <w:rsid w:val="007725CE"/>
    <w:rPr>
      <w:sz w:val="20"/>
      <w:szCs w:val="20"/>
    </w:rPr>
  </w:style>
  <w:style w:type="character" w:customStyle="1" w:styleId="FootnoteTextChar">
    <w:name w:val="Footnote Text Char"/>
    <w:basedOn w:val="DefaultParagraphFont"/>
    <w:link w:val="FootnoteText"/>
    <w:uiPriority w:val="99"/>
    <w:semiHidden/>
    <w:rsid w:val="007725CE"/>
    <w:rPr>
      <w:rFonts w:ascii="Arial" w:eastAsia="Arial" w:hAnsi="Arial" w:cs="Arial"/>
      <w:sz w:val="20"/>
      <w:szCs w:val="20"/>
      <w:lang w:val="en-NZ" w:eastAsia="en-NZ" w:bidi="en-NZ"/>
    </w:rPr>
  </w:style>
  <w:style w:type="character" w:styleId="FootnoteReference">
    <w:name w:val="footnote reference"/>
    <w:basedOn w:val="DefaultParagraphFont"/>
    <w:uiPriority w:val="99"/>
    <w:semiHidden/>
    <w:unhideWhenUsed/>
    <w:rsid w:val="007725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62397">
      <w:bodyDiv w:val="1"/>
      <w:marLeft w:val="0"/>
      <w:marRight w:val="0"/>
      <w:marTop w:val="0"/>
      <w:marBottom w:val="0"/>
      <w:divBdr>
        <w:top w:val="none" w:sz="0" w:space="0" w:color="auto"/>
        <w:left w:val="none" w:sz="0" w:space="0" w:color="auto"/>
        <w:bottom w:val="none" w:sz="0" w:space="0" w:color="auto"/>
        <w:right w:val="none" w:sz="0" w:space="0" w:color="auto"/>
      </w:divBdr>
    </w:div>
    <w:div w:id="1465349968">
      <w:bodyDiv w:val="1"/>
      <w:marLeft w:val="0"/>
      <w:marRight w:val="0"/>
      <w:marTop w:val="0"/>
      <w:marBottom w:val="0"/>
      <w:divBdr>
        <w:top w:val="none" w:sz="0" w:space="0" w:color="auto"/>
        <w:left w:val="none" w:sz="0" w:space="0" w:color="auto"/>
        <w:bottom w:val="none" w:sz="0" w:space="0" w:color="auto"/>
        <w:right w:val="none" w:sz="0" w:space="0" w:color="auto"/>
      </w:divBdr>
    </w:div>
    <w:div w:id="1615791637">
      <w:bodyDiv w:val="1"/>
      <w:marLeft w:val="0"/>
      <w:marRight w:val="0"/>
      <w:marTop w:val="0"/>
      <w:marBottom w:val="0"/>
      <w:divBdr>
        <w:top w:val="none" w:sz="0" w:space="0" w:color="auto"/>
        <w:left w:val="none" w:sz="0" w:space="0" w:color="auto"/>
        <w:bottom w:val="none" w:sz="0" w:space="0" w:color="auto"/>
        <w:right w:val="none" w:sz="0" w:space="0" w:color="auto"/>
      </w:divBdr>
    </w:div>
    <w:div w:id="1683623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dverse.events@hqsc.govt.n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hqsc.govt.nz/our-work/system-safety/adverse-events/national-adverse-events-reporting-policy/" TargetMode="External"/><Relationship Id="rId1" Type="http://schemas.openxmlformats.org/officeDocument/2006/relationships/hyperlink" Target="http://www.hqsc.govt.nz/resources/resource-library/severity-assessment-code-sac-rating-and-triage-tool-for-adverse-event-repor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5f067919-d045-4b34-bd75-563914e94517" ContentTypeId="0x010100464BB556B3337A48846236E9064FB9CC01" PreviousValue="false"/>
</file>

<file path=customXml/item4.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16069D414DDC6B4999640F73160C6405" ma:contentTypeVersion="33" ma:contentTypeDescription="Use this content type to classify and store documents on HQSC DMS website" ma:contentTypeScope="" ma:versionID="1b8fcf131e7e62a8f0ae95eeb274ad34">
  <xsd:schema xmlns:xsd="http://www.w3.org/2001/XMLSchema" xmlns:xs="http://www.w3.org/2001/XMLSchema" xmlns:p="http://schemas.microsoft.com/office/2006/metadata/properties" xmlns:ns3="7195f19f-1c08-4647-b11c-ef8ab36169e7" xmlns:ns4="bef9904b-9bca-4a1b-aca3-78dad2044d15" targetNamespace="http://schemas.microsoft.com/office/2006/metadata/properties" ma:root="true" ma:fieldsID="3588c449afa08da4e3430215d84244b1" ns3:_="" ns4:_="">
    <xsd:import namespace="7195f19f-1c08-4647-b11c-ef8ab36169e7"/>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5f19f-1c08-4647-b11c-ef8ab36169e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7A7CF-40F3-47A8-BB5C-8458DF354A06}">
  <ds:schemaRefs>
    <ds:schemaRef ds:uri="http://schemas.openxmlformats.org/package/2006/metadata/core-properties"/>
    <ds:schemaRef ds:uri="bef9904b-9bca-4a1b-aca3-78dad2044d15"/>
    <ds:schemaRef ds:uri="http://schemas.microsoft.com/office/2006/documentManagement/types"/>
    <ds:schemaRef ds:uri="http://schemas.microsoft.com/office/2006/metadata/properties"/>
    <ds:schemaRef ds:uri="http://purl.org/dc/dcmitype/"/>
    <ds:schemaRef ds:uri="http://schemas.microsoft.com/office/infopath/2007/PartnerControls"/>
    <ds:schemaRef ds:uri="http://www.w3.org/XML/1998/namespace"/>
    <ds:schemaRef ds:uri="http://purl.org/dc/terms/"/>
    <ds:schemaRef ds:uri="http://purl.org/dc/elements/1.1/"/>
    <ds:schemaRef ds:uri="7195f19f-1c08-4647-b11c-ef8ab36169e7"/>
  </ds:schemaRefs>
</ds:datastoreItem>
</file>

<file path=customXml/itemProps2.xml><?xml version="1.0" encoding="utf-8"?>
<ds:datastoreItem xmlns:ds="http://schemas.openxmlformats.org/officeDocument/2006/customXml" ds:itemID="{3AA937E5-4616-462D-8856-50A97899B1CC}">
  <ds:schemaRefs>
    <ds:schemaRef ds:uri="http://schemas.microsoft.com/sharepoint/v3/contenttype/forms"/>
  </ds:schemaRefs>
</ds:datastoreItem>
</file>

<file path=customXml/itemProps3.xml><?xml version="1.0" encoding="utf-8"?>
<ds:datastoreItem xmlns:ds="http://schemas.openxmlformats.org/officeDocument/2006/customXml" ds:itemID="{3C62DB6A-AF69-4E24-8FFA-8DF70C52362B}">
  <ds:schemaRefs>
    <ds:schemaRef ds:uri="Microsoft.SharePoint.Taxonomy.ContentTypeSync"/>
  </ds:schemaRefs>
</ds:datastoreItem>
</file>

<file path=customXml/itemProps4.xml><?xml version="1.0" encoding="utf-8"?>
<ds:datastoreItem xmlns:ds="http://schemas.openxmlformats.org/officeDocument/2006/customXml" ds:itemID="{8B91CF04-AC73-4848-BF05-75277B53A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5f19f-1c08-4647-b11c-ef8ab36169e7"/>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F3E061-0068-4C05-9B4B-5809437B3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Upston</dc:creator>
  <cp:lastModifiedBy>Jocasta Whittingham</cp:lastModifiedBy>
  <cp:revision>2</cp:revision>
  <cp:lastPrinted>2022-02-16T03:43:00Z</cp:lastPrinted>
  <dcterms:created xsi:type="dcterms:W3CDTF">2022-02-16T03:49:00Z</dcterms:created>
  <dcterms:modified xsi:type="dcterms:W3CDTF">2022-02-16T03:49:00Z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2018-05-24T00:00:00Z</vt:filetime>
  </property>
  <property fmtid="{D5CDD505-2E9C-101B-9397-08002B2CF9AE}" pid="3" name="Creator">
    <vt:lpwstr>Acrobat PDFMaker 18 for Word</vt:lpwstr>
  </property>
  <property fmtid="{D5CDD505-2E9C-101B-9397-08002B2CF9AE}" pid="4" name="LastSaved">
    <vt:filetime>2021-01-21T00:00:00Z</vt:filetime>
  </property>
  <property fmtid="{D5CDD505-2E9C-101B-9397-08002B2CF9AE}" pid="5" name="ContentTypeId">
    <vt:lpwstr>0x010100464BB556B3337A48846236E9064FB9CC010016069D414DDC6B4999640F73160C6405</vt:lpwstr>
  </property>
</Properties>
</file>