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7B89" w14:textId="6CA7FEEB" w:rsidR="00D12FC1" w:rsidRPr="00A313E6" w:rsidRDefault="00A313E6" w:rsidP="00A313E6">
      <w:pPr>
        <w:jc w:val="center"/>
        <w:rPr>
          <w:rFonts w:cs="Arial"/>
        </w:rPr>
      </w:pPr>
      <w:bookmarkStart w:id="0" w:name="_Hlk151641160"/>
      <w:bookmarkEnd w:id="0"/>
      <w:r>
        <w:rPr>
          <w:noProof/>
        </w:rPr>
        <w:drawing>
          <wp:anchor distT="0" distB="0" distL="114300" distR="114300" simplePos="0" relativeHeight="251658240" behindDoc="1" locked="0" layoutInCell="1" allowOverlap="1" wp14:anchorId="03EB70FD" wp14:editId="047CC642">
            <wp:simplePos x="0" y="0"/>
            <wp:positionH relativeFrom="page">
              <wp:align>right</wp:align>
            </wp:positionH>
            <wp:positionV relativeFrom="paragraph">
              <wp:posOffset>-914400</wp:posOffset>
            </wp:positionV>
            <wp:extent cx="7541801" cy="106680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1801" cy="10668000"/>
                    </a:xfrm>
                    <a:prstGeom prst="rect">
                      <a:avLst/>
                    </a:prstGeom>
                  </pic:spPr>
                </pic:pic>
              </a:graphicData>
            </a:graphic>
            <wp14:sizeRelH relativeFrom="page">
              <wp14:pctWidth>0</wp14:pctWidth>
            </wp14:sizeRelH>
            <wp14:sizeRelV relativeFrom="page">
              <wp14:pctHeight>0</wp14:pctHeight>
            </wp14:sizeRelV>
          </wp:anchor>
        </w:drawing>
      </w:r>
    </w:p>
    <w:p w14:paraId="40010705" w14:textId="77777777" w:rsidR="001D0822" w:rsidRPr="004846B0" w:rsidRDefault="001D0822" w:rsidP="001D0822">
      <w:pPr>
        <w:jc w:val="center"/>
        <w:rPr>
          <w:rFonts w:cs="Arial"/>
          <w:color w:val="365F91" w:themeColor="accent1" w:themeShade="BF"/>
          <w:sz w:val="56"/>
          <w:szCs w:val="56"/>
        </w:rPr>
      </w:pPr>
    </w:p>
    <w:p w14:paraId="027712E7" w14:textId="77777777" w:rsidR="00433D6F" w:rsidRDefault="00433D6F" w:rsidP="00D12FC1">
      <w:pPr>
        <w:jc w:val="center"/>
        <w:rPr>
          <w:rFonts w:cs="Arial"/>
          <w:b/>
          <w:sz w:val="36"/>
          <w:szCs w:val="36"/>
        </w:rPr>
      </w:pPr>
    </w:p>
    <w:p w14:paraId="1091DF26" w14:textId="77777777" w:rsidR="00A313E6" w:rsidRDefault="00A313E6" w:rsidP="00D12FC1">
      <w:pPr>
        <w:jc w:val="center"/>
        <w:rPr>
          <w:rFonts w:cs="Arial"/>
          <w:b/>
          <w:sz w:val="36"/>
          <w:szCs w:val="36"/>
        </w:rPr>
      </w:pPr>
    </w:p>
    <w:p w14:paraId="4085089D" w14:textId="77777777" w:rsidR="00A313E6" w:rsidRDefault="00A313E6" w:rsidP="00D12FC1">
      <w:pPr>
        <w:jc w:val="center"/>
        <w:rPr>
          <w:rFonts w:cs="Arial"/>
          <w:b/>
          <w:sz w:val="36"/>
          <w:szCs w:val="36"/>
        </w:rPr>
      </w:pPr>
    </w:p>
    <w:p w14:paraId="34C9ED81" w14:textId="77777777" w:rsidR="00A313E6" w:rsidRDefault="00A313E6" w:rsidP="00D12FC1">
      <w:pPr>
        <w:jc w:val="center"/>
        <w:rPr>
          <w:rFonts w:cs="Arial"/>
          <w:b/>
          <w:sz w:val="36"/>
          <w:szCs w:val="36"/>
        </w:rPr>
      </w:pPr>
    </w:p>
    <w:p w14:paraId="24D7462B" w14:textId="5CF589C9" w:rsidR="009B60E1" w:rsidRDefault="00F66F9A" w:rsidP="00D12FC1">
      <w:pPr>
        <w:jc w:val="center"/>
        <w:rPr>
          <w:rFonts w:cs="Arial"/>
          <w:b/>
          <w:color w:val="293868"/>
          <w:sz w:val="44"/>
          <w:szCs w:val="44"/>
        </w:rPr>
      </w:pPr>
      <w:bookmarkStart w:id="1" w:name="_Hlk157516980"/>
      <w:r>
        <w:rPr>
          <w:rFonts w:cs="Arial"/>
          <w:b/>
          <w:color w:val="293868"/>
          <w:sz w:val="44"/>
          <w:szCs w:val="44"/>
        </w:rPr>
        <w:t xml:space="preserve">National </w:t>
      </w:r>
      <w:r w:rsidR="00A379FF" w:rsidRPr="00A379FF">
        <w:rPr>
          <w:rFonts w:cs="Arial"/>
          <w:b/>
          <w:color w:val="293868"/>
          <w:sz w:val="44"/>
          <w:szCs w:val="44"/>
        </w:rPr>
        <w:t>Mortality Review Committee</w:t>
      </w:r>
      <w:r w:rsidR="00406768">
        <w:rPr>
          <w:rFonts w:cs="Arial"/>
          <w:b/>
          <w:color w:val="293868"/>
          <w:sz w:val="44"/>
          <w:szCs w:val="44"/>
        </w:rPr>
        <w:br/>
      </w:r>
      <w:r w:rsidR="005C1EBF">
        <w:rPr>
          <w:rFonts w:cs="Arial"/>
          <w:b/>
          <w:color w:val="293868"/>
          <w:sz w:val="44"/>
          <w:szCs w:val="44"/>
        </w:rPr>
        <w:t>d</w:t>
      </w:r>
      <w:r w:rsidR="00A379FF" w:rsidRPr="00A379FF">
        <w:rPr>
          <w:rFonts w:cs="Arial"/>
          <w:b/>
          <w:color w:val="293868"/>
          <w:sz w:val="44"/>
          <w:szCs w:val="44"/>
        </w:rPr>
        <w:t xml:space="preserve">ata </w:t>
      </w:r>
      <w:r w:rsidR="005C1EBF">
        <w:rPr>
          <w:rFonts w:cs="Arial"/>
          <w:b/>
          <w:color w:val="293868"/>
          <w:sz w:val="44"/>
          <w:szCs w:val="44"/>
        </w:rPr>
        <w:t>a</w:t>
      </w:r>
      <w:r w:rsidR="00A379FF" w:rsidRPr="00A379FF">
        <w:rPr>
          <w:rFonts w:cs="Arial"/>
          <w:b/>
          <w:color w:val="293868"/>
          <w:sz w:val="44"/>
          <w:szCs w:val="44"/>
        </w:rPr>
        <w:t xml:space="preserve">ccess </w:t>
      </w:r>
      <w:r w:rsidR="005C1EBF">
        <w:rPr>
          <w:rFonts w:cs="Arial"/>
          <w:b/>
          <w:color w:val="293868"/>
          <w:sz w:val="44"/>
          <w:szCs w:val="44"/>
        </w:rPr>
        <w:t>p</w:t>
      </w:r>
      <w:r w:rsidR="00A379FF" w:rsidRPr="00A379FF">
        <w:rPr>
          <w:rFonts w:cs="Arial"/>
          <w:b/>
          <w:color w:val="293868"/>
          <w:sz w:val="44"/>
          <w:szCs w:val="44"/>
        </w:rPr>
        <w:t>olicy</w:t>
      </w:r>
      <w:r w:rsidR="006E13AC">
        <w:rPr>
          <w:rFonts w:cs="Arial"/>
          <w:b/>
          <w:color w:val="293868"/>
          <w:sz w:val="44"/>
          <w:szCs w:val="44"/>
        </w:rPr>
        <w:t xml:space="preserve"> and application guide</w:t>
      </w:r>
      <w:r w:rsidR="007C1041">
        <w:rPr>
          <w:rFonts w:cs="Arial"/>
          <w:b/>
          <w:color w:val="293868"/>
          <w:sz w:val="44"/>
          <w:szCs w:val="44"/>
        </w:rPr>
        <w:t xml:space="preserve"> | </w:t>
      </w:r>
      <w:r w:rsidR="007C1041" w:rsidRPr="007C1041">
        <w:rPr>
          <w:rFonts w:cs="Arial"/>
          <w:b/>
          <w:color w:val="293868"/>
          <w:sz w:val="44"/>
          <w:szCs w:val="44"/>
        </w:rPr>
        <w:t>Kaupapa here</w:t>
      </w:r>
      <w:r w:rsidR="00F70D35">
        <w:rPr>
          <w:rFonts w:cs="Arial"/>
          <w:b/>
          <w:color w:val="293868"/>
          <w:sz w:val="44"/>
          <w:szCs w:val="44"/>
        </w:rPr>
        <w:t xml:space="preserve"> </w:t>
      </w:r>
      <w:r w:rsidR="007C1041" w:rsidRPr="007C1041">
        <w:rPr>
          <w:rFonts w:cs="Arial"/>
          <w:b/>
          <w:color w:val="293868"/>
          <w:sz w:val="44"/>
          <w:szCs w:val="44"/>
        </w:rPr>
        <w:t xml:space="preserve">tiki </w:t>
      </w:r>
      <w:proofErr w:type="spellStart"/>
      <w:r w:rsidR="007C1041" w:rsidRPr="007C1041">
        <w:rPr>
          <w:rFonts w:cs="Arial"/>
          <w:b/>
          <w:color w:val="293868"/>
          <w:sz w:val="44"/>
          <w:szCs w:val="44"/>
        </w:rPr>
        <w:t>raraunga</w:t>
      </w:r>
      <w:proofErr w:type="spellEnd"/>
      <w:r w:rsidR="007C1041" w:rsidRPr="007C1041">
        <w:rPr>
          <w:rFonts w:cs="Arial"/>
          <w:b/>
          <w:color w:val="293868"/>
          <w:sz w:val="44"/>
          <w:szCs w:val="44"/>
        </w:rPr>
        <w:t xml:space="preserve"> o te</w:t>
      </w:r>
      <w:r w:rsidR="00F70D35">
        <w:rPr>
          <w:rFonts w:cs="Arial"/>
          <w:b/>
          <w:color w:val="293868"/>
          <w:sz w:val="44"/>
          <w:szCs w:val="44"/>
        </w:rPr>
        <w:br/>
      </w:r>
      <w:r w:rsidR="007C1041" w:rsidRPr="007C1041">
        <w:rPr>
          <w:rFonts w:cs="Arial"/>
          <w:b/>
          <w:color w:val="293868"/>
          <w:sz w:val="44"/>
          <w:szCs w:val="44"/>
        </w:rPr>
        <w:t xml:space="preserve">Komiti </w:t>
      </w:r>
      <w:proofErr w:type="spellStart"/>
      <w:r w:rsidR="007C1041" w:rsidRPr="007C1041">
        <w:rPr>
          <w:rFonts w:cs="Arial"/>
          <w:b/>
          <w:color w:val="293868"/>
          <w:sz w:val="44"/>
          <w:szCs w:val="44"/>
        </w:rPr>
        <w:t>Arotake</w:t>
      </w:r>
      <w:proofErr w:type="spellEnd"/>
      <w:r w:rsidR="00F70D35">
        <w:rPr>
          <w:rFonts w:cs="Arial"/>
          <w:b/>
          <w:color w:val="293868"/>
          <w:sz w:val="44"/>
          <w:szCs w:val="44"/>
        </w:rPr>
        <w:t xml:space="preserve"> </w:t>
      </w:r>
      <w:r w:rsidR="007C1041" w:rsidRPr="007C1041">
        <w:rPr>
          <w:rFonts w:cs="Arial"/>
          <w:b/>
          <w:color w:val="293868"/>
          <w:sz w:val="44"/>
          <w:szCs w:val="44"/>
        </w:rPr>
        <w:t>Matenga ā-Motu</w:t>
      </w:r>
      <w:bookmarkEnd w:id="1"/>
      <w:r w:rsidR="00F70D35">
        <w:rPr>
          <w:rFonts w:cs="Arial"/>
          <w:b/>
          <w:color w:val="293868"/>
          <w:sz w:val="44"/>
          <w:szCs w:val="44"/>
        </w:rPr>
        <w:br/>
      </w:r>
      <w:r w:rsidR="006B287F">
        <w:rPr>
          <w:rFonts w:cs="Arial"/>
          <w:b/>
          <w:color w:val="293868"/>
          <w:sz w:val="44"/>
          <w:szCs w:val="44"/>
        </w:rPr>
        <w:t>me te aratohu</w:t>
      </w:r>
      <w:r w:rsidR="00F70D35">
        <w:rPr>
          <w:rFonts w:cs="Arial"/>
          <w:b/>
          <w:color w:val="293868"/>
          <w:sz w:val="44"/>
          <w:szCs w:val="44"/>
        </w:rPr>
        <w:t xml:space="preserve"> </w:t>
      </w:r>
      <w:proofErr w:type="spellStart"/>
      <w:r w:rsidR="00F70D35">
        <w:rPr>
          <w:rFonts w:cs="Arial"/>
          <w:b/>
          <w:color w:val="293868"/>
          <w:sz w:val="44"/>
          <w:szCs w:val="44"/>
        </w:rPr>
        <w:t>mamahi</w:t>
      </w:r>
      <w:proofErr w:type="spellEnd"/>
    </w:p>
    <w:p w14:paraId="181AEC1D" w14:textId="2B5F28C4" w:rsidR="00A379FF" w:rsidRPr="00A435D1" w:rsidRDefault="00E1022E" w:rsidP="00113305">
      <w:pPr>
        <w:pStyle w:val="TTHfrontpage"/>
        <w:rPr>
          <w:i/>
        </w:rPr>
      </w:pPr>
      <w:bookmarkStart w:id="2" w:name="_Toc137627764"/>
      <w:bookmarkStart w:id="3" w:name="_Toc138422715"/>
      <w:bookmarkStart w:id="4" w:name="_Toc138686297"/>
      <w:bookmarkStart w:id="5" w:name="_Toc139358527"/>
      <w:r>
        <w:t>A</w:t>
      </w:r>
      <w:r w:rsidR="00A379FF" w:rsidRPr="00A435D1">
        <w:t xml:space="preserve">ccessing National Mortality Review Committee </w:t>
      </w:r>
      <w:r w:rsidR="00BA0EAA" w:rsidRPr="00A435D1">
        <w:t>d</w:t>
      </w:r>
      <w:r w:rsidR="00A379FF" w:rsidRPr="00A435D1">
        <w:t xml:space="preserve">ata </w:t>
      </w:r>
      <w:r w:rsidR="00E95D2A" w:rsidRPr="00A435D1">
        <w:t xml:space="preserve">or </w:t>
      </w:r>
      <w:r w:rsidR="00BA0EAA" w:rsidRPr="00A435D1">
        <w:t>i</w:t>
      </w:r>
      <w:r w:rsidR="00E95D2A" w:rsidRPr="00A435D1">
        <w:t xml:space="preserve">nformation </w:t>
      </w:r>
      <w:r w:rsidR="00A379FF" w:rsidRPr="00A435D1">
        <w:t xml:space="preserve">for </w:t>
      </w:r>
      <w:r w:rsidR="00BA0EAA" w:rsidRPr="00A435D1">
        <w:t>r</w:t>
      </w:r>
      <w:r w:rsidR="00A379FF" w:rsidRPr="00A435D1">
        <w:t xml:space="preserve">esearch </w:t>
      </w:r>
      <w:r w:rsidR="00BA0EAA" w:rsidRPr="00A435D1">
        <w:t>p</w:t>
      </w:r>
      <w:r w:rsidR="00A379FF" w:rsidRPr="00A435D1">
        <w:t>urposes</w:t>
      </w:r>
      <w:bookmarkEnd w:id="2"/>
      <w:bookmarkEnd w:id="3"/>
      <w:bookmarkEnd w:id="4"/>
      <w:bookmarkEnd w:id="5"/>
      <w:r w:rsidR="00AB6688">
        <w:t xml:space="preserve"> | </w:t>
      </w:r>
      <w:r w:rsidR="00AB6688" w:rsidRPr="004B319B">
        <w:rPr>
          <w:lang w:val="it-IT"/>
        </w:rPr>
        <w:t xml:space="preserve">Te </w:t>
      </w:r>
      <w:r w:rsidR="00AB6688">
        <w:rPr>
          <w:lang w:val="it-IT"/>
        </w:rPr>
        <w:t>t</w:t>
      </w:r>
      <w:r w:rsidR="00AB6688" w:rsidRPr="004B319B">
        <w:rPr>
          <w:lang w:val="it-IT"/>
        </w:rPr>
        <w:t>iki atu i t</w:t>
      </w:r>
      <w:r w:rsidR="00AB6688">
        <w:rPr>
          <w:lang w:val="it-IT"/>
        </w:rPr>
        <w:t>e rauranga o te Komiti Arotake Matenga ā-Motu hei take rangahau</w:t>
      </w:r>
    </w:p>
    <w:p w14:paraId="21C7ED60" w14:textId="77777777" w:rsidR="00A379FF" w:rsidRDefault="00A379FF" w:rsidP="00A313E6">
      <w:pPr>
        <w:rPr>
          <w:rFonts w:cs="Arial"/>
          <w:bCs/>
          <w:color w:val="293868"/>
          <w:sz w:val="28"/>
          <w:szCs w:val="28"/>
        </w:rPr>
      </w:pPr>
    </w:p>
    <w:p w14:paraId="71ABA095" w14:textId="2BB93D73" w:rsidR="002E1666" w:rsidRPr="00A2381C" w:rsidRDefault="00230111" w:rsidP="00A379FF">
      <w:pPr>
        <w:jc w:val="center"/>
        <w:rPr>
          <w:rFonts w:cs="Arial"/>
          <w:bCs/>
          <w:color w:val="293868"/>
          <w:sz w:val="28"/>
          <w:szCs w:val="28"/>
        </w:rPr>
      </w:pPr>
      <w:r>
        <w:rPr>
          <w:rFonts w:cs="Arial"/>
          <w:bCs/>
          <w:color w:val="293868"/>
          <w:sz w:val="28"/>
          <w:szCs w:val="28"/>
        </w:rPr>
        <w:t>February</w:t>
      </w:r>
      <w:r w:rsidR="003D312D">
        <w:rPr>
          <w:rFonts w:cs="Arial"/>
          <w:bCs/>
          <w:color w:val="293868"/>
          <w:sz w:val="28"/>
          <w:szCs w:val="28"/>
        </w:rPr>
        <w:t xml:space="preserve"> </w:t>
      </w:r>
      <w:r w:rsidR="0074546B">
        <w:rPr>
          <w:rFonts w:cs="Arial"/>
          <w:bCs/>
          <w:color w:val="293868"/>
          <w:sz w:val="28"/>
          <w:szCs w:val="28"/>
        </w:rPr>
        <w:t>202</w:t>
      </w:r>
      <w:r>
        <w:rPr>
          <w:rFonts w:cs="Arial"/>
          <w:bCs/>
          <w:color w:val="293868"/>
          <w:sz w:val="28"/>
          <w:szCs w:val="28"/>
        </w:rPr>
        <w:t>4</w:t>
      </w:r>
      <w:r w:rsidR="00EF7D5F">
        <w:rPr>
          <w:rFonts w:cs="Arial"/>
          <w:bCs/>
          <w:color w:val="293868"/>
          <w:sz w:val="28"/>
          <w:szCs w:val="28"/>
        </w:rPr>
        <w:t xml:space="preserve"> | </w:t>
      </w:r>
      <w:r>
        <w:rPr>
          <w:rFonts w:cs="Arial"/>
          <w:bCs/>
          <w:color w:val="293868"/>
          <w:sz w:val="28"/>
          <w:szCs w:val="28"/>
        </w:rPr>
        <w:t>Huitanguru</w:t>
      </w:r>
      <w:r w:rsidR="00EF7D5F">
        <w:rPr>
          <w:rFonts w:cs="Arial"/>
          <w:bCs/>
          <w:color w:val="293868"/>
          <w:sz w:val="28"/>
          <w:szCs w:val="28"/>
        </w:rPr>
        <w:t xml:space="preserve"> 202</w:t>
      </w:r>
      <w:r>
        <w:rPr>
          <w:rFonts w:cs="Arial"/>
          <w:bCs/>
          <w:color w:val="293868"/>
          <w:sz w:val="28"/>
          <w:szCs w:val="28"/>
        </w:rPr>
        <w:t>4</w:t>
      </w:r>
    </w:p>
    <w:p w14:paraId="603C6079" w14:textId="12EC9862" w:rsidR="002E1666" w:rsidRPr="004846B0" w:rsidRDefault="002E1666">
      <w:pPr>
        <w:rPr>
          <w:rFonts w:cs="Arial"/>
          <w:color w:val="365F91" w:themeColor="accent1" w:themeShade="BF"/>
          <w:sz w:val="56"/>
          <w:szCs w:val="56"/>
        </w:rPr>
      </w:pPr>
      <w:r w:rsidRPr="004846B0">
        <w:rPr>
          <w:rFonts w:cs="Arial"/>
          <w:color w:val="365F91" w:themeColor="accent1" w:themeShade="BF"/>
          <w:sz w:val="56"/>
          <w:szCs w:val="56"/>
        </w:rPr>
        <w:br w:type="page"/>
      </w:r>
    </w:p>
    <w:p w14:paraId="3026C396" w14:textId="4026099A" w:rsidR="00B87F3E" w:rsidRDefault="00B87F3E" w:rsidP="00B87F3E">
      <w:pPr>
        <w:pStyle w:val="TTCcontents"/>
      </w:pPr>
      <w:r>
        <w:lastRenderedPageBreak/>
        <w:t>Contents</w:t>
      </w:r>
    </w:p>
    <w:p w14:paraId="7EBF9B99" w14:textId="2558B9BE" w:rsidR="000D128B" w:rsidRDefault="000D5647">
      <w:pPr>
        <w:pStyle w:val="TOC1"/>
        <w:rPr>
          <w:rFonts w:asciiTheme="minorHAnsi" w:eastAsiaTheme="minorEastAsia" w:hAnsiTheme="minorHAnsi"/>
          <w:noProof/>
          <w:kern w:val="2"/>
          <w:sz w:val="24"/>
          <w:szCs w:val="24"/>
          <w:lang w:eastAsia="en-NZ"/>
          <w14:ligatures w14:val="standardContextual"/>
        </w:rPr>
      </w:pPr>
      <w:r>
        <w:fldChar w:fldCharType="begin"/>
      </w:r>
      <w:r>
        <w:instrText xml:space="preserve"> TOC \h \z \t "Te Tāhū Hauora head 1,1,Te Tāhū Hauora head 2,2" </w:instrText>
      </w:r>
      <w:r>
        <w:fldChar w:fldCharType="separate"/>
      </w:r>
      <w:hyperlink w:anchor="_Toc159235063" w:history="1">
        <w:r w:rsidR="000D128B" w:rsidRPr="00911D91">
          <w:rPr>
            <w:rStyle w:val="Hyperlink"/>
            <w:noProof/>
          </w:rPr>
          <w:t>Foreword | Kōrero takamua</w:t>
        </w:r>
        <w:r w:rsidR="000D128B">
          <w:rPr>
            <w:noProof/>
            <w:webHidden/>
          </w:rPr>
          <w:tab/>
        </w:r>
        <w:r w:rsidR="000D128B">
          <w:rPr>
            <w:noProof/>
            <w:webHidden/>
          </w:rPr>
          <w:fldChar w:fldCharType="begin"/>
        </w:r>
        <w:r w:rsidR="000D128B">
          <w:rPr>
            <w:noProof/>
            <w:webHidden/>
          </w:rPr>
          <w:instrText xml:space="preserve"> PAGEREF _Toc159235063 \h </w:instrText>
        </w:r>
        <w:r w:rsidR="000D128B">
          <w:rPr>
            <w:noProof/>
            <w:webHidden/>
          </w:rPr>
        </w:r>
        <w:r w:rsidR="000D128B">
          <w:rPr>
            <w:noProof/>
            <w:webHidden/>
          </w:rPr>
          <w:fldChar w:fldCharType="separate"/>
        </w:r>
        <w:r w:rsidR="000D128B">
          <w:rPr>
            <w:noProof/>
            <w:webHidden/>
          </w:rPr>
          <w:t>2</w:t>
        </w:r>
        <w:r w:rsidR="000D128B">
          <w:rPr>
            <w:noProof/>
            <w:webHidden/>
          </w:rPr>
          <w:fldChar w:fldCharType="end"/>
        </w:r>
      </w:hyperlink>
    </w:p>
    <w:p w14:paraId="17C138AB" w14:textId="3A201DC0" w:rsidR="000D128B" w:rsidRDefault="00000000">
      <w:pPr>
        <w:pStyle w:val="TOC2"/>
        <w:rPr>
          <w:rFonts w:asciiTheme="minorHAnsi" w:eastAsiaTheme="minorEastAsia" w:hAnsiTheme="minorHAnsi"/>
          <w:noProof/>
          <w:kern w:val="2"/>
          <w:sz w:val="24"/>
          <w:szCs w:val="24"/>
          <w:lang w:eastAsia="en-NZ"/>
          <w14:ligatures w14:val="standardContextual"/>
        </w:rPr>
      </w:pPr>
      <w:hyperlink w:anchor="_Toc159235064" w:history="1">
        <w:r w:rsidR="000D128B" w:rsidRPr="00911D91">
          <w:rPr>
            <w:rStyle w:val="Hyperlink"/>
            <w:noProof/>
          </w:rPr>
          <w:t>Definitions of terms used</w:t>
        </w:r>
        <w:r w:rsidR="000D128B">
          <w:rPr>
            <w:noProof/>
            <w:webHidden/>
          </w:rPr>
          <w:tab/>
        </w:r>
        <w:r w:rsidR="000D128B">
          <w:rPr>
            <w:noProof/>
            <w:webHidden/>
          </w:rPr>
          <w:fldChar w:fldCharType="begin"/>
        </w:r>
        <w:r w:rsidR="000D128B">
          <w:rPr>
            <w:noProof/>
            <w:webHidden/>
          </w:rPr>
          <w:instrText xml:space="preserve"> PAGEREF _Toc159235064 \h </w:instrText>
        </w:r>
        <w:r w:rsidR="000D128B">
          <w:rPr>
            <w:noProof/>
            <w:webHidden/>
          </w:rPr>
        </w:r>
        <w:r w:rsidR="000D128B">
          <w:rPr>
            <w:noProof/>
            <w:webHidden/>
          </w:rPr>
          <w:fldChar w:fldCharType="separate"/>
        </w:r>
        <w:r w:rsidR="000D128B">
          <w:rPr>
            <w:noProof/>
            <w:webHidden/>
          </w:rPr>
          <w:t>4</w:t>
        </w:r>
        <w:r w:rsidR="000D128B">
          <w:rPr>
            <w:noProof/>
            <w:webHidden/>
          </w:rPr>
          <w:fldChar w:fldCharType="end"/>
        </w:r>
      </w:hyperlink>
    </w:p>
    <w:p w14:paraId="6AA7A3CD" w14:textId="48153A56" w:rsidR="000D128B" w:rsidRDefault="00000000">
      <w:pPr>
        <w:pStyle w:val="TOC1"/>
        <w:rPr>
          <w:rFonts w:asciiTheme="minorHAnsi" w:eastAsiaTheme="minorEastAsia" w:hAnsiTheme="minorHAnsi"/>
          <w:noProof/>
          <w:kern w:val="2"/>
          <w:sz w:val="24"/>
          <w:szCs w:val="24"/>
          <w:lang w:eastAsia="en-NZ"/>
          <w14:ligatures w14:val="standardContextual"/>
        </w:rPr>
      </w:pPr>
      <w:hyperlink w:anchor="_Toc159235065" w:history="1">
        <w:r w:rsidR="000D128B" w:rsidRPr="00911D91">
          <w:rPr>
            <w:rStyle w:val="Hyperlink"/>
            <w:noProof/>
          </w:rPr>
          <w:t>Introduction | He kupu whakataki</w:t>
        </w:r>
        <w:r w:rsidR="000D128B">
          <w:rPr>
            <w:noProof/>
            <w:webHidden/>
          </w:rPr>
          <w:tab/>
        </w:r>
        <w:r w:rsidR="000D128B">
          <w:rPr>
            <w:noProof/>
            <w:webHidden/>
          </w:rPr>
          <w:fldChar w:fldCharType="begin"/>
        </w:r>
        <w:r w:rsidR="000D128B">
          <w:rPr>
            <w:noProof/>
            <w:webHidden/>
          </w:rPr>
          <w:instrText xml:space="preserve"> PAGEREF _Toc159235065 \h </w:instrText>
        </w:r>
        <w:r w:rsidR="000D128B">
          <w:rPr>
            <w:noProof/>
            <w:webHidden/>
          </w:rPr>
        </w:r>
        <w:r w:rsidR="000D128B">
          <w:rPr>
            <w:noProof/>
            <w:webHidden/>
          </w:rPr>
          <w:fldChar w:fldCharType="separate"/>
        </w:r>
        <w:r w:rsidR="000D128B">
          <w:rPr>
            <w:noProof/>
            <w:webHidden/>
          </w:rPr>
          <w:t>5</w:t>
        </w:r>
        <w:r w:rsidR="000D128B">
          <w:rPr>
            <w:noProof/>
            <w:webHidden/>
          </w:rPr>
          <w:fldChar w:fldCharType="end"/>
        </w:r>
      </w:hyperlink>
    </w:p>
    <w:p w14:paraId="3C43EBB4" w14:textId="6CC252CC" w:rsidR="000D128B" w:rsidRDefault="00000000">
      <w:pPr>
        <w:pStyle w:val="TOC2"/>
        <w:rPr>
          <w:rFonts w:asciiTheme="minorHAnsi" w:eastAsiaTheme="minorEastAsia" w:hAnsiTheme="minorHAnsi"/>
          <w:noProof/>
          <w:kern w:val="2"/>
          <w:sz w:val="24"/>
          <w:szCs w:val="24"/>
          <w:lang w:eastAsia="en-NZ"/>
          <w14:ligatures w14:val="standardContextual"/>
        </w:rPr>
      </w:pPr>
      <w:hyperlink w:anchor="_Toc159235066" w:history="1">
        <w:r w:rsidR="000D128B" w:rsidRPr="00911D91">
          <w:rPr>
            <w:rStyle w:val="Hyperlink"/>
            <w:noProof/>
          </w:rPr>
          <w:t>Policy scope</w:t>
        </w:r>
        <w:r w:rsidR="000D128B">
          <w:rPr>
            <w:noProof/>
            <w:webHidden/>
          </w:rPr>
          <w:tab/>
        </w:r>
        <w:r w:rsidR="000D128B">
          <w:rPr>
            <w:noProof/>
            <w:webHidden/>
          </w:rPr>
          <w:fldChar w:fldCharType="begin"/>
        </w:r>
        <w:r w:rsidR="000D128B">
          <w:rPr>
            <w:noProof/>
            <w:webHidden/>
          </w:rPr>
          <w:instrText xml:space="preserve"> PAGEREF _Toc159235066 \h </w:instrText>
        </w:r>
        <w:r w:rsidR="000D128B">
          <w:rPr>
            <w:noProof/>
            <w:webHidden/>
          </w:rPr>
        </w:r>
        <w:r w:rsidR="000D128B">
          <w:rPr>
            <w:noProof/>
            <w:webHidden/>
          </w:rPr>
          <w:fldChar w:fldCharType="separate"/>
        </w:r>
        <w:r w:rsidR="000D128B">
          <w:rPr>
            <w:noProof/>
            <w:webHidden/>
          </w:rPr>
          <w:t>5</w:t>
        </w:r>
        <w:r w:rsidR="000D128B">
          <w:rPr>
            <w:noProof/>
            <w:webHidden/>
          </w:rPr>
          <w:fldChar w:fldCharType="end"/>
        </w:r>
      </w:hyperlink>
    </w:p>
    <w:p w14:paraId="14B63860" w14:textId="7A5F0D54" w:rsidR="000D128B" w:rsidRDefault="00000000">
      <w:pPr>
        <w:pStyle w:val="TOC2"/>
        <w:rPr>
          <w:rFonts w:asciiTheme="minorHAnsi" w:eastAsiaTheme="minorEastAsia" w:hAnsiTheme="minorHAnsi"/>
          <w:noProof/>
          <w:kern w:val="2"/>
          <w:sz w:val="24"/>
          <w:szCs w:val="24"/>
          <w:lang w:eastAsia="en-NZ"/>
          <w14:ligatures w14:val="standardContextual"/>
        </w:rPr>
      </w:pPr>
      <w:hyperlink w:anchor="_Toc159235067" w:history="1">
        <w:r w:rsidR="000D128B" w:rsidRPr="00911D91">
          <w:rPr>
            <w:rStyle w:val="Hyperlink"/>
            <w:noProof/>
          </w:rPr>
          <w:t>Background to policy</w:t>
        </w:r>
        <w:r w:rsidR="000D128B">
          <w:rPr>
            <w:noProof/>
            <w:webHidden/>
          </w:rPr>
          <w:tab/>
        </w:r>
        <w:r w:rsidR="000D128B">
          <w:rPr>
            <w:noProof/>
            <w:webHidden/>
          </w:rPr>
          <w:fldChar w:fldCharType="begin"/>
        </w:r>
        <w:r w:rsidR="000D128B">
          <w:rPr>
            <w:noProof/>
            <w:webHidden/>
          </w:rPr>
          <w:instrText xml:space="preserve"> PAGEREF _Toc159235067 \h </w:instrText>
        </w:r>
        <w:r w:rsidR="000D128B">
          <w:rPr>
            <w:noProof/>
            <w:webHidden/>
          </w:rPr>
        </w:r>
        <w:r w:rsidR="000D128B">
          <w:rPr>
            <w:noProof/>
            <w:webHidden/>
          </w:rPr>
          <w:fldChar w:fldCharType="separate"/>
        </w:r>
        <w:r w:rsidR="000D128B">
          <w:rPr>
            <w:noProof/>
            <w:webHidden/>
          </w:rPr>
          <w:t>5</w:t>
        </w:r>
        <w:r w:rsidR="000D128B">
          <w:rPr>
            <w:noProof/>
            <w:webHidden/>
          </w:rPr>
          <w:fldChar w:fldCharType="end"/>
        </w:r>
      </w:hyperlink>
    </w:p>
    <w:p w14:paraId="2D9D8881" w14:textId="3433FCC8" w:rsidR="000D128B" w:rsidRDefault="00000000">
      <w:pPr>
        <w:pStyle w:val="TOC1"/>
        <w:rPr>
          <w:rFonts w:asciiTheme="minorHAnsi" w:eastAsiaTheme="minorEastAsia" w:hAnsiTheme="minorHAnsi"/>
          <w:noProof/>
          <w:kern w:val="2"/>
          <w:sz w:val="24"/>
          <w:szCs w:val="24"/>
          <w:lang w:eastAsia="en-NZ"/>
          <w14:ligatures w14:val="standardContextual"/>
        </w:rPr>
      </w:pPr>
      <w:hyperlink w:anchor="_Toc159235068" w:history="1">
        <w:r w:rsidR="000D128B" w:rsidRPr="00911D91">
          <w:rPr>
            <w:rStyle w:val="Hyperlink"/>
            <w:noProof/>
          </w:rPr>
          <w:t>Section 1: Legislation | Wāhanga 1: Te ture</w:t>
        </w:r>
        <w:r w:rsidR="000D128B">
          <w:rPr>
            <w:noProof/>
            <w:webHidden/>
          </w:rPr>
          <w:tab/>
        </w:r>
        <w:r w:rsidR="000D128B">
          <w:rPr>
            <w:noProof/>
            <w:webHidden/>
          </w:rPr>
          <w:fldChar w:fldCharType="begin"/>
        </w:r>
        <w:r w:rsidR="000D128B">
          <w:rPr>
            <w:noProof/>
            <w:webHidden/>
          </w:rPr>
          <w:instrText xml:space="preserve"> PAGEREF _Toc159235068 \h </w:instrText>
        </w:r>
        <w:r w:rsidR="000D128B">
          <w:rPr>
            <w:noProof/>
            <w:webHidden/>
          </w:rPr>
        </w:r>
        <w:r w:rsidR="000D128B">
          <w:rPr>
            <w:noProof/>
            <w:webHidden/>
          </w:rPr>
          <w:fldChar w:fldCharType="separate"/>
        </w:r>
        <w:r w:rsidR="000D128B">
          <w:rPr>
            <w:noProof/>
            <w:webHidden/>
          </w:rPr>
          <w:t>7</w:t>
        </w:r>
        <w:r w:rsidR="000D128B">
          <w:rPr>
            <w:noProof/>
            <w:webHidden/>
          </w:rPr>
          <w:fldChar w:fldCharType="end"/>
        </w:r>
      </w:hyperlink>
    </w:p>
    <w:p w14:paraId="0F8A773C" w14:textId="186E7F5C" w:rsidR="000D128B" w:rsidRDefault="00000000">
      <w:pPr>
        <w:pStyle w:val="TOC2"/>
        <w:rPr>
          <w:rFonts w:asciiTheme="minorHAnsi" w:eastAsiaTheme="minorEastAsia" w:hAnsiTheme="minorHAnsi"/>
          <w:noProof/>
          <w:kern w:val="2"/>
          <w:sz w:val="24"/>
          <w:szCs w:val="24"/>
          <w:lang w:eastAsia="en-NZ"/>
          <w14:ligatures w14:val="standardContextual"/>
        </w:rPr>
      </w:pPr>
      <w:hyperlink w:anchor="_Toc159235069" w:history="1">
        <w:r w:rsidR="000D128B" w:rsidRPr="00911D91">
          <w:rPr>
            <w:rStyle w:val="Hyperlink"/>
            <w:noProof/>
          </w:rPr>
          <w:t>Powers</w:t>
        </w:r>
        <w:r w:rsidR="000D128B">
          <w:rPr>
            <w:noProof/>
            <w:webHidden/>
          </w:rPr>
          <w:tab/>
        </w:r>
        <w:r w:rsidR="000D128B">
          <w:rPr>
            <w:noProof/>
            <w:webHidden/>
          </w:rPr>
          <w:fldChar w:fldCharType="begin"/>
        </w:r>
        <w:r w:rsidR="000D128B">
          <w:rPr>
            <w:noProof/>
            <w:webHidden/>
          </w:rPr>
          <w:instrText xml:space="preserve"> PAGEREF _Toc159235069 \h </w:instrText>
        </w:r>
        <w:r w:rsidR="000D128B">
          <w:rPr>
            <w:noProof/>
            <w:webHidden/>
          </w:rPr>
        </w:r>
        <w:r w:rsidR="000D128B">
          <w:rPr>
            <w:noProof/>
            <w:webHidden/>
          </w:rPr>
          <w:fldChar w:fldCharType="separate"/>
        </w:r>
        <w:r w:rsidR="000D128B">
          <w:rPr>
            <w:noProof/>
            <w:webHidden/>
          </w:rPr>
          <w:t>7</w:t>
        </w:r>
        <w:r w:rsidR="000D128B">
          <w:rPr>
            <w:noProof/>
            <w:webHidden/>
          </w:rPr>
          <w:fldChar w:fldCharType="end"/>
        </w:r>
      </w:hyperlink>
    </w:p>
    <w:p w14:paraId="4E0CFF61" w14:textId="0123DE53" w:rsidR="000D128B" w:rsidRDefault="00000000">
      <w:pPr>
        <w:pStyle w:val="TOC2"/>
        <w:rPr>
          <w:rFonts w:asciiTheme="minorHAnsi" w:eastAsiaTheme="minorEastAsia" w:hAnsiTheme="minorHAnsi"/>
          <w:noProof/>
          <w:kern w:val="2"/>
          <w:sz w:val="24"/>
          <w:szCs w:val="24"/>
          <w:lang w:eastAsia="en-NZ"/>
          <w14:ligatures w14:val="standardContextual"/>
        </w:rPr>
      </w:pPr>
      <w:hyperlink w:anchor="_Toc159235070" w:history="1">
        <w:r w:rsidR="000D128B" w:rsidRPr="00911D91">
          <w:rPr>
            <w:rStyle w:val="Hyperlink"/>
            <w:noProof/>
          </w:rPr>
          <w:t>Responsibilities</w:t>
        </w:r>
        <w:r w:rsidR="000D128B">
          <w:rPr>
            <w:noProof/>
            <w:webHidden/>
          </w:rPr>
          <w:tab/>
        </w:r>
        <w:r w:rsidR="000D128B">
          <w:rPr>
            <w:noProof/>
            <w:webHidden/>
          </w:rPr>
          <w:fldChar w:fldCharType="begin"/>
        </w:r>
        <w:r w:rsidR="000D128B">
          <w:rPr>
            <w:noProof/>
            <w:webHidden/>
          </w:rPr>
          <w:instrText xml:space="preserve"> PAGEREF _Toc159235070 \h </w:instrText>
        </w:r>
        <w:r w:rsidR="000D128B">
          <w:rPr>
            <w:noProof/>
            <w:webHidden/>
          </w:rPr>
        </w:r>
        <w:r w:rsidR="000D128B">
          <w:rPr>
            <w:noProof/>
            <w:webHidden/>
          </w:rPr>
          <w:fldChar w:fldCharType="separate"/>
        </w:r>
        <w:r w:rsidR="000D128B">
          <w:rPr>
            <w:noProof/>
            <w:webHidden/>
          </w:rPr>
          <w:t>7</w:t>
        </w:r>
        <w:r w:rsidR="000D128B">
          <w:rPr>
            <w:noProof/>
            <w:webHidden/>
          </w:rPr>
          <w:fldChar w:fldCharType="end"/>
        </w:r>
      </w:hyperlink>
    </w:p>
    <w:p w14:paraId="63AE0A1F" w14:textId="091E7EFE" w:rsidR="000D128B" w:rsidRDefault="00000000">
      <w:pPr>
        <w:pStyle w:val="TOC2"/>
        <w:rPr>
          <w:rFonts w:asciiTheme="minorHAnsi" w:eastAsiaTheme="minorEastAsia" w:hAnsiTheme="minorHAnsi"/>
          <w:noProof/>
          <w:kern w:val="2"/>
          <w:sz w:val="24"/>
          <w:szCs w:val="24"/>
          <w:lang w:eastAsia="en-NZ"/>
          <w14:ligatures w14:val="standardContextual"/>
        </w:rPr>
      </w:pPr>
      <w:hyperlink w:anchor="_Toc159235071" w:history="1">
        <w:r w:rsidR="000D128B" w:rsidRPr="00911D91">
          <w:rPr>
            <w:rStyle w:val="Hyperlink"/>
            <w:noProof/>
          </w:rPr>
          <w:t>Governance of Māori data</w:t>
        </w:r>
        <w:r w:rsidR="000D128B">
          <w:rPr>
            <w:noProof/>
            <w:webHidden/>
          </w:rPr>
          <w:tab/>
        </w:r>
        <w:r w:rsidR="000D128B">
          <w:rPr>
            <w:noProof/>
            <w:webHidden/>
          </w:rPr>
          <w:fldChar w:fldCharType="begin"/>
        </w:r>
        <w:r w:rsidR="000D128B">
          <w:rPr>
            <w:noProof/>
            <w:webHidden/>
          </w:rPr>
          <w:instrText xml:space="preserve"> PAGEREF _Toc159235071 \h </w:instrText>
        </w:r>
        <w:r w:rsidR="000D128B">
          <w:rPr>
            <w:noProof/>
            <w:webHidden/>
          </w:rPr>
        </w:r>
        <w:r w:rsidR="000D128B">
          <w:rPr>
            <w:noProof/>
            <w:webHidden/>
          </w:rPr>
          <w:fldChar w:fldCharType="separate"/>
        </w:r>
        <w:r w:rsidR="000D128B">
          <w:rPr>
            <w:noProof/>
            <w:webHidden/>
          </w:rPr>
          <w:t>8</w:t>
        </w:r>
        <w:r w:rsidR="000D128B">
          <w:rPr>
            <w:noProof/>
            <w:webHidden/>
          </w:rPr>
          <w:fldChar w:fldCharType="end"/>
        </w:r>
      </w:hyperlink>
    </w:p>
    <w:p w14:paraId="26C737F5" w14:textId="31D81089" w:rsidR="000D128B" w:rsidRDefault="00000000">
      <w:pPr>
        <w:pStyle w:val="TOC1"/>
        <w:rPr>
          <w:rFonts w:asciiTheme="minorHAnsi" w:eastAsiaTheme="minorEastAsia" w:hAnsiTheme="minorHAnsi"/>
          <w:noProof/>
          <w:kern w:val="2"/>
          <w:sz w:val="24"/>
          <w:szCs w:val="24"/>
          <w:lang w:eastAsia="en-NZ"/>
          <w14:ligatures w14:val="standardContextual"/>
        </w:rPr>
      </w:pPr>
      <w:hyperlink w:anchor="_Toc159235072" w:history="1">
        <w:r w:rsidR="000D128B" w:rsidRPr="00911D91">
          <w:rPr>
            <w:rStyle w:val="Hyperlink"/>
            <w:noProof/>
          </w:rPr>
          <w:t>Section 2: Access to and analysis and publication of NMRC data and information | Wāhanga 2: Te tiki atu, te tātari rauranga hoki me te mōhiohio a te NMRC</w:t>
        </w:r>
        <w:r w:rsidR="000D128B">
          <w:rPr>
            <w:noProof/>
            <w:webHidden/>
          </w:rPr>
          <w:tab/>
        </w:r>
        <w:r w:rsidR="000D128B">
          <w:rPr>
            <w:noProof/>
            <w:webHidden/>
          </w:rPr>
          <w:fldChar w:fldCharType="begin"/>
        </w:r>
        <w:r w:rsidR="000D128B">
          <w:rPr>
            <w:noProof/>
            <w:webHidden/>
          </w:rPr>
          <w:instrText xml:space="preserve"> PAGEREF _Toc159235072 \h </w:instrText>
        </w:r>
        <w:r w:rsidR="000D128B">
          <w:rPr>
            <w:noProof/>
            <w:webHidden/>
          </w:rPr>
        </w:r>
        <w:r w:rsidR="000D128B">
          <w:rPr>
            <w:noProof/>
            <w:webHidden/>
          </w:rPr>
          <w:fldChar w:fldCharType="separate"/>
        </w:r>
        <w:r w:rsidR="000D128B">
          <w:rPr>
            <w:noProof/>
            <w:webHidden/>
          </w:rPr>
          <w:t>11</w:t>
        </w:r>
        <w:r w:rsidR="000D128B">
          <w:rPr>
            <w:noProof/>
            <w:webHidden/>
          </w:rPr>
          <w:fldChar w:fldCharType="end"/>
        </w:r>
      </w:hyperlink>
    </w:p>
    <w:p w14:paraId="43BA6CAC" w14:textId="2D85D2D5" w:rsidR="000D128B" w:rsidRDefault="00000000">
      <w:pPr>
        <w:pStyle w:val="TOC2"/>
        <w:rPr>
          <w:rFonts w:asciiTheme="minorHAnsi" w:eastAsiaTheme="minorEastAsia" w:hAnsiTheme="minorHAnsi"/>
          <w:noProof/>
          <w:kern w:val="2"/>
          <w:sz w:val="24"/>
          <w:szCs w:val="24"/>
          <w:lang w:eastAsia="en-NZ"/>
          <w14:ligatures w14:val="standardContextual"/>
        </w:rPr>
      </w:pPr>
      <w:hyperlink w:anchor="_Toc159235073" w:history="1">
        <w:r w:rsidR="000D128B" w:rsidRPr="00911D91">
          <w:rPr>
            <w:rStyle w:val="Hyperlink"/>
            <w:noProof/>
          </w:rPr>
          <w:t>Demonstrate a safe process</w:t>
        </w:r>
        <w:r w:rsidR="000D128B">
          <w:rPr>
            <w:noProof/>
            <w:webHidden/>
          </w:rPr>
          <w:tab/>
        </w:r>
        <w:r w:rsidR="000D128B">
          <w:rPr>
            <w:noProof/>
            <w:webHidden/>
          </w:rPr>
          <w:fldChar w:fldCharType="begin"/>
        </w:r>
        <w:r w:rsidR="000D128B">
          <w:rPr>
            <w:noProof/>
            <w:webHidden/>
          </w:rPr>
          <w:instrText xml:space="preserve"> PAGEREF _Toc159235073 \h </w:instrText>
        </w:r>
        <w:r w:rsidR="000D128B">
          <w:rPr>
            <w:noProof/>
            <w:webHidden/>
          </w:rPr>
        </w:r>
        <w:r w:rsidR="000D128B">
          <w:rPr>
            <w:noProof/>
            <w:webHidden/>
          </w:rPr>
          <w:fldChar w:fldCharType="separate"/>
        </w:r>
        <w:r w:rsidR="000D128B">
          <w:rPr>
            <w:noProof/>
            <w:webHidden/>
          </w:rPr>
          <w:t>11</w:t>
        </w:r>
        <w:r w:rsidR="000D128B">
          <w:rPr>
            <w:noProof/>
            <w:webHidden/>
          </w:rPr>
          <w:fldChar w:fldCharType="end"/>
        </w:r>
      </w:hyperlink>
    </w:p>
    <w:p w14:paraId="61E7E4F0" w14:textId="2F6FD338" w:rsidR="000D128B" w:rsidRDefault="00000000">
      <w:pPr>
        <w:pStyle w:val="TOC2"/>
        <w:rPr>
          <w:rFonts w:asciiTheme="minorHAnsi" w:eastAsiaTheme="minorEastAsia" w:hAnsiTheme="minorHAnsi"/>
          <w:noProof/>
          <w:kern w:val="2"/>
          <w:sz w:val="24"/>
          <w:szCs w:val="24"/>
          <w:lang w:eastAsia="en-NZ"/>
          <w14:ligatures w14:val="standardContextual"/>
        </w:rPr>
      </w:pPr>
      <w:hyperlink w:anchor="_Toc159235074" w:history="1">
        <w:r w:rsidR="000D128B" w:rsidRPr="00911D91">
          <w:rPr>
            <w:rStyle w:val="Hyperlink"/>
            <w:noProof/>
          </w:rPr>
          <w:t>Application procedure</w:t>
        </w:r>
        <w:r w:rsidR="000D128B">
          <w:rPr>
            <w:noProof/>
            <w:webHidden/>
          </w:rPr>
          <w:tab/>
        </w:r>
        <w:r w:rsidR="000D128B">
          <w:rPr>
            <w:noProof/>
            <w:webHidden/>
          </w:rPr>
          <w:fldChar w:fldCharType="begin"/>
        </w:r>
        <w:r w:rsidR="000D128B">
          <w:rPr>
            <w:noProof/>
            <w:webHidden/>
          </w:rPr>
          <w:instrText xml:space="preserve"> PAGEREF _Toc159235074 \h </w:instrText>
        </w:r>
        <w:r w:rsidR="000D128B">
          <w:rPr>
            <w:noProof/>
            <w:webHidden/>
          </w:rPr>
        </w:r>
        <w:r w:rsidR="000D128B">
          <w:rPr>
            <w:noProof/>
            <w:webHidden/>
          </w:rPr>
          <w:fldChar w:fldCharType="separate"/>
        </w:r>
        <w:r w:rsidR="000D128B">
          <w:rPr>
            <w:noProof/>
            <w:webHidden/>
          </w:rPr>
          <w:t>13</w:t>
        </w:r>
        <w:r w:rsidR="000D128B">
          <w:rPr>
            <w:noProof/>
            <w:webHidden/>
          </w:rPr>
          <w:fldChar w:fldCharType="end"/>
        </w:r>
      </w:hyperlink>
    </w:p>
    <w:p w14:paraId="1846BEF4" w14:textId="464AFA29" w:rsidR="000D128B" w:rsidRDefault="00000000">
      <w:pPr>
        <w:pStyle w:val="TOC2"/>
        <w:rPr>
          <w:rFonts w:asciiTheme="minorHAnsi" w:eastAsiaTheme="minorEastAsia" w:hAnsiTheme="minorHAnsi"/>
          <w:noProof/>
          <w:kern w:val="2"/>
          <w:sz w:val="24"/>
          <w:szCs w:val="24"/>
          <w:lang w:eastAsia="en-NZ"/>
          <w14:ligatures w14:val="standardContextual"/>
        </w:rPr>
      </w:pPr>
      <w:hyperlink w:anchor="_Toc159235075" w:history="1">
        <w:r w:rsidR="000D128B" w:rsidRPr="00911D91">
          <w:rPr>
            <w:rStyle w:val="Hyperlink"/>
            <w:noProof/>
          </w:rPr>
          <w:t>Agents of the NMRC</w:t>
        </w:r>
        <w:r w:rsidR="000D128B">
          <w:rPr>
            <w:noProof/>
            <w:webHidden/>
          </w:rPr>
          <w:tab/>
        </w:r>
        <w:r w:rsidR="000D128B">
          <w:rPr>
            <w:noProof/>
            <w:webHidden/>
          </w:rPr>
          <w:fldChar w:fldCharType="begin"/>
        </w:r>
        <w:r w:rsidR="000D128B">
          <w:rPr>
            <w:noProof/>
            <w:webHidden/>
          </w:rPr>
          <w:instrText xml:space="preserve"> PAGEREF _Toc159235075 \h </w:instrText>
        </w:r>
        <w:r w:rsidR="000D128B">
          <w:rPr>
            <w:noProof/>
            <w:webHidden/>
          </w:rPr>
        </w:r>
        <w:r w:rsidR="000D128B">
          <w:rPr>
            <w:noProof/>
            <w:webHidden/>
          </w:rPr>
          <w:fldChar w:fldCharType="separate"/>
        </w:r>
        <w:r w:rsidR="000D128B">
          <w:rPr>
            <w:noProof/>
            <w:webHidden/>
          </w:rPr>
          <w:t>15</w:t>
        </w:r>
        <w:r w:rsidR="000D128B">
          <w:rPr>
            <w:noProof/>
            <w:webHidden/>
          </w:rPr>
          <w:fldChar w:fldCharType="end"/>
        </w:r>
      </w:hyperlink>
    </w:p>
    <w:p w14:paraId="6D186277" w14:textId="4C97185A" w:rsidR="000D128B" w:rsidRDefault="00000000">
      <w:pPr>
        <w:pStyle w:val="TOC2"/>
        <w:rPr>
          <w:rFonts w:asciiTheme="minorHAnsi" w:eastAsiaTheme="minorEastAsia" w:hAnsiTheme="minorHAnsi"/>
          <w:noProof/>
          <w:kern w:val="2"/>
          <w:sz w:val="24"/>
          <w:szCs w:val="24"/>
          <w:lang w:eastAsia="en-NZ"/>
          <w14:ligatures w14:val="standardContextual"/>
        </w:rPr>
      </w:pPr>
      <w:hyperlink w:anchor="_Toc159235076" w:history="1">
        <w:r w:rsidR="000D128B" w:rsidRPr="00911D91">
          <w:rPr>
            <w:rStyle w:val="Hyperlink"/>
            <w:noProof/>
          </w:rPr>
          <w:t>Timing of access</w:t>
        </w:r>
        <w:r w:rsidR="000D128B">
          <w:rPr>
            <w:noProof/>
            <w:webHidden/>
          </w:rPr>
          <w:tab/>
        </w:r>
        <w:r w:rsidR="000D128B">
          <w:rPr>
            <w:noProof/>
            <w:webHidden/>
          </w:rPr>
          <w:fldChar w:fldCharType="begin"/>
        </w:r>
        <w:r w:rsidR="000D128B">
          <w:rPr>
            <w:noProof/>
            <w:webHidden/>
          </w:rPr>
          <w:instrText xml:space="preserve"> PAGEREF _Toc159235076 \h </w:instrText>
        </w:r>
        <w:r w:rsidR="000D128B">
          <w:rPr>
            <w:noProof/>
            <w:webHidden/>
          </w:rPr>
        </w:r>
        <w:r w:rsidR="000D128B">
          <w:rPr>
            <w:noProof/>
            <w:webHidden/>
          </w:rPr>
          <w:fldChar w:fldCharType="separate"/>
        </w:r>
        <w:r w:rsidR="000D128B">
          <w:rPr>
            <w:noProof/>
            <w:webHidden/>
          </w:rPr>
          <w:t>16</w:t>
        </w:r>
        <w:r w:rsidR="000D128B">
          <w:rPr>
            <w:noProof/>
            <w:webHidden/>
          </w:rPr>
          <w:fldChar w:fldCharType="end"/>
        </w:r>
      </w:hyperlink>
    </w:p>
    <w:p w14:paraId="5B86688A" w14:textId="02B6B9B2" w:rsidR="000D128B" w:rsidRDefault="00000000">
      <w:pPr>
        <w:pStyle w:val="TOC2"/>
        <w:rPr>
          <w:rFonts w:asciiTheme="minorHAnsi" w:eastAsiaTheme="minorEastAsia" w:hAnsiTheme="minorHAnsi"/>
          <w:noProof/>
          <w:kern w:val="2"/>
          <w:sz w:val="24"/>
          <w:szCs w:val="24"/>
          <w:lang w:eastAsia="en-NZ"/>
          <w14:ligatures w14:val="standardContextual"/>
        </w:rPr>
      </w:pPr>
      <w:hyperlink w:anchor="_Toc159235077" w:history="1">
        <w:r w:rsidR="000D128B" w:rsidRPr="00911D91">
          <w:rPr>
            <w:rStyle w:val="Hyperlink"/>
            <w:noProof/>
          </w:rPr>
          <w:t>Using the data and information</w:t>
        </w:r>
        <w:r w:rsidR="000D128B">
          <w:rPr>
            <w:noProof/>
            <w:webHidden/>
          </w:rPr>
          <w:tab/>
        </w:r>
        <w:r w:rsidR="000D128B">
          <w:rPr>
            <w:noProof/>
            <w:webHidden/>
          </w:rPr>
          <w:fldChar w:fldCharType="begin"/>
        </w:r>
        <w:r w:rsidR="000D128B">
          <w:rPr>
            <w:noProof/>
            <w:webHidden/>
          </w:rPr>
          <w:instrText xml:space="preserve"> PAGEREF _Toc159235077 \h </w:instrText>
        </w:r>
        <w:r w:rsidR="000D128B">
          <w:rPr>
            <w:noProof/>
            <w:webHidden/>
          </w:rPr>
        </w:r>
        <w:r w:rsidR="000D128B">
          <w:rPr>
            <w:noProof/>
            <w:webHidden/>
          </w:rPr>
          <w:fldChar w:fldCharType="separate"/>
        </w:r>
        <w:r w:rsidR="000D128B">
          <w:rPr>
            <w:noProof/>
            <w:webHidden/>
          </w:rPr>
          <w:t>16</w:t>
        </w:r>
        <w:r w:rsidR="000D128B">
          <w:rPr>
            <w:noProof/>
            <w:webHidden/>
          </w:rPr>
          <w:fldChar w:fldCharType="end"/>
        </w:r>
      </w:hyperlink>
    </w:p>
    <w:p w14:paraId="4E6552F8" w14:textId="1154B53D" w:rsidR="000D128B" w:rsidRDefault="00000000">
      <w:pPr>
        <w:pStyle w:val="TOC2"/>
        <w:rPr>
          <w:rFonts w:asciiTheme="minorHAnsi" w:eastAsiaTheme="minorEastAsia" w:hAnsiTheme="minorHAnsi"/>
          <w:noProof/>
          <w:kern w:val="2"/>
          <w:sz w:val="24"/>
          <w:szCs w:val="24"/>
          <w:lang w:eastAsia="en-NZ"/>
          <w14:ligatures w14:val="standardContextual"/>
        </w:rPr>
      </w:pPr>
      <w:hyperlink w:anchor="_Toc159235078" w:history="1">
        <w:r w:rsidR="000D128B" w:rsidRPr="00911D91">
          <w:rPr>
            <w:rStyle w:val="Hyperlink"/>
            <w:noProof/>
          </w:rPr>
          <w:t>Disseminating results</w:t>
        </w:r>
        <w:r w:rsidR="000D128B">
          <w:rPr>
            <w:noProof/>
            <w:webHidden/>
          </w:rPr>
          <w:tab/>
        </w:r>
        <w:r w:rsidR="000D128B">
          <w:rPr>
            <w:noProof/>
            <w:webHidden/>
          </w:rPr>
          <w:fldChar w:fldCharType="begin"/>
        </w:r>
        <w:r w:rsidR="000D128B">
          <w:rPr>
            <w:noProof/>
            <w:webHidden/>
          </w:rPr>
          <w:instrText xml:space="preserve"> PAGEREF _Toc159235078 \h </w:instrText>
        </w:r>
        <w:r w:rsidR="000D128B">
          <w:rPr>
            <w:noProof/>
            <w:webHidden/>
          </w:rPr>
        </w:r>
        <w:r w:rsidR="000D128B">
          <w:rPr>
            <w:noProof/>
            <w:webHidden/>
          </w:rPr>
          <w:fldChar w:fldCharType="separate"/>
        </w:r>
        <w:r w:rsidR="000D128B">
          <w:rPr>
            <w:noProof/>
            <w:webHidden/>
          </w:rPr>
          <w:t>17</w:t>
        </w:r>
        <w:r w:rsidR="000D128B">
          <w:rPr>
            <w:noProof/>
            <w:webHidden/>
          </w:rPr>
          <w:fldChar w:fldCharType="end"/>
        </w:r>
      </w:hyperlink>
    </w:p>
    <w:p w14:paraId="202CCFF5" w14:textId="45FF4E81" w:rsidR="000D128B" w:rsidRDefault="00000000">
      <w:pPr>
        <w:pStyle w:val="TOC2"/>
        <w:rPr>
          <w:rFonts w:asciiTheme="minorHAnsi" w:eastAsiaTheme="minorEastAsia" w:hAnsiTheme="minorHAnsi"/>
          <w:noProof/>
          <w:kern w:val="2"/>
          <w:sz w:val="24"/>
          <w:szCs w:val="24"/>
          <w:lang w:eastAsia="en-NZ"/>
          <w14:ligatures w14:val="standardContextual"/>
        </w:rPr>
      </w:pPr>
      <w:hyperlink w:anchor="_Toc159235079" w:history="1">
        <w:r w:rsidR="000D128B" w:rsidRPr="00911D91">
          <w:rPr>
            <w:rStyle w:val="Hyperlink"/>
            <w:noProof/>
          </w:rPr>
          <w:t>Destroying the data and information</w:t>
        </w:r>
        <w:r w:rsidR="000D128B">
          <w:rPr>
            <w:noProof/>
            <w:webHidden/>
          </w:rPr>
          <w:tab/>
        </w:r>
        <w:r w:rsidR="000D128B">
          <w:rPr>
            <w:noProof/>
            <w:webHidden/>
          </w:rPr>
          <w:fldChar w:fldCharType="begin"/>
        </w:r>
        <w:r w:rsidR="000D128B">
          <w:rPr>
            <w:noProof/>
            <w:webHidden/>
          </w:rPr>
          <w:instrText xml:space="preserve"> PAGEREF _Toc159235079 \h </w:instrText>
        </w:r>
        <w:r w:rsidR="000D128B">
          <w:rPr>
            <w:noProof/>
            <w:webHidden/>
          </w:rPr>
        </w:r>
        <w:r w:rsidR="000D128B">
          <w:rPr>
            <w:noProof/>
            <w:webHidden/>
          </w:rPr>
          <w:fldChar w:fldCharType="separate"/>
        </w:r>
        <w:r w:rsidR="000D128B">
          <w:rPr>
            <w:noProof/>
            <w:webHidden/>
          </w:rPr>
          <w:t>17</w:t>
        </w:r>
        <w:r w:rsidR="000D128B">
          <w:rPr>
            <w:noProof/>
            <w:webHidden/>
          </w:rPr>
          <w:fldChar w:fldCharType="end"/>
        </w:r>
      </w:hyperlink>
    </w:p>
    <w:p w14:paraId="7232B800" w14:textId="1688F286" w:rsidR="000D128B" w:rsidRDefault="00000000">
      <w:pPr>
        <w:pStyle w:val="TOC1"/>
        <w:rPr>
          <w:rFonts w:asciiTheme="minorHAnsi" w:eastAsiaTheme="minorEastAsia" w:hAnsiTheme="minorHAnsi"/>
          <w:noProof/>
          <w:kern w:val="2"/>
          <w:sz w:val="24"/>
          <w:szCs w:val="24"/>
          <w:lang w:eastAsia="en-NZ"/>
          <w14:ligatures w14:val="standardContextual"/>
        </w:rPr>
      </w:pPr>
      <w:hyperlink w:anchor="_Toc159235080" w:history="1">
        <w:r w:rsidR="000D128B" w:rsidRPr="00911D91">
          <w:rPr>
            <w:rStyle w:val="Hyperlink"/>
            <w:noProof/>
          </w:rPr>
          <w:t>The importance of supervision and support | He mea nui te arataki me te tautoko</w:t>
        </w:r>
        <w:r w:rsidR="000D128B">
          <w:rPr>
            <w:noProof/>
            <w:webHidden/>
          </w:rPr>
          <w:tab/>
        </w:r>
        <w:r w:rsidR="000D128B">
          <w:rPr>
            <w:noProof/>
            <w:webHidden/>
          </w:rPr>
          <w:fldChar w:fldCharType="begin"/>
        </w:r>
        <w:r w:rsidR="000D128B">
          <w:rPr>
            <w:noProof/>
            <w:webHidden/>
          </w:rPr>
          <w:instrText xml:space="preserve"> PAGEREF _Toc159235080 \h </w:instrText>
        </w:r>
        <w:r w:rsidR="000D128B">
          <w:rPr>
            <w:noProof/>
            <w:webHidden/>
          </w:rPr>
        </w:r>
        <w:r w:rsidR="000D128B">
          <w:rPr>
            <w:noProof/>
            <w:webHidden/>
          </w:rPr>
          <w:fldChar w:fldCharType="separate"/>
        </w:r>
        <w:r w:rsidR="000D128B">
          <w:rPr>
            <w:noProof/>
            <w:webHidden/>
          </w:rPr>
          <w:t>18</w:t>
        </w:r>
        <w:r w:rsidR="000D128B">
          <w:rPr>
            <w:noProof/>
            <w:webHidden/>
          </w:rPr>
          <w:fldChar w:fldCharType="end"/>
        </w:r>
      </w:hyperlink>
    </w:p>
    <w:p w14:paraId="761328FA" w14:textId="1EC9DB94" w:rsidR="00B87F3E" w:rsidRDefault="000D5647" w:rsidP="00B87F3E">
      <w:r>
        <w:fldChar w:fldCharType="end"/>
      </w:r>
    </w:p>
    <w:p w14:paraId="6A768224" w14:textId="4EEC202C" w:rsidR="00B87F3E" w:rsidRDefault="00B87F3E" w:rsidP="00B87F3E">
      <w:pPr>
        <w:pStyle w:val="BodyText"/>
      </w:pPr>
      <w:r w:rsidRPr="00052E86">
        <w:t xml:space="preserve">Published </w:t>
      </w:r>
      <w:r>
        <w:t xml:space="preserve">in </w:t>
      </w:r>
      <w:r w:rsidR="00A15221">
        <w:t>Febr</w:t>
      </w:r>
      <w:r w:rsidR="00165CA4">
        <w:t>uary 2024</w:t>
      </w:r>
      <w:r>
        <w:t xml:space="preserve"> by Te Tāhū Hauora Health Quality &amp; Safety Commission, PO</w:t>
      </w:r>
      <w:r w:rsidR="003B7ACE">
        <w:t> </w:t>
      </w:r>
      <w:r>
        <w:t>Box 25496, Te Whanganui-a-Tara Wellington, 6146.</w:t>
      </w:r>
    </w:p>
    <w:p w14:paraId="3CC4F61B" w14:textId="5EAD8364" w:rsidR="00B87F3E" w:rsidRPr="00052E86" w:rsidRDefault="00B87F3E" w:rsidP="00B87F3E">
      <w:pPr>
        <w:pStyle w:val="BodyText"/>
      </w:pPr>
      <w:r>
        <w:t xml:space="preserve">ISBN </w:t>
      </w:r>
      <w:r w:rsidRPr="00B0702E">
        <w:t>978-1-991122-04-9</w:t>
      </w:r>
      <w:r>
        <w:t xml:space="preserve"> (online)</w:t>
      </w:r>
    </w:p>
    <w:p w14:paraId="6B225015" w14:textId="77777777" w:rsidR="00B87F3E" w:rsidRPr="00052E86" w:rsidRDefault="00B87F3E" w:rsidP="00B87F3E">
      <w:pPr>
        <w:pStyle w:val="BodyText"/>
      </w:pPr>
      <w:r w:rsidRPr="00052E86">
        <w:t xml:space="preserve">Available online at </w:t>
      </w:r>
      <w:hyperlink r:id="rId13" w:history="1">
        <w:r w:rsidRPr="00052E86">
          <w:rPr>
            <w:rStyle w:val="Hyperlink"/>
          </w:rPr>
          <w:t>www.hqsc.govt.nz</w:t>
        </w:r>
      </w:hyperlink>
    </w:p>
    <w:p w14:paraId="1E673383" w14:textId="77777777" w:rsidR="00B87F3E" w:rsidRDefault="00B87F3E" w:rsidP="00B87F3E">
      <w:pPr>
        <w:pStyle w:val="BodyText"/>
      </w:pPr>
      <w:r w:rsidRPr="00052E86">
        <w:t xml:space="preserve">Enquiries to: </w:t>
      </w:r>
      <w:hyperlink r:id="rId14" w:history="1">
        <w:r w:rsidRPr="00A45102">
          <w:rPr>
            <w:rStyle w:val="Hyperlink"/>
          </w:rPr>
          <w:t>info@hqsc.govt.nz</w:t>
        </w:r>
      </w:hyperlink>
    </w:p>
    <w:p w14:paraId="60003F80" w14:textId="577BFF94" w:rsidR="00B87F3E" w:rsidRDefault="00B87F3E" w:rsidP="00B87F3E">
      <w:pPr>
        <w:pStyle w:val="BodyText"/>
        <w:rPr>
          <w:rStyle w:val="Hyperlink"/>
        </w:rPr>
      </w:pPr>
      <w:r>
        <w:rPr>
          <w:noProof/>
        </w:rPr>
        <w:drawing>
          <wp:anchor distT="0" distB="0" distL="114300" distR="114300" simplePos="0" relativeHeight="251658241" behindDoc="1" locked="0" layoutInCell="1" allowOverlap="1" wp14:anchorId="0490FAA1" wp14:editId="4A359408">
            <wp:simplePos x="0" y="0"/>
            <wp:positionH relativeFrom="margin">
              <wp:align>right</wp:align>
            </wp:positionH>
            <wp:positionV relativeFrom="paragraph">
              <wp:posOffset>59055</wp:posOffset>
            </wp:positionV>
            <wp:extent cx="1401445" cy="488950"/>
            <wp:effectExtent l="0" t="0" r="8255" b="6350"/>
            <wp:wrapTight wrapText="bothSides">
              <wp:wrapPolygon edited="0">
                <wp:start x="0" y="0"/>
                <wp:lineTo x="0" y="21039"/>
                <wp:lineTo x="21434" y="21039"/>
                <wp:lineTo x="21434" y="0"/>
                <wp:lineTo x="0" y="0"/>
              </wp:wrapPolygon>
            </wp:wrapTight>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1445" cy="488950"/>
                    </a:xfrm>
                    <a:prstGeom prst="rect">
                      <a:avLst/>
                    </a:prstGeom>
                  </pic:spPr>
                </pic:pic>
              </a:graphicData>
            </a:graphic>
            <wp14:sizeRelH relativeFrom="margin">
              <wp14:pctWidth>0</wp14:pctWidth>
            </wp14:sizeRelH>
            <wp14:sizeRelV relativeFrom="margin">
              <wp14:pctHeight>0</wp14:pctHeight>
            </wp14:sizeRelV>
          </wp:anchor>
        </w:drawing>
      </w:r>
      <w:r>
        <w:t xml:space="preserve">This work is licensed under the Creative Commons </w:t>
      </w:r>
      <w:proofErr w:type="spellStart"/>
      <w:r>
        <w:t>AttributionNonCommercial-ShareAlike</w:t>
      </w:r>
      <w:proofErr w:type="spellEnd"/>
      <w:r>
        <w:t xml:space="preserve"> 4.0 International </w:t>
      </w:r>
      <w:r>
        <w:br/>
        <w:t xml:space="preserve">(CC BY-NC-SA 4.0). To view a copy of this licence, visit </w:t>
      </w:r>
      <w:hyperlink r:id="rId16" w:history="1">
        <w:r w:rsidRPr="00A45102">
          <w:rPr>
            <w:rStyle w:val="Hyperlink"/>
          </w:rPr>
          <w:t>creativecommons.org/licenses/by-</w:t>
        </w:r>
        <w:proofErr w:type="spellStart"/>
        <w:r w:rsidRPr="00A45102">
          <w:rPr>
            <w:rStyle w:val="Hyperlink"/>
          </w:rPr>
          <w:t>nc</w:t>
        </w:r>
        <w:proofErr w:type="spellEnd"/>
        <w:r w:rsidRPr="00A45102">
          <w:rPr>
            <w:rStyle w:val="Hyperlink"/>
          </w:rPr>
          <w:t>-</w:t>
        </w:r>
        <w:proofErr w:type="spellStart"/>
        <w:r w:rsidRPr="00A45102">
          <w:rPr>
            <w:rStyle w:val="Hyperlink"/>
          </w:rPr>
          <w:t>sa</w:t>
        </w:r>
        <w:proofErr w:type="spellEnd"/>
        <w:r w:rsidRPr="00A45102">
          <w:rPr>
            <w:rStyle w:val="Hyperlink"/>
          </w:rPr>
          <w:t>/4.0</w:t>
        </w:r>
      </w:hyperlink>
    </w:p>
    <w:p w14:paraId="7FD7C982" w14:textId="2E2F0038" w:rsidR="00B87F3E" w:rsidRDefault="00B87F3E" w:rsidP="00B87F3E">
      <w:pPr>
        <w:pStyle w:val="BodyText"/>
      </w:pPr>
    </w:p>
    <w:p w14:paraId="7F0B0293" w14:textId="013A8ADF" w:rsidR="00B87F3E" w:rsidRDefault="005E46BD" w:rsidP="00B87F3E">
      <w:r>
        <w:rPr>
          <w:noProof/>
        </w:rPr>
        <w:drawing>
          <wp:inline distT="0" distB="0" distL="0" distR="0" wp14:anchorId="3DEE486E" wp14:editId="795D7F5F">
            <wp:extent cx="1613298" cy="609142"/>
            <wp:effectExtent l="0" t="0" r="6350" b="635"/>
            <wp:docPr id="9" name="Picture 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ig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49476" cy="622802"/>
                    </a:xfrm>
                    <a:prstGeom prst="rect">
                      <a:avLst/>
                    </a:prstGeom>
                  </pic:spPr>
                </pic:pic>
              </a:graphicData>
            </a:graphic>
          </wp:inline>
        </w:drawing>
      </w:r>
    </w:p>
    <w:p w14:paraId="17645350" w14:textId="338A091F" w:rsidR="00D12FC1" w:rsidRDefault="00A379FF" w:rsidP="00A313E6">
      <w:pPr>
        <w:pStyle w:val="TeThHauorahead1"/>
      </w:pPr>
      <w:bookmarkStart w:id="6" w:name="_Toc159235063"/>
      <w:r>
        <w:lastRenderedPageBreak/>
        <w:t>Foreword</w:t>
      </w:r>
      <w:r w:rsidR="00EF7D5F">
        <w:t xml:space="preserve"> | Kōrero</w:t>
      </w:r>
      <w:r w:rsidR="009018BE">
        <w:t xml:space="preserve"> </w:t>
      </w:r>
      <w:proofErr w:type="spellStart"/>
      <w:r w:rsidR="009018BE">
        <w:t>takamua</w:t>
      </w:r>
      <w:bookmarkEnd w:id="6"/>
      <w:proofErr w:type="spellEnd"/>
    </w:p>
    <w:p w14:paraId="297D57CB" w14:textId="364A4B57" w:rsidR="006F10BE" w:rsidRPr="00CE354C" w:rsidRDefault="006F10BE" w:rsidP="009018BE">
      <w:pPr>
        <w:pStyle w:val="TeThHauoraindentedquote"/>
        <w:rPr>
          <w:lang w:eastAsia="en-NZ"/>
        </w:rPr>
      </w:pPr>
      <w:r w:rsidRPr="00CE354C">
        <w:rPr>
          <w:lang w:eastAsia="en-NZ"/>
        </w:rPr>
        <w:t>Any information – data, stories, the tears shed by wh</w:t>
      </w:r>
      <w:r>
        <w:rPr>
          <w:lang w:eastAsia="en-NZ"/>
        </w:rPr>
        <w:t>ā</w:t>
      </w:r>
      <w:r w:rsidRPr="00CE354C">
        <w:rPr>
          <w:lang w:eastAsia="en-NZ"/>
        </w:rPr>
        <w:t>nau – about the lives of people who have died prematurely is about knowing that these people have passed too soon. Their lives, their potential and the generations that may have borne their whakapapa have been foreshortened. In mortality review, we are charged with looking back to understand what was going on for those who died. Guiding this work is the hope that we – the communities and systems that support people’s lives – can be at our most helpful and supportive</w:t>
      </w:r>
      <w:r>
        <w:rPr>
          <w:lang w:eastAsia="en-NZ"/>
        </w:rPr>
        <w:t xml:space="preserve"> and that we do better in the future</w:t>
      </w:r>
      <w:r w:rsidRPr="00CE354C">
        <w:rPr>
          <w:lang w:eastAsia="en-NZ"/>
        </w:rPr>
        <w:t>.</w:t>
      </w:r>
    </w:p>
    <w:p w14:paraId="5BC9A9CB" w14:textId="489DCFCD" w:rsidR="006919BA" w:rsidRDefault="006F10BE" w:rsidP="009018BE">
      <w:pPr>
        <w:pStyle w:val="TeThHauoraindentedquote"/>
        <w:rPr>
          <w:vertAlign w:val="superscript"/>
          <w:lang w:eastAsia="en-NZ"/>
        </w:rPr>
      </w:pPr>
      <w:r w:rsidRPr="00CE354C">
        <w:rPr>
          <w:lang w:eastAsia="en-NZ"/>
        </w:rPr>
        <w:t>Mortality review must start with a love and respect for the dignity and humanity of all people. This will mean illuminating the way that current systems continue to provide benefit for some</w:t>
      </w:r>
      <w:r>
        <w:rPr>
          <w:lang w:eastAsia="en-NZ"/>
        </w:rPr>
        <w:t xml:space="preserve"> and</w:t>
      </w:r>
      <w:r w:rsidRPr="00CE354C">
        <w:rPr>
          <w:lang w:eastAsia="en-NZ"/>
        </w:rPr>
        <w:t xml:space="preserve"> unfairly disadvantag</w:t>
      </w:r>
      <w:r>
        <w:rPr>
          <w:lang w:eastAsia="en-NZ"/>
        </w:rPr>
        <w:t>e</w:t>
      </w:r>
      <w:r w:rsidRPr="00CE354C">
        <w:rPr>
          <w:lang w:eastAsia="en-NZ"/>
        </w:rPr>
        <w:t xml:space="preserve"> others, contributing to the entrenched inequities we see across preventable mortality</w:t>
      </w:r>
      <w:r w:rsidRPr="003A09F5">
        <w:rPr>
          <w:lang w:eastAsia="en-NZ"/>
        </w:rPr>
        <w:t>.</w:t>
      </w:r>
      <w:r w:rsidRPr="003A09F5">
        <w:rPr>
          <w:rStyle w:val="FootnoteReference"/>
          <w:rFonts w:cstheme="minorHAnsi"/>
          <w:color w:val="000000"/>
          <w:lang w:eastAsia="en-NZ"/>
        </w:rPr>
        <w:footnoteReference w:id="2"/>
      </w:r>
      <w:r w:rsidRPr="003A09F5">
        <w:rPr>
          <w:vertAlign w:val="superscript"/>
          <w:lang w:eastAsia="en-NZ"/>
        </w:rPr>
        <w:t>,</w:t>
      </w:r>
      <w:r w:rsidRPr="003A09F5">
        <w:rPr>
          <w:rStyle w:val="FootnoteReference"/>
          <w:rFonts w:cstheme="minorHAnsi"/>
          <w:color w:val="000000"/>
          <w:lang w:eastAsia="en-NZ"/>
        </w:rPr>
        <w:footnoteReference w:id="3"/>
      </w:r>
      <w:r w:rsidRPr="003A09F5">
        <w:rPr>
          <w:vertAlign w:val="superscript"/>
          <w:lang w:eastAsia="en-NZ"/>
        </w:rPr>
        <w:t>,</w:t>
      </w:r>
      <w:r w:rsidRPr="003A09F5">
        <w:rPr>
          <w:rStyle w:val="FootnoteReference"/>
          <w:rFonts w:cstheme="minorHAnsi"/>
          <w:color w:val="000000"/>
          <w:lang w:eastAsia="en-NZ"/>
        </w:rPr>
        <w:footnoteReference w:id="4"/>
      </w:r>
    </w:p>
    <w:p w14:paraId="176558E7" w14:textId="3B191382" w:rsidR="00A2264F" w:rsidRDefault="00A379FF" w:rsidP="00A379FF">
      <w:pPr>
        <w:pStyle w:val="TeThHauorabodytext"/>
      </w:pPr>
      <w:r>
        <w:t xml:space="preserve">This policy document </w:t>
      </w:r>
      <w:r w:rsidR="00017EAC">
        <w:t xml:space="preserve">sets </w:t>
      </w:r>
      <w:r w:rsidR="003A09F5">
        <w:t xml:space="preserve">the kaitiaki role of </w:t>
      </w:r>
      <w:r w:rsidR="00274C02">
        <w:t xml:space="preserve">Te Tāhū Hauora </w:t>
      </w:r>
      <w:r>
        <w:t>Health Quality &amp; Safety Commission</w:t>
      </w:r>
      <w:r w:rsidR="00274C02">
        <w:t xml:space="preserve"> (Te Tāhū Hauora)</w:t>
      </w:r>
      <w:r>
        <w:t xml:space="preserve"> for mortality data and information</w:t>
      </w:r>
      <w:r w:rsidR="000128BE">
        <w:t xml:space="preserve"> as collected for the purposes of mortality review</w:t>
      </w:r>
      <w:r>
        <w:t>.</w:t>
      </w:r>
    </w:p>
    <w:p w14:paraId="7F7011C7" w14:textId="21B2615D" w:rsidR="00A2264F" w:rsidRDefault="009451F9" w:rsidP="00A379FF">
      <w:pPr>
        <w:pStyle w:val="TeThHauorabodytext"/>
      </w:pPr>
      <w:r>
        <w:t>Th</w:t>
      </w:r>
      <w:r w:rsidR="003A1544">
        <w:t>e</w:t>
      </w:r>
      <w:r>
        <w:t xml:space="preserve"> document describes the processes for accessing data held by </w:t>
      </w:r>
      <w:r w:rsidR="000128BE">
        <w:t xml:space="preserve">Te Tāhū Hauora on behalf of </w:t>
      </w:r>
      <w:r>
        <w:t>the National Mortality Review Committee (NMRC)</w:t>
      </w:r>
      <w:r w:rsidR="008F409E">
        <w:rPr>
          <w:rStyle w:val="FootnoteReference"/>
        </w:rPr>
        <w:footnoteReference w:id="5"/>
      </w:r>
      <w:r w:rsidR="001A7916">
        <w:t xml:space="preserve"> for the purposes of research</w:t>
      </w:r>
      <w:r>
        <w:t>.</w:t>
      </w:r>
      <w:r w:rsidR="001A7916">
        <w:t xml:space="preserve"> The scope of work defined under the term ‘research’ is that which requires access to personally identifiable data and information </w:t>
      </w:r>
      <w:r w:rsidR="00C048DA">
        <w:t xml:space="preserve">collected </w:t>
      </w:r>
      <w:r w:rsidR="001A7916">
        <w:t>for the purposes of mortality review. External researchers a</w:t>
      </w:r>
      <w:r w:rsidR="00017EAC">
        <w:t>re</w:t>
      </w:r>
      <w:r w:rsidR="001A7916">
        <w:t xml:space="preserve"> those who are external to the </w:t>
      </w:r>
      <w:r w:rsidR="005B57BB">
        <w:t>n</w:t>
      </w:r>
      <w:r w:rsidR="001A7916">
        <w:t xml:space="preserve">ational </w:t>
      </w:r>
      <w:r w:rsidR="005B57BB">
        <w:t>m</w:t>
      </w:r>
      <w:r w:rsidR="001A7916">
        <w:t xml:space="preserve">ortality </w:t>
      </w:r>
      <w:r w:rsidR="005B57BB">
        <w:t>r</w:t>
      </w:r>
      <w:r w:rsidR="001A7916">
        <w:t xml:space="preserve">eview </w:t>
      </w:r>
      <w:r w:rsidR="005B57BB">
        <w:t>f</w:t>
      </w:r>
      <w:r w:rsidR="001A7916">
        <w:t>unction</w:t>
      </w:r>
      <w:r w:rsidR="00602F9B">
        <w:rPr>
          <w:rStyle w:val="FootnoteReference"/>
        </w:rPr>
        <w:footnoteReference w:id="6"/>
      </w:r>
      <w:r w:rsidR="001A7916">
        <w:t xml:space="preserve"> or those who are undertaking work that extends beyond the scope of their current </w:t>
      </w:r>
      <w:r w:rsidR="00D82AB2">
        <w:t xml:space="preserve">agent status (see </w:t>
      </w:r>
      <w:hyperlink w:anchor="Section2" w:history="1">
        <w:r w:rsidR="00017EAC" w:rsidRPr="00C941F1">
          <w:rPr>
            <w:rStyle w:val="Hyperlink"/>
          </w:rPr>
          <w:t>S</w:t>
        </w:r>
        <w:r w:rsidR="00D82AB2" w:rsidRPr="00C941F1">
          <w:rPr>
            <w:rStyle w:val="Hyperlink"/>
          </w:rPr>
          <w:t>ection 2</w:t>
        </w:r>
      </w:hyperlink>
      <w:r w:rsidR="00D82AB2">
        <w:t>).</w:t>
      </w:r>
    </w:p>
    <w:p w14:paraId="39DAF998" w14:textId="1380D8EB" w:rsidR="00746AEC" w:rsidRDefault="00746AEC" w:rsidP="00A379FF">
      <w:pPr>
        <w:pStyle w:val="TeThHauorabodytext"/>
      </w:pPr>
      <w:r>
        <w:t xml:space="preserve">Where stakeholders are seeking access to NMRC data or information solely for the purpose of audit or monitoring, we suggest </w:t>
      </w:r>
      <w:r w:rsidR="003569CE">
        <w:t xml:space="preserve">they contact </w:t>
      </w:r>
      <w:r>
        <w:t>the source agency to obtain information. For example, a count (or case</w:t>
      </w:r>
      <w:r w:rsidR="003569CE">
        <w:t>-</w:t>
      </w:r>
      <w:r>
        <w:t xml:space="preserve">identifying information) of SUV </w:t>
      </w:r>
      <w:r w:rsidR="003569CE">
        <w:t>roll</w:t>
      </w:r>
      <w:r>
        <w:t xml:space="preserve">-over fatalities can be obtained from </w:t>
      </w:r>
      <w:r w:rsidR="003569CE">
        <w:t xml:space="preserve">the </w:t>
      </w:r>
      <w:r>
        <w:t xml:space="preserve">Manatū Hauora </w:t>
      </w:r>
      <w:r w:rsidR="000A06AC">
        <w:t xml:space="preserve">Ministry of Health </w:t>
      </w:r>
      <w:r>
        <w:t xml:space="preserve">collection of mortality data. Usual resident area for specific types of fatalities can be obtained from </w:t>
      </w:r>
      <w:r w:rsidR="000E6F02">
        <w:t xml:space="preserve">the </w:t>
      </w:r>
      <w:r>
        <w:t>Department of Internal Affairs.</w:t>
      </w:r>
    </w:p>
    <w:p w14:paraId="0B8905D7" w14:textId="1D47D2E5" w:rsidR="00A379FF" w:rsidRDefault="00A379FF" w:rsidP="00A379FF">
      <w:pPr>
        <w:pStyle w:val="TeThHauorabodytext"/>
      </w:pPr>
      <w:r>
        <w:lastRenderedPageBreak/>
        <w:t xml:space="preserve">It is important </w:t>
      </w:r>
      <w:r w:rsidR="00285710">
        <w:t xml:space="preserve">to read </w:t>
      </w:r>
      <w:r>
        <w:t xml:space="preserve">this document alongside </w:t>
      </w:r>
      <w:r w:rsidRPr="00641FD0">
        <w:t>Te Pou</w:t>
      </w:r>
      <w:r w:rsidR="00017EAC" w:rsidRPr="00641FD0">
        <w:t xml:space="preserve"> </w:t>
      </w:r>
      <w:r w:rsidR="005232A8">
        <w:t xml:space="preserve">– </w:t>
      </w:r>
      <w:r w:rsidR="00017EAC" w:rsidRPr="00641FD0">
        <w:t>Māori responsiveness rubric and guidelines</w:t>
      </w:r>
      <w:r w:rsidR="002B320B">
        <w:rPr>
          <w:rStyle w:val="FootnoteReference"/>
        </w:rPr>
        <w:footnoteReference w:id="7"/>
      </w:r>
      <w:r w:rsidR="00A2264F">
        <w:t xml:space="preserve"> </w:t>
      </w:r>
      <w:r>
        <w:t xml:space="preserve">and </w:t>
      </w:r>
      <w:r w:rsidRPr="00641FD0">
        <w:t>He Puna Whakatau</w:t>
      </w:r>
      <w:r w:rsidR="00964579">
        <w:t xml:space="preserve">, </w:t>
      </w:r>
      <w:r>
        <w:t>the NMRC’s decision-making tool</w:t>
      </w:r>
      <w:r w:rsidR="00342BC8">
        <w:t xml:space="preserve"> (see </w:t>
      </w:r>
      <w:hyperlink w:anchor="Figure1" w:history="1">
        <w:r w:rsidR="00342BC8" w:rsidRPr="00342BC8">
          <w:rPr>
            <w:rStyle w:val="Hyperlink"/>
          </w:rPr>
          <w:t>Figure 1</w:t>
        </w:r>
      </w:hyperlink>
      <w:r w:rsidR="00342BC8">
        <w:t>)</w:t>
      </w:r>
      <w:r>
        <w:t xml:space="preserve">. </w:t>
      </w:r>
      <w:r w:rsidR="00285710">
        <w:t>T</w:t>
      </w:r>
      <w:r>
        <w:t xml:space="preserve">hese documents provide the context within which </w:t>
      </w:r>
      <w:r w:rsidR="00FD1A9E">
        <w:t xml:space="preserve">the NMRC </w:t>
      </w:r>
      <w:r>
        <w:t>collect</w:t>
      </w:r>
      <w:r w:rsidR="00FD1A9E">
        <w:t>s</w:t>
      </w:r>
      <w:r>
        <w:t>, analyse</w:t>
      </w:r>
      <w:r w:rsidR="00FD1A9E">
        <w:t>s</w:t>
      </w:r>
      <w:r>
        <w:t xml:space="preserve"> and report</w:t>
      </w:r>
      <w:r w:rsidR="00FD1A9E">
        <w:t>s</w:t>
      </w:r>
      <w:r>
        <w:t xml:space="preserve"> on </w:t>
      </w:r>
      <w:r w:rsidR="00F215DC">
        <w:t>data</w:t>
      </w:r>
      <w:r>
        <w:t>, and the parameters under which topic areas are considered of interest.</w:t>
      </w:r>
    </w:p>
    <w:p w14:paraId="76FEF2FC" w14:textId="77777777" w:rsidR="00830BD4" w:rsidRDefault="00830BD4">
      <w:pPr>
        <w:spacing w:after="200"/>
        <w:rPr>
          <w:rFonts w:eastAsiaTheme="majorEastAsia" w:cs="Arial"/>
          <w:b/>
          <w:i/>
          <w:color w:val="293868"/>
          <w:sz w:val="28"/>
          <w:szCs w:val="26"/>
        </w:rPr>
      </w:pPr>
      <w:r>
        <w:br w:type="page"/>
      </w:r>
    </w:p>
    <w:p w14:paraId="3D205DC7" w14:textId="4D55FE05" w:rsidR="00D662ED" w:rsidRDefault="00D662ED" w:rsidP="00AA5AF7">
      <w:pPr>
        <w:pStyle w:val="TeThHauorahead2"/>
      </w:pPr>
      <w:bookmarkStart w:id="7" w:name="_Toc159235064"/>
      <w:r w:rsidRPr="000E6F02">
        <w:lastRenderedPageBreak/>
        <w:t xml:space="preserve">Definitions </w:t>
      </w:r>
      <w:r>
        <w:t xml:space="preserve">of terms </w:t>
      </w:r>
      <w:r w:rsidRPr="000E6F02">
        <w:t>used</w:t>
      </w:r>
      <w:bookmarkEnd w:id="7"/>
    </w:p>
    <w:p w14:paraId="73F663DE" w14:textId="2E74F74E" w:rsidR="001C2461" w:rsidRPr="001C2461" w:rsidRDefault="001C2461" w:rsidP="00D41C61">
      <w:pPr>
        <w:pStyle w:val="TeThHauorabodytext"/>
      </w:pPr>
      <w:r w:rsidRPr="00D41C61">
        <w:rPr>
          <w:b/>
          <w:bCs/>
        </w:rPr>
        <w:t>Agent</w:t>
      </w:r>
      <w:r w:rsidR="00AA5AF7">
        <w:rPr>
          <w:b/>
          <w:bCs/>
        </w:rPr>
        <w:t xml:space="preserve">: </w:t>
      </w:r>
      <w:r w:rsidRPr="001C2461">
        <w:t xml:space="preserve">All people who interact with Schedule 5 of the Act (personally identifiable information) in the context of mortality review must be </w:t>
      </w:r>
      <w:r w:rsidR="00F30685">
        <w:t>appointed</w:t>
      </w:r>
      <w:r w:rsidR="00F30685" w:rsidRPr="001C2461">
        <w:t xml:space="preserve"> </w:t>
      </w:r>
      <w:r w:rsidRPr="001C2461">
        <w:t>agents of the NMRC.</w:t>
      </w:r>
      <w:r w:rsidR="00D41C61">
        <w:t xml:space="preserve"> </w:t>
      </w:r>
      <w:r w:rsidRPr="001C2461">
        <w:t>Agent status is assigned for a specific purpose and for a defined time period.</w:t>
      </w:r>
    </w:p>
    <w:p w14:paraId="4E62363B" w14:textId="501F1CA7" w:rsidR="001C2461" w:rsidRPr="001C2461" w:rsidRDefault="001C2461" w:rsidP="00D41C61">
      <w:pPr>
        <w:pStyle w:val="TeThHauorabodytext"/>
      </w:pPr>
      <w:r w:rsidRPr="00D41C61">
        <w:rPr>
          <w:b/>
          <w:bCs/>
        </w:rPr>
        <w:t>Data</w:t>
      </w:r>
      <w:r w:rsidR="00AA5AF7">
        <w:rPr>
          <w:b/>
          <w:bCs/>
        </w:rPr>
        <w:t xml:space="preserve">: </w:t>
      </w:r>
      <w:r w:rsidR="00017797">
        <w:t>Detail</w:t>
      </w:r>
      <w:r w:rsidRPr="001C2461">
        <w:t xml:space="preserve"> captured about an individual. Note that most data captured by the national mortality review function is collated through interaction with government agencies and may include the product of data-sharing agreements between agencies. As such, their level of accuracy depends on the robustness of the data-collection processes of those agencies. Users should be aware that such </w:t>
      </w:r>
      <w:r w:rsidR="004709FE">
        <w:t>data</w:t>
      </w:r>
      <w:r w:rsidR="004709FE" w:rsidRPr="001C2461">
        <w:t xml:space="preserve"> </w:t>
      </w:r>
      <w:r w:rsidRPr="001C2461">
        <w:t>may not have been collected for the purposes for which they are now being used (ie, data collected for the purposes of service delivery now being used for the purposes of research or mortality review).</w:t>
      </w:r>
    </w:p>
    <w:p w14:paraId="0F149222" w14:textId="0A0A5712" w:rsidR="00635258" w:rsidRDefault="001C2461" w:rsidP="00D41C61">
      <w:pPr>
        <w:pStyle w:val="TeThHauorabodytext"/>
      </w:pPr>
      <w:r w:rsidRPr="00D41C61">
        <w:rPr>
          <w:b/>
          <w:bCs/>
        </w:rPr>
        <w:t>Information</w:t>
      </w:r>
      <w:r w:rsidR="00AA5AF7">
        <w:rPr>
          <w:b/>
          <w:bCs/>
        </w:rPr>
        <w:t xml:space="preserve">: </w:t>
      </w:r>
      <w:r w:rsidR="00017797" w:rsidRPr="00017797">
        <w:t>Knowledge communicated concerning some particular fact, subject or event</w:t>
      </w:r>
      <w:r w:rsidRPr="001C2461">
        <w:t>.</w:t>
      </w:r>
    </w:p>
    <w:p w14:paraId="6202120F" w14:textId="77777777" w:rsidR="00830BD4" w:rsidRDefault="00635258" w:rsidP="00D41C61">
      <w:pPr>
        <w:pStyle w:val="TeThHauorabodytext"/>
      </w:pPr>
      <w:r>
        <w:rPr>
          <w:b/>
          <w:bCs/>
        </w:rPr>
        <w:t>Strengths-based analysis:</w:t>
      </w:r>
      <w:r>
        <w:t xml:space="preserve"> </w:t>
      </w:r>
      <w:r w:rsidRPr="00635258">
        <w:t xml:space="preserve">Strengths-based approaches support the generation of research findings that are focused on strengths </w:t>
      </w:r>
      <w:r w:rsidR="00E42717" w:rsidRPr="00635258">
        <w:t>to</w:t>
      </w:r>
      <w:r w:rsidRPr="00635258">
        <w:t xml:space="preserve"> reward and reinforce positive change, without altering statistical rigour.</w:t>
      </w:r>
      <w:r>
        <w:rPr>
          <w:rStyle w:val="FootnoteReference"/>
        </w:rPr>
        <w:footnoteReference w:id="8"/>
      </w:r>
      <w:r w:rsidRPr="00635258">
        <w:t xml:space="preserve"> </w:t>
      </w:r>
    </w:p>
    <w:p w14:paraId="1A7E2E28" w14:textId="267715C0" w:rsidR="00830BD4" w:rsidRPr="001C2461" w:rsidRDefault="00830BD4" w:rsidP="00830BD4">
      <w:pPr>
        <w:pStyle w:val="TeThHauorabodytext"/>
      </w:pPr>
      <w:r w:rsidRPr="00D41C61">
        <w:rPr>
          <w:b/>
          <w:bCs/>
        </w:rPr>
        <w:t>National Mortality Review Committee (NMRC)</w:t>
      </w:r>
      <w:r>
        <w:rPr>
          <w:b/>
          <w:bCs/>
        </w:rPr>
        <w:t xml:space="preserve">: </w:t>
      </w:r>
      <w:r w:rsidRPr="001C2461">
        <w:t>Appointed under Section 82 of the Pae Ora (Healthy Futures) Act 2022 (the Act), the NMRC is the statutory committee appointed by Te Tāhū Hauora to review and report to Te Tāhū Hauora on specified classes of deaths in Aotearoa New Zealand. The NMRC advises Te Tāhū Hauora on matters related to mortality and morbidity, quality assurance and ongoing quality improvement programmes.</w:t>
      </w:r>
    </w:p>
    <w:p w14:paraId="75BD6635" w14:textId="77777777" w:rsidR="00830BD4" w:rsidRPr="001C2461" w:rsidRDefault="00830BD4" w:rsidP="00830BD4">
      <w:pPr>
        <w:pStyle w:val="TeThHauorabodytext"/>
      </w:pPr>
      <w:r w:rsidRPr="001C2461">
        <w:t>Under Schedule 5 of the Act, a mortality review committee has statutory power to require that information is provided to it. Te Tāhū Hauora provides or arranges the provision of the architecture that supports the holding, management of and access to the various data sets that relate to the work of the NMRC.</w:t>
      </w:r>
    </w:p>
    <w:p w14:paraId="6A38C337" w14:textId="04C5C0C7" w:rsidR="00830BD4" w:rsidRPr="001C2461" w:rsidRDefault="00830BD4" w:rsidP="00830BD4">
      <w:pPr>
        <w:pStyle w:val="TeThHauorabodytext"/>
      </w:pPr>
      <w:r w:rsidRPr="00D41C61">
        <w:rPr>
          <w:b/>
          <w:bCs/>
        </w:rPr>
        <w:t>National mortality review function</w:t>
      </w:r>
      <w:r>
        <w:rPr>
          <w:b/>
          <w:bCs/>
        </w:rPr>
        <w:t xml:space="preserve">: </w:t>
      </w:r>
      <w:r w:rsidRPr="001C2461">
        <w:t xml:space="preserve">The national mortality review function is a collaborative environment supported through Te Tāhū Hauora. The function is composed of the national mortality review function management group, the NMRC, subject matter experts, local review groups </w:t>
      </w:r>
      <w:r>
        <w:t xml:space="preserve">and </w:t>
      </w:r>
      <w:r w:rsidRPr="001C2461">
        <w:t>local and national agents of the NMRC.</w:t>
      </w:r>
    </w:p>
    <w:p w14:paraId="54BB7B66" w14:textId="63C9BC9F" w:rsidR="00830BD4" w:rsidRPr="001C2461" w:rsidRDefault="00830BD4" w:rsidP="00830BD4">
      <w:pPr>
        <w:pStyle w:val="TeThHauorabodytext"/>
      </w:pPr>
      <w:r w:rsidRPr="00D41C61">
        <w:rPr>
          <w:b/>
          <w:bCs/>
        </w:rPr>
        <w:t>National mortality review function management group</w:t>
      </w:r>
      <w:r>
        <w:rPr>
          <w:b/>
          <w:bCs/>
        </w:rPr>
        <w:t xml:space="preserve">: </w:t>
      </w:r>
      <w:r w:rsidRPr="001C2461">
        <w:t>The primary purpose of the national mortality review function management group is to deliver the NMRC’s strategic vision and values. The management group is the ‘engine room’ of the national mortality review function.</w:t>
      </w:r>
      <w:r>
        <w:t xml:space="preserve"> </w:t>
      </w:r>
      <w:r w:rsidRPr="001C2461">
        <w:t>Staff within the management group coordinate and support local review groups, oversee data collection and audit data quality, provide policy advice, follow up on recommendations and develop national mortality review function</w:t>
      </w:r>
      <w:r w:rsidRPr="001C2461" w:rsidDel="00AE300E">
        <w:t xml:space="preserve"> </w:t>
      </w:r>
      <w:r w:rsidRPr="001C2461">
        <w:t>products.</w:t>
      </w:r>
    </w:p>
    <w:p w14:paraId="6404BECD" w14:textId="79B64F03" w:rsidR="00A379FF" w:rsidRDefault="00A379FF" w:rsidP="00D41C61">
      <w:pPr>
        <w:pStyle w:val="TeThHauorabodytext"/>
      </w:pPr>
      <w:r>
        <w:br w:type="page"/>
      </w:r>
    </w:p>
    <w:p w14:paraId="3CB3093B" w14:textId="073C5E87" w:rsidR="00A379FF" w:rsidRDefault="00163030" w:rsidP="00924E89">
      <w:pPr>
        <w:pStyle w:val="TeThHauorahead1"/>
      </w:pPr>
      <w:bookmarkStart w:id="8" w:name="_Toc159235065"/>
      <w:r>
        <w:lastRenderedPageBreak/>
        <w:t>Introduction</w:t>
      </w:r>
      <w:r w:rsidR="009018BE">
        <w:t xml:space="preserve"> | </w:t>
      </w:r>
      <w:r w:rsidR="00132FEA">
        <w:t>H</w:t>
      </w:r>
      <w:r w:rsidR="009018BE">
        <w:t xml:space="preserve">e kupu </w:t>
      </w:r>
      <w:proofErr w:type="spellStart"/>
      <w:r w:rsidR="009018BE">
        <w:t>whakataki</w:t>
      </w:r>
      <w:bookmarkEnd w:id="8"/>
      <w:proofErr w:type="spellEnd"/>
    </w:p>
    <w:p w14:paraId="423F5030" w14:textId="59E666D8" w:rsidR="00274C02" w:rsidRDefault="00274C02" w:rsidP="00274C02">
      <w:pPr>
        <w:pStyle w:val="TeThHauorabodytext"/>
      </w:pPr>
      <w:r>
        <w:t xml:space="preserve">This </w:t>
      </w:r>
      <w:r w:rsidR="000B572C">
        <w:t xml:space="preserve">document </w:t>
      </w:r>
      <w:r>
        <w:t xml:space="preserve">outlines the legislative context within which data is </w:t>
      </w:r>
      <w:r w:rsidRPr="00925A28">
        <w:t>collected</w:t>
      </w:r>
      <w:r>
        <w:t xml:space="preserve"> by the </w:t>
      </w:r>
      <w:r w:rsidR="005C714C">
        <w:t>n</w:t>
      </w:r>
      <w:r>
        <w:t xml:space="preserve">ational </w:t>
      </w:r>
      <w:r w:rsidR="005C714C">
        <w:t>m</w:t>
      </w:r>
      <w:r>
        <w:t xml:space="preserve">ortality </w:t>
      </w:r>
      <w:r w:rsidR="005C714C">
        <w:t>r</w:t>
      </w:r>
      <w:r>
        <w:t xml:space="preserve">eview </w:t>
      </w:r>
      <w:r w:rsidR="005C714C">
        <w:t>f</w:t>
      </w:r>
      <w:r>
        <w:t xml:space="preserve">unction </w:t>
      </w:r>
      <w:r w:rsidR="00DA1301">
        <w:t xml:space="preserve">(the function) </w:t>
      </w:r>
      <w:r>
        <w:t>on behalf of the National Mortality Review Committee (NMRC)</w:t>
      </w:r>
      <w:r w:rsidR="005C714C">
        <w:t xml:space="preserve"> and </w:t>
      </w:r>
      <w:r>
        <w:t xml:space="preserve">provides guidance for </w:t>
      </w:r>
      <w:r w:rsidR="000B572C">
        <w:t>researchers</w:t>
      </w:r>
      <w:r>
        <w:t xml:space="preserve"> seeking access to that data. </w:t>
      </w:r>
      <w:r w:rsidR="000B572C">
        <w:t>Researchers</w:t>
      </w:r>
      <w:r>
        <w:t xml:space="preserve"> </w:t>
      </w:r>
      <w:r w:rsidR="00E62843">
        <w:t xml:space="preserve">should </w:t>
      </w:r>
      <w:r>
        <w:t xml:space="preserve">carefully review this document when considering research on premature mortality or serious morbidity for the purposes of prevention, intervention, policy directives or local </w:t>
      </w:r>
      <w:r w:rsidR="008F409E">
        <w:t xml:space="preserve">quality improvement </w:t>
      </w:r>
      <w:r>
        <w:t>activity.</w:t>
      </w:r>
    </w:p>
    <w:p w14:paraId="5F56CFF3" w14:textId="3215CD45" w:rsidR="00A379FF" w:rsidRDefault="00D551F8" w:rsidP="00274C02">
      <w:pPr>
        <w:pStyle w:val="TeThHauorabodytext"/>
      </w:pPr>
      <w:r>
        <w:t xml:space="preserve">As part of its process, the NMRC collects information related to deaths </w:t>
      </w:r>
      <w:r w:rsidR="006C78D2">
        <w:t xml:space="preserve">from a variety of sources </w:t>
      </w:r>
      <w:r>
        <w:t>in accordance with the Pae Ora (Healthy Futures) Act 2022 (the Act)</w:t>
      </w:r>
      <w:r w:rsidR="006C78D2">
        <w:t xml:space="preserve">. This information is stored on </w:t>
      </w:r>
      <w:r w:rsidR="00AD5305">
        <w:t xml:space="preserve">databases funded by Te Tāhū Hauora Health Quality &amp; Safety Commission (Te Tāhū Hauora). </w:t>
      </w:r>
      <w:r w:rsidR="00274C02">
        <w:t>The NMRC encourage</w:t>
      </w:r>
      <w:r w:rsidR="009342B7">
        <w:t>s</w:t>
      </w:r>
      <w:r w:rsidR="00274C02">
        <w:t xml:space="preserve"> </w:t>
      </w:r>
      <w:r w:rsidR="004B5891">
        <w:t xml:space="preserve">the </w:t>
      </w:r>
      <w:r w:rsidR="00274C02">
        <w:t>use of and provide</w:t>
      </w:r>
      <w:r w:rsidR="009342B7">
        <w:t>s</w:t>
      </w:r>
      <w:r w:rsidR="00274C02">
        <w:t xml:space="preserve"> access to mortality data for research that meets the criteria outlined within this policy. Data access applications should be limited to data considered most useful for the purposes of answering a well</w:t>
      </w:r>
      <w:r w:rsidR="00215FB0">
        <w:t>-</w:t>
      </w:r>
      <w:r w:rsidR="00274C02">
        <w:t xml:space="preserve">specified research question. </w:t>
      </w:r>
      <w:r w:rsidR="00660642">
        <w:t>A</w:t>
      </w:r>
      <w:r w:rsidR="00274C02">
        <w:t xml:space="preserve">ccess applications should also consider Te Tiriti o Waitangi, Māori health advancement and Māori data </w:t>
      </w:r>
      <w:r w:rsidR="003D312D">
        <w:t xml:space="preserve">governance </w:t>
      </w:r>
      <w:r w:rsidR="00274C02">
        <w:t>and equity imperatives</w:t>
      </w:r>
      <w:r w:rsidR="004A632F">
        <w:t>,</w:t>
      </w:r>
      <w:r w:rsidR="00274C02">
        <w:t xml:space="preserve"> as set out </w:t>
      </w:r>
      <w:r w:rsidR="001F6005">
        <w:t>in the ‘</w:t>
      </w:r>
      <w:hyperlink w:anchor="GMD" w:history="1">
        <w:r w:rsidR="001F6005" w:rsidRPr="00242C33">
          <w:rPr>
            <w:rStyle w:val="Hyperlink"/>
          </w:rPr>
          <w:t>Governance of Māori data</w:t>
        </w:r>
      </w:hyperlink>
      <w:r w:rsidR="001F6005">
        <w:t>’ section</w:t>
      </w:r>
      <w:r w:rsidR="00274C02">
        <w:t>.</w:t>
      </w:r>
    </w:p>
    <w:p w14:paraId="28B724A8" w14:textId="13754A27" w:rsidR="008F409E" w:rsidRDefault="008F409E" w:rsidP="00274C02">
      <w:pPr>
        <w:pStyle w:val="TeThHauorabodytext"/>
      </w:pPr>
      <w:r>
        <w:t xml:space="preserve">To </w:t>
      </w:r>
      <w:r w:rsidR="007379F4">
        <w:t xml:space="preserve">determine </w:t>
      </w:r>
      <w:r w:rsidR="004A632F">
        <w:t xml:space="preserve">whether </w:t>
      </w:r>
      <w:r w:rsidR="007379F4">
        <w:t xml:space="preserve">information held by the NMRC will be suitable for the proposed research, </w:t>
      </w:r>
      <w:r w:rsidR="008C2200">
        <w:t xml:space="preserve">first </w:t>
      </w:r>
      <w:r w:rsidR="007379F4">
        <w:t xml:space="preserve">please contact the </w:t>
      </w:r>
      <w:r w:rsidR="00A20D43">
        <w:t xml:space="preserve">national mortality review </w:t>
      </w:r>
      <w:r w:rsidR="00DA1301">
        <w:t xml:space="preserve">function </w:t>
      </w:r>
      <w:r w:rsidR="004A632F">
        <w:t>m</w:t>
      </w:r>
      <w:r w:rsidR="007379F4">
        <w:t xml:space="preserve">anagement </w:t>
      </w:r>
      <w:r w:rsidR="004A632F">
        <w:t>g</w:t>
      </w:r>
      <w:r w:rsidR="007379F4">
        <w:t>roup</w:t>
      </w:r>
      <w:r w:rsidR="00BD5537">
        <w:t xml:space="preserve"> at: </w:t>
      </w:r>
      <w:hyperlink r:id="rId18" w:history="1">
        <w:r w:rsidR="00B951E2" w:rsidRPr="00DB2A7F">
          <w:rPr>
            <w:rStyle w:val="Hyperlink"/>
          </w:rPr>
          <w:t>nmrmg@hqsc.govt.nz</w:t>
        </w:r>
      </w:hyperlink>
      <w:r w:rsidR="007379F4">
        <w:t xml:space="preserve">. </w:t>
      </w:r>
      <w:r w:rsidR="00924E89">
        <w:t>Researchers should initiat</w:t>
      </w:r>
      <w:r w:rsidR="00E65B3C">
        <w:t xml:space="preserve">e this contact </w:t>
      </w:r>
      <w:r w:rsidR="004A632F">
        <w:t xml:space="preserve">early in </w:t>
      </w:r>
      <w:r w:rsidR="00E65B3C">
        <w:t>the</w:t>
      </w:r>
      <w:r w:rsidR="004A632F">
        <w:t xml:space="preserve"> process </w:t>
      </w:r>
      <w:r w:rsidR="007379F4">
        <w:t>to determine the most appropriate data</w:t>
      </w:r>
      <w:r w:rsidR="00E52A80">
        <w:t xml:space="preserve"> </w:t>
      </w:r>
      <w:r w:rsidR="007379F4">
        <w:t xml:space="preserve">sets and fields to </w:t>
      </w:r>
      <w:r w:rsidR="004A632F">
        <w:t>request.</w:t>
      </w:r>
    </w:p>
    <w:p w14:paraId="48E5E091" w14:textId="55001667" w:rsidR="00274C02" w:rsidRDefault="00274C02" w:rsidP="00D173B8">
      <w:pPr>
        <w:pStyle w:val="TeThHauorahead2"/>
      </w:pPr>
      <w:bookmarkStart w:id="9" w:name="_Toc159235066"/>
      <w:r>
        <w:t xml:space="preserve">Policy </w:t>
      </w:r>
      <w:r w:rsidR="00511E99">
        <w:t>s</w:t>
      </w:r>
      <w:r>
        <w:t>cope</w:t>
      </w:r>
      <w:bookmarkEnd w:id="9"/>
    </w:p>
    <w:p w14:paraId="2D3F50FE" w14:textId="31D69D9D" w:rsidR="00A2264F" w:rsidRPr="00BD5537" w:rsidRDefault="00000000" w:rsidP="001F6005">
      <w:pPr>
        <w:pStyle w:val="TeThHauorabullets"/>
        <w:ind w:left="357" w:hanging="357"/>
      </w:pPr>
      <w:hyperlink w:anchor="Section1" w:history="1">
        <w:r w:rsidR="00274C02" w:rsidRPr="00E52A80">
          <w:rPr>
            <w:rStyle w:val="Hyperlink"/>
          </w:rPr>
          <w:t>Section 1</w:t>
        </w:r>
      </w:hyperlink>
      <w:r w:rsidR="00274C02" w:rsidRPr="00BD5537">
        <w:t xml:space="preserve"> provides </w:t>
      </w:r>
      <w:r w:rsidR="00F0757F">
        <w:t xml:space="preserve">the </w:t>
      </w:r>
      <w:r w:rsidR="00274C02" w:rsidRPr="00BD5537">
        <w:t xml:space="preserve">context of the </w:t>
      </w:r>
      <w:r w:rsidR="009564E5" w:rsidRPr="00BD5537">
        <w:t xml:space="preserve">NMRC </w:t>
      </w:r>
      <w:r w:rsidR="00274C02" w:rsidRPr="00BD5537">
        <w:t xml:space="preserve">and </w:t>
      </w:r>
      <w:r w:rsidR="00EB665F">
        <w:t xml:space="preserve">the </w:t>
      </w:r>
      <w:r w:rsidR="00274C02" w:rsidRPr="00BD5537">
        <w:t>legislation under which it operates</w:t>
      </w:r>
      <w:r w:rsidR="001F6CFF">
        <w:t>.</w:t>
      </w:r>
    </w:p>
    <w:p w14:paraId="6904BEE3" w14:textId="123D24F6" w:rsidR="00274C02" w:rsidRPr="00BD5537" w:rsidRDefault="00000000" w:rsidP="001F6005">
      <w:pPr>
        <w:pStyle w:val="TeThHauorabullets"/>
        <w:ind w:left="357" w:hanging="357"/>
      </w:pPr>
      <w:hyperlink w:anchor="Section2" w:history="1">
        <w:r w:rsidR="00274C02" w:rsidRPr="00E52A80">
          <w:rPr>
            <w:rStyle w:val="Hyperlink"/>
          </w:rPr>
          <w:t>Section 2</w:t>
        </w:r>
      </w:hyperlink>
      <w:r w:rsidR="00274C02" w:rsidRPr="00BD5537">
        <w:t xml:space="preserve"> explains the process for seeking access to information and data held by </w:t>
      </w:r>
      <w:r w:rsidR="00925A28" w:rsidRPr="00BD5537">
        <w:t>Te Tāhū Hauora on behalf of the NMRC.</w:t>
      </w:r>
    </w:p>
    <w:p w14:paraId="03E2BDE5" w14:textId="7F0FF9D6" w:rsidR="00274C02" w:rsidRDefault="00274C02" w:rsidP="00D173B8">
      <w:pPr>
        <w:pStyle w:val="TeThHauorahead2"/>
      </w:pPr>
      <w:bookmarkStart w:id="10" w:name="_Toc159235067"/>
      <w:r>
        <w:t>Background to policy</w:t>
      </w:r>
      <w:bookmarkEnd w:id="10"/>
    </w:p>
    <w:p w14:paraId="3E78AC4E" w14:textId="054F9F0A" w:rsidR="00A2264F" w:rsidRDefault="00274C02" w:rsidP="00274C02">
      <w:pPr>
        <w:pStyle w:val="TeThHauorabodytext"/>
      </w:pPr>
      <w:r>
        <w:t>In 2011, Te Tāhū Hauora assumed responsibility for four statutory mortality review committees under Section 59E of the amended New Zealand Public Health and Disability Act 2000.</w:t>
      </w:r>
      <w:r>
        <w:rPr>
          <w:rStyle w:val="FootnoteReference"/>
        </w:rPr>
        <w:footnoteReference w:id="9"/>
      </w:r>
      <w:r w:rsidR="00A2264F">
        <w:t xml:space="preserve"> </w:t>
      </w:r>
      <w:r>
        <w:t xml:space="preserve">The </w:t>
      </w:r>
      <w:r w:rsidR="00D67F7E">
        <w:t>mortality review committees</w:t>
      </w:r>
      <w:r>
        <w:t xml:space="preserve"> reviewed and reported to Te Tāhū Hauora on particular types of deaths, with a view to reducing the number of deaths.</w:t>
      </w:r>
    </w:p>
    <w:p w14:paraId="2C93D00C" w14:textId="6D896005" w:rsidR="00274C02" w:rsidRDefault="00274C02" w:rsidP="00274C02">
      <w:pPr>
        <w:pStyle w:val="TeThHauorabodytext"/>
      </w:pPr>
      <w:r>
        <w:t xml:space="preserve">Following a review of the committee </w:t>
      </w:r>
      <w:r w:rsidR="009736F9">
        <w:t>structure</w:t>
      </w:r>
      <w:r w:rsidR="009736F9">
        <w:rPr>
          <w:rStyle w:val="FootnoteReference"/>
        </w:rPr>
        <w:footnoteReference w:id="10"/>
      </w:r>
      <w:r w:rsidR="009736F9">
        <w:t xml:space="preserve"> and</w:t>
      </w:r>
      <w:r>
        <w:t xml:space="preserve"> the introduction of the Pae Ora Act,</w:t>
      </w:r>
      <w:r w:rsidR="009736F9">
        <w:rPr>
          <w:rStyle w:val="FootnoteReference"/>
        </w:rPr>
        <w:footnoteReference w:id="11"/>
      </w:r>
      <w:r>
        <w:t xml:space="preserve"> one national mortality review committee was established in July 2023 </w:t>
      </w:r>
      <w:r w:rsidR="00FB0AAF">
        <w:t xml:space="preserve">to advise </w:t>
      </w:r>
      <w:r>
        <w:t>on:</w:t>
      </w:r>
    </w:p>
    <w:p w14:paraId="3DA115AE" w14:textId="4F4B9191" w:rsidR="00274C02" w:rsidRDefault="00233545" w:rsidP="001F6005">
      <w:pPr>
        <w:pStyle w:val="TeThHauorabullets"/>
        <w:ind w:left="357" w:hanging="357"/>
      </w:pPr>
      <w:r>
        <w:t>s</w:t>
      </w:r>
      <w:r w:rsidR="00274C02">
        <w:t>trategic oversight of mortality review and system</w:t>
      </w:r>
      <w:r>
        <w:t>-</w:t>
      </w:r>
      <w:r w:rsidR="00274C02">
        <w:t>level impact</w:t>
      </w:r>
    </w:p>
    <w:p w14:paraId="67C98C53" w14:textId="55B96EB0" w:rsidR="00274C02" w:rsidRDefault="00274C02" w:rsidP="001F6005">
      <w:pPr>
        <w:pStyle w:val="TeThHauorabullets"/>
        <w:ind w:left="357" w:hanging="357"/>
      </w:pPr>
      <w:r>
        <w:t>Te Tiriti compliance across all aspects of mortality review</w:t>
      </w:r>
    </w:p>
    <w:p w14:paraId="3A193D5F" w14:textId="45D84954" w:rsidR="00274C02" w:rsidRDefault="00233545" w:rsidP="001F6005">
      <w:pPr>
        <w:pStyle w:val="TeThHauorabullets"/>
        <w:ind w:left="357" w:hanging="357"/>
      </w:pPr>
      <w:r>
        <w:lastRenderedPageBreak/>
        <w:t>a</w:t>
      </w:r>
      <w:r w:rsidR="00274C02">
        <w:t>reas</w:t>
      </w:r>
      <w:r w:rsidR="00925A28">
        <w:t xml:space="preserve"> of focus</w:t>
      </w:r>
      <w:r w:rsidR="00274C02">
        <w:t xml:space="preserve"> for potential in-depth reviews, analysis or surveillance</w:t>
      </w:r>
    </w:p>
    <w:p w14:paraId="11D92970" w14:textId="1581EADE" w:rsidR="00A2264F" w:rsidRDefault="00233545" w:rsidP="001F6005">
      <w:pPr>
        <w:pStyle w:val="TeThHauorabullets"/>
        <w:ind w:left="357" w:hanging="357"/>
      </w:pPr>
      <w:r>
        <w:t>d</w:t>
      </w:r>
      <w:r w:rsidR="00274C02">
        <w:t>ata governance, including Māori data governance</w:t>
      </w:r>
    </w:p>
    <w:p w14:paraId="38F2F531" w14:textId="326577A2" w:rsidR="00274C02" w:rsidRDefault="00274C02" w:rsidP="001F6005">
      <w:pPr>
        <w:pStyle w:val="TeThHauorabullets"/>
        <w:ind w:left="357" w:hanging="357"/>
      </w:pPr>
      <w:r>
        <w:t>additional expertise required for mortality review working groups (subject matter experts)</w:t>
      </w:r>
    </w:p>
    <w:p w14:paraId="4FEEE010" w14:textId="09CEB862" w:rsidR="00274C02" w:rsidRDefault="00E80BCA" w:rsidP="001F6005">
      <w:pPr>
        <w:pStyle w:val="TeThHauorabullets"/>
        <w:ind w:left="357" w:hanging="357"/>
      </w:pPr>
      <w:r>
        <w:t xml:space="preserve">making </w:t>
      </w:r>
      <w:r w:rsidR="00274C02">
        <w:t>recommendations clear, coordinated and impactful.</w:t>
      </w:r>
      <w:r w:rsidR="009736F9">
        <w:rPr>
          <w:rStyle w:val="FootnoteReference"/>
        </w:rPr>
        <w:footnoteReference w:id="12"/>
      </w:r>
    </w:p>
    <w:p w14:paraId="58FA0631" w14:textId="2EF4EEFF" w:rsidR="00A2264F" w:rsidRDefault="00274C02" w:rsidP="00274C02">
      <w:pPr>
        <w:pStyle w:val="TeThHauorabodytext"/>
      </w:pPr>
      <w:r>
        <w:t>The</w:t>
      </w:r>
      <w:r w:rsidR="002D566F">
        <w:t>se</w:t>
      </w:r>
      <w:r>
        <w:t xml:space="preserve"> functions are </w:t>
      </w:r>
      <w:r w:rsidR="00975762">
        <w:t xml:space="preserve">supported by the </w:t>
      </w:r>
      <w:r w:rsidR="00513B89">
        <w:t xml:space="preserve">national mortality review function </w:t>
      </w:r>
      <w:r w:rsidR="00233545">
        <w:t>m</w:t>
      </w:r>
      <w:r w:rsidR="00975762">
        <w:t xml:space="preserve">anagement </w:t>
      </w:r>
      <w:r w:rsidR="00233545">
        <w:t>g</w:t>
      </w:r>
      <w:r w:rsidR="00975762">
        <w:t xml:space="preserve">roup </w:t>
      </w:r>
      <w:r w:rsidR="00513B89">
        <w:t xml:space="preserve">(the management group) </w:t>
      </w:r>
      <w:r w:rsidR="00975762">
        <w:t xml:space="preserve">and are </w:t>
      </w:r>
      <w:r>
        <w:t>expected to be undertaken within the resources allocated</w:t>
      </w:r>
      <w:r w:rsidR="00925A28">
        <w:t xml:space="preserve"> by Te Tāhū Hauora</w:t>
      </w:r>
      <w:r>
        <w:t xml:space="preserve">. As a result, there will be areas of mortality review that are not addressed within the work undertaken by the </w:t>
      </w:r>
      <w:r w:rsidR="00513B89">
        <w:t>function</w:t>
      </w:r>
      <w:r>
        <w:t xml:space="preserve">. Therefore, the </w:t>
      </w:r>
      <w:r w:rsidR="00925A28">
        <w:t>NMRC</w:t>
      </w:r>
      <w:r>
        <w:t xml:space="preserve"> welcomes expressions of interest for research to be undertaken using the</w:t>
      </w:r>
      <w:r w:rsidR="0074546B">
        <w:t xml:space="preserve"> data and</w:t>
      </w:r>
      <w:r>
        <w:t xml:space="preserve"> information made available through the NMRC legislation (see </w:t>
      </w:r>
      <w:hyperlink w:anchor="Section1" w:history="1">
        <w:r w:rsidR="00511E99" w:rsidRPr="00C42706">
          <w:rPr>
            <w:rStyle w:val="Hyperlink"/>
          </w:rPr>
          <w:t>Section</w:t>
        </w:r>
        <w:r w:rsidRPr="00C42706">
          <w:rPr>
            <w:rStyle w:val="Hyperlink"/>
          </w:rPr>
          <w:t xml:space="preserve"> 1</w:t>
        </w:r>
      </w:hyperlink>
      <w:r w:rsidR="0087700F">
        <w:t>)</w:t>
      </w:r>
      <w:r>
        <w:t>.</w:t>
      </w:r>
    </w:p>
    <w:p w14:paraId="4D242799" w14:textId="15CDB9EE" w:rsidR="00274C02" w:rsidRDefault="00274C02" w:rsidP="00274C02">
      <w:pPr>
        <w:pStyle w:val="TeThHauorabodytext"/>
      </w:pPr>
      <w:r>
        <w:t xml:space="preserve">With the introduction of the NMRC, </w:t>
      </w:r>
      <w:r w:rsidR="009736F9" w:rsidRPr="00553D9F">
        <w:t>He Puna Whakatau</w:t>
      </w:r>
      <w:r>
        <w:t xml:space="preserve"> </w:t>
      </w:r>
      <w:r w:rsidR="00967CE2">
        <w:t>(</w:t>
      </w:r>
      <w:hyperlink w:anchor="Figure1" w:history="1">
        <w:r w:rsidR="00967CE2" w:rsidRPr="00C42706">
          <w:rPr>
            <w:rStyle w:val="Hyperlink"/>
          </w:rPr>
          <w:t>Figure 1</w:t>
        </w:r>
      </w:hyperlink>
      <w:r w:rsidR="00967CE2">
        <w:t xml:space="preserve">) </w:t>
      </w:r>
      <w:r>
        <w:t xml:space="preserve">was developed to support </w:t>
      </w:r>
      <w:r w:rsidR="00511E99">
        <w:t xml:space="preserve">decision-making </w:t>
      </w:r>
      <w:r>
        <w:t xml:space="preserve">about </w:t>
      </w:r>
      <w:r w:rsidR="009736F9">
        <w:t>resource allocation</w:t>
      </w:r>
      <w:r w:rsidR="00A11228">
        <w:t xml:space="preserve"> and the assessment of focus areas</w:t>
      </w:r>
      <w:r w:rsidR="009736F9">
        <w:t xml:space="preserve"> for</w:t>
      </w:r>
      <w:r>
        <w:t xml:space="preserve"> the </w:t>
      </w:r>
      <w:r w:rsidR="00513B89">
        <w:t xml:space="preserve">function’s </w:t>
      </w:r>
      <w:r>
        <w:t xml:space="preserve">work. </w:t>
      </w:r>
      <w:r w:rsidR="00280A56">
        <w:t xml:space="preserve">Within the </w:t>
      </w:r>
      <w:r w:rsidR="00280A56" w:rsidRPr="00280A56">
        <w:rPr>
          <w:i/>
          <w:iCs/>
        </w:rPr>
        <w:t>Prioritisation</w:t>
      </w:r>
      <w:r w:rsidR="00280A56">
        <w:t xml:space="preserve"> section of the application form, the headings and questions relate to the descriptions provided in </w:t>
      </w:r>
      <w:r w:rsidR="00E07E2A">
        <w:t>He Puna Whakatau</w:t>
      </w:r>
      <w:r w:rsidR="00280A56">
        <w:t xml:space="preserve">. </w:t>
      </w:r>
      <w:r>
        <w:t xml:space="preserve">Researchers are encouraged to use this to support applications to access </w:t>
      </w:r>
      <w:r w:rsidR="00967CE2">
        <w:t xml:space="preserve">NMRC data and </w:t>
      </w:r>
      <w:r>
        <w:t>information.</w:t>
      </w:r>
      <w:r w:rsidR="00280A56">
        <w:t xml:space="preserve"> </w:t>
      </w:r>
    </w:p>
    <w:p w14:paraId="26F4BBAB" w14:textId="77777777" w:rsidR="00906138" w:rsidRPr="00221128" w:rsidRDefault="00906138" w:rsidP="00221128">
      <w:r w:rsidRPr="00221128">
        <w:br w:type="page"/>
      </w:r>
    </w:p>
    <w:p w14:paraId="6DC9AFD4" w14:textId="1BEB24F0" w:rsidR="009736F9" w:rsidRDefault="009736F9" w:rsidP="009736F9">
      <w:pPr>
        <w:pStyle w:val="TeThHauorahead1"/>
      </w:pPr>
      <w:bookmarkStart w:id="11" w:name="Section1"/>
      <w:bookmarkStart w:id="12" w:name="_Toc159235068"/>
      <w:r>
        <w:lastRenderedPageBreak/>
        <w:t>Section 1</w:t>
      </w:r>
      <w:bookmarkEnd w:id="11"/>
      <w:r>
        <w:t>: Legislation</w:t>
      </w:r>
      <w:r w:rsidR="009018BE">
        <w:t xml:space="preserve"> | </w:t>
      </w:r>
      <w:r w:rsidR="00001D4D">
        <w:t xml:space="preserve">Wāhanga 1: Te </w:t>
      </w:r>
      <w:proofErr w:type="spellStart"/>
      <w:r w:rsidR="00001D4D">
        <w:t>ture</w:t>
      </w:r>
      <w:bookmarkEnd w:id="12"/>
      <w:proofErr w:type="spellEnd"/>
    </w:p>
    <w:p w14:paraId="4AC29162" w14:textId="38182D37" w:rsidR="009736F9" w:rsidRDefault="009736F9" w:rsidP="009736F9">
      <w:pPr>
        <w:pStyle w:val="TeThHauorahead2"/>
      </w:pPr>
      <w:bookmarkStart w:id="13" w:name="_Toc159235069"/>
      <w:r>
        <w:t>Powers</w:t>
      </w:r>
      <w:bookmarkEnd w:id="13"/>
    </w:p>
    <w:p w14:paraId="023275CA" w14:textId="77777777" w:rsidR="00A2264F" w:rsidRDefault="009736F9" w:rsidP="009736F9">
      <w:pPr>
        <w:pStyle w:val="TeThHauorabodytext"/>
      </w:pPr>
      <w:r>
        <w:t xml:space="preserve">Accessing NMRC </w:t>
      </w:r>
      <w:r w:rsidR="0074546B">
        <w:t>data and information</w:t>
      </w:r>
      <w:r>
        <w:t xml:space="preserve"> for research purposes requires an understanding of the legislative framework within which </w:t>
      </w:r>
      <w:r w:rsidR="006F4B32">
        <w:t xml:space="preserve">the NMRC </w:t>
      </w:r>
      <w:r>
        <w:t>operates.</w:t>
      </w:r>
    </w:p>
    <w:p w14:paraId="5EB7F3D5" w14:textId="324F5F1A" w:rsidR="00905164" w:rsidRDefault="009736F9" w:rsidP="009736F9">
      <w:pPr>
        <w:pStyle w:val="TeThHauorabodytext"/>
      </w:pPr>
      <w:r>
        <w:t>Section 82 of the Act gives Te Tāhū Hauora</w:t>
      </w:r>
      <w:r w:rsidR="009564E5">
        <w:t xml:space="preserve"> (</w:t>
      </w:r>
      <w:r w:rsidR="006A285A">
        <w:t xml:space="preserve">referred to </w:t>
      </w:r>
      <w:r w:rsidR="009564E5">
        <w:t>as HQSC in the Act)</w:t>
      </w:r>
      <w:r>
        <w:t xml:space="preserve"> the authority to</w:t>
      </w:r>
      <w:r w:rsidR="00905164">
        <w:t>:</w:t>
      </w:r>
    </w:p>
    <w:p w14:paraId="2FB4E7F8" w14:textId="52A268C0" w:rsidR="009736F9" w:rsidRPr="00701DCC" w:rsidRDefault="00905164" w:rsidP="000709AE">
      <w:pPr>
        <w:pStyle w:val="TeThHauorabodytext"/>
        <w:ind w:left="357" w:hanging="357"/>
      </w:pPr>
      <w:r w:rsidRPr="00701DCC">
        <w:t>(1)</w:t>
      </w:r>
      <w:r w:rsidR="00701DCC">
        <w:tab/>
      </w:r>
      <w:r w:rsidR="009736F9" w:rsidRPr="00701DCC">
        <w:t xml:space="preserve">appoint </w:t>
      </w:r>
      <w:r w:rsidRPr="00701DCC">
        <w:t xml:space="preserve">1 </w:t>
      </w:r>
      <w:r w:rsidR="009736F9" w:rsidRPr="00701DCC">
        <w:t xml:space="preserve">or more </w:t>
      </w:r>
      <w:r w:rsidR="009564E5" w:rsidRPr="00701DCC">
        <w:t>c</w:t>
      </w:r>
      <w:r w:rsidR="009736F9" w:rsidRPr="00701DCC">
        <w:t>ommittees</w:t>
      </w:r>
      <w:r w:rsidR="00691FA9" w:rsidRPr="00701DCC">
        <w:t xml:space="preserve"> to</w:t>
      </w:r>
      <w:r w:rsidRPr="00701DCC">
        <w:t xml:space="preserve"> perform any of the following functions that HQSC specifies by notice to the committee</w:t>
      </w:r>
      <w:r w:rsidR="00691FA9" w:rsidRPr="00701DCC">
        <w:t>:</w:t>
      </w:r>
    </w:p>
    <w:p w14:paraId="4A33D827" w14:textId="37559D11" w:rsidR="009736F9" w:rsidRPr="002B320B" w:rsidRDefault="00905164" w:rsidP="000709AE">
      <w:pPr>
        <w:pStyle w:val="TeThHauorabullets"/>
        <w:numPr>
          <w:ilvl w:val="0"/>
          <w:numId w:val="16"/>
        </w:numPr>
        <w:spacing w:after="120"/>
        <w:ind w:left="714" w:hanging="357"/>
      </w:pPr>
      <w:r>
        <w:t xml:space="preserve">to </w:t>
      </w:r>
      <w:r w:rsidR="009736F9" w:rsidRPr="002B320B">
        <w:t xml:space="preserve">review and report to </w:t>
      </w:r>
      <w:r w:rsidR="009564E5">
        <w:t>HQSC</w:t>
      </w:r>
      <w:r w:rsidR="009736F9" w:rsidRPr="002B320B">
        <w:t xml:space="preserve"> on specified classes of deaths of persons, or deaths of persons of specified classes, with a view to reducing the numbers of deaths of those classes or persons, and to continuous quality improvement through the promotion of ongoing quality assurance programmes</w:t>
      </w:r>
    </w:p>
    <w:p w14:paraId="41F83FD0" w14:textId="10619702" w:rsidR="009736F9" w:rsidRPr="001D24FB" w:rsidRDefault="009736F9" w:rsidP="002D1715">
      <w:pPr>
        <w:pStyle w:val="TeThHauorabullets"/>
        <w:numPr>
          <w:ilvl w:val="0"/>
          <w:numId w:val="16"/>
        </w:numPr>
        <w:spacing w:after="120"/>
        <w:ind w:left="714" w:hanging="357"/>
      </w:pPr>
      <w:r w:rsidRPr="002B320B">
        <w:t>to advise on any other matters related to mortality that HQSC specifies in the not</w:t>
      </w:r>
      <w:r w:rsidRPr="001D24FB">
        <w:t>ice.</w:t>
      </w:r>
      <w:r w:rsidRPr="00C67CCD">
        <w:rPr>
          <w:vertAlign w:val="superscript"/>
        </w:rPr>
        <w:footnoteReference w:id="13"/>
      </w:r>
    </w:p>
    <w:p w14:paraId="5E1D518B" w14:textId="07A555FD" w:rsidR="00A2264F" w:rsidRDefault="009736F9" w:rsidP="009736F9">
      <w:pPr>
        <w:pStyle w:val="TeThHauorabodytext"/>
      </w:pPr>
      <w:r>
        <w:t xml:space="preserve">Under the </w:t>
      </w:r>
      <w:r w:rsidR="007379F4">
        <w:t>provisions that apply to mortality review committees (</w:t>
      </w:r>
      <w:r>
        <w:t xml:space="preserve">Schedule 5 of the </w:t>
      </w:r>
      <w:r w:rsidR="00F47F49">
        <w:t>Act</w:t>
      </w:r>
      <w:r w:rsidR="007379F4">
        <w:t>)</w:t>
      </w:r>
      <w:r w:rsidR="00F47F49">
        <w:t>, the</w:t>
      </w:r>
      <w:r>
        <w:t xml:space="preserve"> committees have unique legislative powers </w:t>
      </w:r>
      <w:r w:rsidR="008C6E0A">
        <w:t xml:space="preserve">that </w:t>
      </w:r>
      <w:r>
        <w:t xml:space="preserve">enable them to obtain personally identifiable information </w:t>
      </w:r>
      <w:r w:rsidRPr="00943374">
        <w:t xml:space="preserve">to provide </w:t>
      </w:r>
      <w:r w:rsidR="00F47F49" w:rsidRPr="00943374">
        <w:t>Te Tāhū Hauora</w:t>
      </w:r>
      <w:r w:rsidRPr="00943374">
        <w:t xml:space="preserve"> with the best possible advice</w:t>
      </w:r>
      <w:r>
        <w:t>. These legislative powers remove barriers to collecting and using identifiable, private or confidential information</w:t>
      </w:r>
      <w:r w:rsidR="0048175E">
        <w:t xml:space="preserve"> in mortality review</w:t>
      </w:r>
      <w:r>
        <w:t xml:space="preserve"> and ensures the ongoing protection and privacy of the information stored. The committee can appoint </w:t>
      </w:r>
      <w:r w:rsidR="00A133B2">
        <w:t>‘</w:t>
      </w:r>
      <w:r>
        <w:t>agents</w:t>
      </w:r>
      <w:r w:rsidR="00A133B2">
        <w:t>’</w:t>
      </w:r>
      <w:r>
        <w:t xml:space="preserve"> who then are also bound by this legislation.</w:t>
      </w:r>
    </w:p>
    <w:p w14:paraId="0A573B42" w14:textId="00E14B95" w:rsidR="009736F9" w:rsidRDefault="009736F9" w:rsidP="009736F9">
      <w:pPr>
        <w:pStyle w:val="TeThHauorabodytext"/>
      </w:pPr>
      <w:r>
        <w:t xml:space="preserve">Schedule 5 prevails over the principles in the Privacy Act 2020. The Official Information Act 1982 </w:t>
      </w:r>
      <w:r w:rsidR="00F47F49">
        <w:t>cannot</w:t>
      </w:r>
      <w:r>
        <w:t xml:space="preserve"> be used to access the NMRC data collections.</w:t>
      </w:r>
      <w:r w:rsidR="00F47F49">
        <w:rPr>
          <w:rStyle w:val="FootnoteReference"/>
        </w:rPr>
        <w:footnoteReference w:id="14"/>
      </w:r>
    </w:p>
    <w:p w14:paraId="451D758F" w14:textId="0309BF24" w:rsidR="00F47F49" w:rsidRDefault="00F47F49" w:rsidP="00F47F49">
      <w:pPr>
        <w:pStyle w:val="TeThHauorahead2"/>
      </w:pPr>
      <w:bookmarkStart w:id="14" w:name="_Toc159235070"/>
      <w:r>
        <w:t>Responsibilities</w:t>
      </w:r>
      <w:bookmarkEnd w:id="14"/>
    </w:p>
    <w:p w14:paraId="16536D77" w14:textId="2E1E74D0" w:rsidR="00A2264F" w:rsidRDefault="00EE6C54" w:rsidP="00F47F49">
      <w:pPr>
        <w:pStyle w:val="TeThHauorabodytext"/>
      </w:pPr>
      <w:r>
        <w:t xml:space="preserve">Schedule 5 of the Act provides the committee(s) and appointed agents with specific powers and responsibilities for the information gathered, and these responsibilities are reinforced and strengthened by penalties under Section 82(6). </w:t>
      </w:r>
      <w:r w:rsidR="007379F4">
        <w:t>Every research</w:t>
      </w:r>
      <w:r w:rsidR="001D24FB">
        <w:t>er</w:t>
      </w:r>
      <w:r w:rsidR="007379F4">
        <w:t xml:space="preserve"> </w:t>
      </w:r>
      <w:r w:rsidR="001D24FB">
        <w:t xml:space="preserve">applying to use NMRC data </w:t>
      </w:r>
      <w:r w:rsidR="007379F4">
        <w:t>must be aware that there</w:t>
      </w:r>
      <w:r>
        <w:t xml:space="preserve"> are established policies and processes around the appointment of committee agents that are carefully observed and followed.</w:t>
      </w:r>
    </w:p>
    <w:p w14:paraId="1DECB164" w14:textId="77777777" w:rsidR="00A2264F" w:rsidRDefault="005622B0" w:rsidP="00F47F49">
      <w:pPr>
        <w:pStyle w:val="TeThHauorabodytext"/>
      </w:pPr>
      <w:r>
        <w:t>Schedule 5 of the Act also provides clear rules that govern how information is requested, produced, disclosed and recorded.</w:t>
      </w:r>
      <w:r w:rsidR="00943374">
        <w:rPr>
          <w:rStyle w:val="FootnoteReference"/>
        </w:rPr>
        <w:footnoteReference w:id="15"/>
      </w:r>
    </w:p>
    <w:p w14:paraId="3D133A0C" w14:textId="61741817" w:rsidR="00F47F49" w:rsidRDefault="00F47F49" w:rsidP="00F47F49">
      <w:pPr>
        <w:pStyle w:val="TeThHauorabodytext"/>
      </w:pPr>
      <w:r>
        <w:t xml:space="preserve">The </w:t>
      </w:r>
      <w:r w:rsidR="007379F4">
        <w:t>guiding</w:t>
      </w:r>
      <w:r>
        <w:t xml:space="preserve"> powers and responsibilities </w:t>
      </w:r>
      <w:r w:rsidR="00195A40">
        <w:t xml:space="preserve">that </w:t>
      </w:r>
      <w:r>
        <w:t>apply to members of the NMRC and their agents are as follows:</w:t>
      </w:r>
    </w:p>
    <w:p w14:paraId="25A6BA4C" w14:textId="3DCD23F7" w:rsidR="00F47F49" w:rsidRDefault="00F47F49" w:rsidP="00BD5537">
      <w:pPr>
        <w:pStyle w:val="TeThHauorabullets"/>
        <w:numPr>
          <w:ilvl w:val="0"/>
          <w:numId w:val="21"/>
        </w:numPr>
      </w:pPr>
      <w:r>
        <w:t>NMRC members, executive officers and agents have a personal obligation to maintain the security of any information that became known to that person only because of the NMRC's functions being carried</w:t>
      </w:r>
      <w:r w:rsidR="00D65F94">
        <w:t xml:space="preserve"> out</w:t>
      </w:r>
      <w:r>
        <w:t xml:space="preserve">. Under Section 82(6), any person that discloses </w:t>
      </w:r>
      <w:r>
        <w:lastRenderedPageBreak/>
        <w:t>information contrary to Schedule 5 commits an offence and is liable for a fine of up to $10,000; and</w:t>
      </w:r>
    </w:p>
    <w:p w14:paraId="37F430FB" w14:textId="3D9ED145" w:rsidR="00F47F49" w:rsidRDefault="00F47F49" w:rsidP="00BD5537">
      <w:pPr>
        <w:pStyle w:val="TeThHauorabullets"/>
        <w:numPr>
          <w:ilvl w:val="0"/>
          <w:numId w:val="21"/>
        </w:numPr>
      </w:pPr>
      <w:r>
        <w:t>if they are a member of a registered occupational profession, they are liable to disciplinary proceedings of that profession.</w:t>
      </w:r>
      <w:r>
        <w:rPr>
          <w:rStyle w:val="FootnoteReference"/>
        </w:rPr>
        <w:footnoteReference w:id="16"/>
      </w:r>
    </w:p>
    <w:p w14:paraId="47FB2FA2" w14:textId="7F52DF96" w:rsidR="00F47F49" w:rsidRDefault="00F47F49" w:rsidP="00F47F49">
      <w:pPr>
        <w:pStyle w:val="TeThHauorahead2"/>
      </w:pPr>
      <w:bookmarkStart w:id="15" w:name="GMD"/>
      <w:bookmarkStart w:id="16" w:name="_Toc159235071"/>
      <w:r>
        <w:t>Governance of Māori data</w:t>
      </w:r>
      <w:bookmarkEnd w:id="15"/>
      <w:bookmarkEnd w:id="16"/>
    </w:p>
    <w:p w14:paraId="0E24EDB5" w14:textId="6714E014" w:rsidR="00B3336C" w:rsidRDefault="00B3336C" w:rsidP="00B3336C">
      <w:pPr>
        <w:pStyle w:val="TeThHauorabodytext"/>
      </w:pPr>
      <w:r>
        <w:t xml:space="preserve">Governance and </w:t>
      </w:r>
      <w:r w:rsidR="00A2209E">
        <w:t>s</w:t>
      </w:r>
      <w:r>
        <w:t xml:space="preserve">overeignty of Māori data and information are central to the use and analysis of NMRC data and information because of persistent and significant inequities that remain in the health status between Māori and other </w:t>
      </w:r>
      <w:r w:rsidR="001B3051">
        <w:t xml:space="preserve">Aotearoa </w:t>
      </w:r>
      <w:r>
        <w:t>New Zealand populations</w:t>
      </w:r>
      <w:r>
        <w:rPr>
          <w:rStyle w:val="FootnoteReference"/>
        </w:rPr>
        <w:footnoteReference w:id="17"/>
      </w:r>
      <w:r>
        <w:t xml:space="preserve"> and in mortality outcomes.</w:t>
      </w:r>
      <w:r>
        <w:rPr>
          <w:rStyle w:val="FootnoteReference"/>
        </w:rPr>
        <w:footnoteReference w:id="18"/>
      </w:r>
      <w:r w:rsidR="00A2264F">
        <w:t xml:space="preserve"> </w:t>
      </w:r>
      <w:r>
        <w:t>These inequities are the consequence of colonisation, unequal access to services and differences in the quality</w:t>
      </w:r>
      <w:r w:rsidR="005D5283">
        <w:t xml:space="preserve"> </w:t>
      </w:r>
      <w:r>
        <w:t>of</w:t>
      </w:r>
      <w:r w:rsidR="005D5283">
        <w:t xml:space="preserve"> </w:t>
      </w:r>
      <w:r>
        <w:t xml:space="preserve">care Māori receive compared </w:t>
      </w:r>
      <w:r w:rsidR="005D5283">
        <w:t>with</w:t>
      </w:r>
      <w:r>
        <w:t xml:space="preserve"> other groups.</w:t>
      </w:r>
      <w:r w:rsidR="00E80201">
        <w:rPr>
          <w:rStyle w:val="FootnoteReference"/>
        </w:rPr>
        <w:footnoteReference w:id="19"/>
      </w:r>
      <w:r w:rsidR="00D3225D">
        <w:rPr>
          <w:vertAlign w:val="superscript"/>
        </w:rPr>
        <w:t>,</w:t>
      </w:r>
      <w:r w:rsidR="00D3225D">
        <w:rPr>
          <w:rStyle w:val="FootnoteReference"/>
        </w:rPr>
        <w:footnoteReference w:id="20"/>
      </w:r>
      <w:r>
        <w:t xml:space="preserve"> These health inequities are a breach of Te Tiriti o Waitangi and are avoidable, unethical and unjust.</w:t>
      </w:r>
    </w:p>
    <w:p w14:paraId="173A02B1" w14:textId="18561BEA" w:rsidR="00F47F49" w:rsidRDefault="00B3336C" w:rsidP="00F47F49">
      <w:pPr>
        <w:pStyle w:val="TeThHauorabodytext"/>
      </w:pPr>
      <w:r>
        <w:t xml:space="preserve">Māori </w:t>
      </w:r>
      <w:r w:rsidR="007A09B8">
        <w:t>d</w:t>
      </w:r>
      <w:r>
        <w:t xml:space="preserve">ata </w:t>
      </w:r>
      <w:r w:rsidR="007A09B8">
        <w:t>s</w:t>
      </w:r>
      <w:r>
        <w:t xml:space="preserve">overeignty recognises that Māori data and information should be subject to Māori governance. Decisions about governance and access to data and information for secondary purposes should be consistent with the Māori </w:t>
      </w:r>
      <w:r w:rsidR="007A09B8">
        <w:t>d</w:t>
      </w:r>
      <w:r>
        <w:t xml:space="preserve">ata </w:t>
      </w:r>
      <w:r w:rsidR="00C07C76">
        <w:t>governance pou</w:t>
      </w:r>
      <w:r>
        <w:t xml:space="preserve">, developed by </w:t>
      </w:r>
      <w:r w:rsidR="00C07C76">
        <w:t>Te K</w:t>
      </w:r>
      <w:r w:rsidR="00DD5A8F">
        <w:t>ā</w:t>
      </w:r>
      <w:r w:rsidR="00C07C76">
        <w:t>hui</w:t>
      </w:r>
      <w:r>
        <w:t xml:space="preserve"> </w:t>
      </w:r>
      <w:proofErr w:type="spellStart"/>
      <w:r>
        <w:t>Raraunga</w:t>
      </w:r>
      <w:proofErr w:type="spellEnd"/>
      <w:r>
        <w:t>.</w:t>
      </w:r>
      <w:r w:rsidR="00C07C76">
        <w:rPr>
          <w:rStyle w:val="FootnoteReference"/>
        </w:rPr>
        <w:footnoteReference w:id="21"/>
      </w:r>
      <w:r>
        <w:t xml:space="preserve"> While these principles were developed for Māori data, their application to all health data is also recommended and reflects good practice.</w:t>
      </w:r>
      <w:r>
        <w:rPr>
          <w:rStyle w:val="FootnoteReference"/>
        </w:rPr>
        <w:footnoteReference w:id="22"/>
      </w:r>
    </w:p>
    <w:p w14:paraId="267238E4" w14:textId="40DF6632" w:rsidR="00764E71" w:rsidRDefault="00D3225D" w:rsidP="00D3225D">
      <w:pPr>
        <w:pStyle w:val="TeThHauoraindentedquote"/>
      </w:pPr>
      <w:r>
        <w:t xml:space="preserve">Māori data refers broadly to digital or </w:t>
      </w:r>
      <w:proofErr w:type="spellStart"/>
      <w:r>
        <w:t>digitisable</w:t>
      </w:r>
      <w:proofErr w:type="spellEnd"/>
      <w:r>
        <w:t xml:space="preserve"> data, information or knowledge (including mātauranga Māori) that is about, from or connected to Māori. It includes data about population, place, culture and environment.</w:t>
      </w:r>
    </w:p>
    <w:p w14:paraId="06FD4E49" w14:textId="00B0CA9F" w:rsidR="00764E71" w:rsidRDefault="00764E71" w:rsidP="00D3225D">
      <w:pPr>
        <w:pStyle w:val="TeThHauoraindentedquote"/>
      </w:pPr>
      <w:r>
        <w:t xml:space="preserve">Māori </w:t>
      </w:r>
      <w:r w:rsidR="007A09B8">
        <w:t>d</w:t>
      </w:r>
      <w:r>
        <w:t xml:space="preserve">ata </w:t>
      </w:r>
      <w:r w:rsidR="007A09B8">
        <w:t>s</w:t>
      </w:r>
      <w:r>
        <w:t>overeignty</w:t>
      </w:r>
      <w:r w:rsidR="00E07E2A">
        <w:t>:</w:t>
      </w:r>
      <w:r>
        <w:t xml:space="preserve"> </w:t>
      </w:r>
      <w:r w:rsidR="00D3225D">
        <w:t>The inherent rights and interests that Māori have in relation to the collection, ownership and application of Māori data.</w:t>
      </w:r>
    </w:p>
    <w:p w14:paraId="79834A8F" w14:textId="280B09B5" w:rsidR="00764E71" w:rsidRDefault="00764E71" w:rsidP="00D3225D">
      <w:pPr>
        <w:pStyle w:val="TeThHauoraindentedquote"/>
      </w:pPr>
      <w:r>
        <w:t>Māori data governance</w:t>
      </w:r>
      <w:r w:rsidR="00E07E2A">
        <w:t>:</w:t>
      </w:r>
      <w:r>
        <w:t xml:space="preserve"> </w:t>
      </w:r>
      <w:r w:rsidR="00D3225D">
        <w:t>The principles, structures, accountability mechanisms, legal instruments and policies through which Māori exercise control over Māori data</w:t>
      </w:r>
      <w:r>
        <w:t>.</w:t>
      </w:r>
      <w:r w:rsidR="00635258">
        <w:rPr>
          <w:rStyle w:val="FootnoteReference"/>
        </w:rPr>
        <w:footnoteReference w:id="23"/>
      </w:r>
    </w:p>
    <w:p w14:paraId="5976D626" w14:textId="7BAD5F1D" w:rsidR="00A2264F" w:rsidRDefault="007B5825" w:rsidP="007B5825">
      <w:pPr>
        <w:pStyle w:val="TeThHauorabodytext"/>
      </w:pPr>
      <w:r>
        <w:lastRenderedPageBreak/>
        <w:t>As outlined in the Health Sector Principles</w:t>
      </w:r>
      <w:r>
        <w:rPr>
          <w:rStyle w:val="FootnoteReference"/>
        </w:rPr>
        <w:footnoteReference w:id="24"/>
      </w:r>
      <w:r>
        <w:t xml:space="preserve"> (applicable to the Minister of Health, Manatū Hauora and all health entities, </w:t>
      </w:r>
      <w:r w:rsidR="00EC6D9B">
        <w:t xml:space="preserve">including </w:t>
      </w:r>
      <w:r>
        <w:t>Te Tāhū Hauora), the NMRC is committed to working with data and information in a way that supports Māori to achieve Māori aspirations.</w:t>
      </w:r>
      <w:r w:rsidR="00890524">
        <w:t xml:space="preserve"> </w:t>
      </w:r>
      <w:r>
        <w:t xml:space="preserve">The </w:t>
      </w:r>
      <w:r w:rsidR="009817DB">
        <w:t xml:space="preserve">function </w:t>
      </w:r>
      <w:r>
        <w:t xml:space="preserve">uses two key documents to guide </w:t>
      </w:r>
      <w:r w:rsidR="0024795E">
        <w:t xml:space="preserve">this </w:t>
      </w:r>
      <w:r>
        <w:t>work:</w:t>
      </w:r>
    </w:p>
    <w:p w14:paraId="14088A42" w14:textId="560D5B5D" w:rsidR="007B5825" w:rsidRDefault="007B5825" w:rsidP="00553D9F">
      <w:pPr>
        <w:pStyle w:val="TeThHauorabodytext"/>
        <w:numPr>
          <w:ilvl w:val="0"/>
          <w:numId w:val="24"/>
        </w:numPr>
        <w:spacing w:after="60"/>
      </w:pPr>
      <w:r w:rsidRPr="00553D9F">
        <w:t>Te Pou</w:t>
      </w:r>
      <w:r w:rsidR="00A11228" w:rsidRPr="00553D9F">
        <w:rPr>
          <w:rStyle w:val="FootnoteReference"/>
        </w:rPr>
        <w:footnoteReference w:id="25"/>
      </w:r>
    </w:p>
    <w:p w14:paraId="73F56C19" w14:textId="6E32720F" w:rsidR="00C07C76" w:rsidRPr="00553D9F" w:rsidRDefault="00C07C76" w:rsidP="00553D9F">
      <w:pPr>
        <w:pStyle w:val="TeThHauorabodytext"/>
        <w:numPr>
          <w:ilvl w:val="0"/>
          <w:numId w:val="24"/>
        </w:numPr>
        <w:spacing w:after="60"/>
      </w:pPr>
      <w:r>
        <w:t>Te K</w:t>
      </w:r>
      <w:r w:rsidR="00E2359A">
        <w:t>ā</w:t>
      </w:r>
      <w:r>
        <w:t xml:space="preserve">hui </w:t>
      </w:r>
      <w:proofErr w:type="spellStart"/>
      <w:r>
        <w:t>Raraunga</w:t>
      </w:r>
      <w:proofErr w:type="spellEnd"/>
      <w:r>
        <w:t xml:space="preserve"> </w:t>
      </w:r>
      <w:r>
        <w:rPr>
          <w:i/>
          <w:iCs/>
        </w:rPr>
        <w:t>Māori Data Governance Model</w:t>
      </w:r>
      <w:r>
        <w:rPr>
          <w:rStyle w:val="FootnoteReference"/>
          <w:i/>
          <w:iCs/>
        </w:rPr>
        <w:footnoteReference w:id="26"/>
      </w:r>
    </w:p>
    <w:p w14:paraId="043661BA" w14:textId="77C52E18" w:rsidR="00A2264F" w:rsidRDefault="007B5825" w:rsidP="007B5825">
      <w:pPr>
        <w:pStyle w:val="TeThHauorabodytext"/>
      </w:pPr>
      <w:r>
        <w:t xml:space="preserve">Ngā Pou Arawhenua (the Māori Caucus of the previous five </w:t>
      </w:r>
      <w:r w:rsidR="00EE1513">
        <w:t>mortality review committees</w:t>
      </w:r>
      <w:r>
        <w:t>)</w:t>
      </w:r>
      <w:r w:rsidR="00A11228">
        <w:rPr>
          <w:rStyle w:val="FootnoteReference"/>
        </w:rPr>
        <w:footnoteReference w:id="27"/>
      </w:r>
      <w:r>
        <w:t xml:space="preserve"> produced </w:t>
      </w:r>
      <w:r w:rsidRPr="00553D9F">
        <w:t>Te Pou</w:t>
      </w:r>
      <w:r w:rsidR="00A11228" w:rsidRPr="00553D9F">
        <w:t>.</w:t>
      </w:r>
      <w:r w:rsidRPr="009D4C77">
        <w:t xml:space="preserve"> </w:t>
      </w:r>
      <w:r w:rsidRPr="00553D9F">
        <w:t>Te Pou</w:t>
      </w:r>
      <w:r>
        <w:t xml:space="preserve"> provides the NMRC, the </w:t>
      </w:r>
      <w:r w:rsidR="008166E3">
        <w:t>m</w:t>
      </w:r>
      <w:r>
        <w:t xml:space="preserve">anagement </w:t>
      </w:r>
      <w:r w:rsidR="008166E3">
        <w:t xml:space="preserve">group </w:t>
      </w:r>
      <w:r>
        <w:t>and agents thereof with a tool to assist with the interpretation and reporting of Māori mortality data and information and to strengthen Māori perspectives in mortality review committee reporting.</w:t>
      </w:r>
    </w:p>
    <w:p w14:paraId="669986D7" w14:textId="1F0BA6D0" w:rsidR="007B5825" w:rsidRDefault="007B5825" w:rsidP="007B5825">
      <w:pPr>
        <w:pStyle w:val="TeThHauorabodytext"/>
      </w:pPr>
      <w:r>
        <w:t xml:space="preserve">The </w:t>
      </w:r>
      <w:r w:rsidR="008166E3">
        <w:t xml:space="preserve">function </w:t>
      </w:r>
      <w:r>
        <w:t xml:space="preserve">further draws on the guidance of Te Mana </w:t>
      </w:r>
      <w:proofErr w:type="spellStart"/>
      <w:r>
        <w:t>Raraunga</w:t>
      </w:r>
      <w:proofErr w:type="spellEnd"/>
      <w:r>
        <w:t xml:space="preserve"> when describing Māori data and information, Māori </w:t>
      </w:r>
      <w:r w:rsidR="00104409">
        <w:t>d</w:t>
      </w:r>
      <w:r>
        <w:t xml:space="preserve">ata </w:t>
      </w:r>
      <w:r w:rsidR="00104409">
        <w:t>s</w:t>
      </w:r>
      <w:r>
        <w:t xml:space="preserve">overeignty and Māori </w:t>
      </w:r>
      <w:r w:rsidR="008166E3">
        <w:t>data gove</w:t>
      </w:r>
      <w:r>
        <w:t>rnance.</w:t>
      </w:r>
      <w:r>
        <w:rPr>
          <w:rStyle w:val="FootnoteReference"/>
        </w:rPr>
        <w:footnoteReference w:id="28"/>
      </w:r>
      <w:r>
        <w:t xml:space="preserve"> In doing so, the </w:t>
      </w:r>
      <w:r w:rsidR="008166E3">
        <w:t xml:space="preserve">function </w:t>
      </w:r>
      <w:r>
        <w:t xml:space="preserve">recognises </w:t>
      </w:r>
      <w:r w:rsidRPr="003F26F8">
        <w:t>Māori rights and interests in data to be protected</w:t>
      </w:r>
      <w:r>
        <w:t xml:space="preserve"> and for the potential for stigmatising and discriminatory reporting through the use of the data and information. The use of Te Pou allows the </w:t>
      </w:r>
      <w:r w:rsidR="008166E3">
        <w:t xml:space="preserve">function </w:t>
      </w:r>
      <w:r>
        <w:t>to actively manage this potential.</w:t>
      </w:r>
    </w:p>
    <w:p w14:paraId="5BCADE02" w14:textId="22CD911B" w:rsidR="00A2264F" w:rsidRDefault="00F47F49" w:rsidP="00F47F49">
      <w:pPr>
        <w:pStyle w:val="TeThHauorabodytext"/>
      </w:pPr>
      <w:r>
        <w:t xml:space="preserve">All research in Aotearoa New Zealand is of interest to Māori: all </w:t>
      </w:r>
      <w:r w:rsidR="000A0607">
        <w:t xml:space="preserve">research </w:t>
      </w:r>
      <w:r>
        <w:t xml:space="preserve">may produce benefits for Māori </w:t>
      </w:r>
      <w:r w:rsidR="000A0607">
        <w:t xml:space="preserve">and has the potential to support Māori to achieve their aspirations </w:t>
      </w:r>
      <w:r>
        <w:t>but may also present risks of harm</w:t>
      </w:r>
      <w:r w:rsidR="00F93CA3">
        <w:t>.</w:t>
      </w:r>
      <w:r>
        <w:t xml:space="preserve"> </w:t>
      </w:r>
      <w:r w:rsidR="00F93CA3">
        <w:t>T</w:t>
      </w:r>
      <w:r>
        <w:t>herefore</w:t>
      </w:r>
      <w:r w:rsidR="00F93CA3">
        <w:t>,</w:t>
      </w:r>
      <w:r>
        <w:t xml:space="preserve"> all researchers in Aotearoa New Zealand must consider the degree to which they can contribute to improving Māori health outcomes.</w:t>
      </w:r>
      <w:r w:rsidR="00D173B8">
        <w:rPr>
          <w:rStyle w:val="FootnoteReference"/>
        </w:rPr>
        <w:footnoteReference w:id="29"/>
      </w:r>
    </w:p>
    <w:p w14:paraId="4790C358" w14:textId="77777777" w:rsidR="002B045F" w:rsidRDefault="002B045F">
      <w:pPr>
        <w:spacing w:after="200"/>
      </w:pPr>
    </w:p>
    <w:p w14:paraId="66831513" w14:textId="77777777" w:rsidR="00EA6AD2" w:rsidRDefault="00EA6AD2">
      <w:pPr>
        <w:spacing w:after="200"/>
      </w:pPr>
    </w:p>
    <w:p w14:paraId="0B50DFE3" w14:textId="38E24702" w:rsidR="00EA6AD2" w:rsidRDefault="00EA6AD2">
      <w:pPr>
        <w:spacing w:after="200"/>
        <w:sectPr w:rsidR="00EA6AD2" w:rsidSect="00FA1E37">
          <w:footerReference w:type="default" r:id="rId19"/>
          <w:pgSz w:w="11906" w:h="16838"/>
          <w:pgMar w:top="1440" w:right="1440" w:bottom="1440" w:left="1440" w:header="709" w:footer="709" w:gutter="0"/>
          <w:pgNumType w:start="0"/>
          <w:cols w:space="708"/>
          <w:titlePg/>
          <w:docGrid w:linePitch="360"/>
        </w:sectPr>
      </w:pPr>
    </w:p>
    <w:p w14:paraId="571AB417" w14:textId="4F378FC4" w:rsidR="002B045F" w:rsidRDefault="002B045F" w:rsidP="002B045F">
      <w:pPr>
        <w:pStyle w:val="TeThHauoratablefigurecaption"/>
      </w:pPr>
      <w:bookmarkStart w:id="17" w:name="Figure1"/>
      <w:r>
        <w:lastRenderedPageBreak/>
        <w:t xml:space="preserve">Figure </w:t>
      </w:r>
      <w:r w:rsidR="00FC48E6">
        <w:t>1</w:t>
      </w:r>
      <w:bookmarkEnd w:id="17"/>
      <w:r>
        <w:t>: He Puna Whakatau</w:t>
      </w:r>
      <w:r w:rsidR="001815C2">
        <w:rPr>
          <w:rStyle w:val="FootnoteReference"/>
        </w:rPr>
        <w:footnoteReference w:id="30"/>
      </w:r>
    </w:p>
    <w:p w14:paraId="3752DC8B" w14:textId="42E2D58E" w:rsidR="00EA6AD2" w:rsidRDefault="00677761" w:rsidP="002B045F">
      <w:pPr>
        <w:pStyle w:val="TeThHauoratablefigurecaption"/>
      </w:pPr>
      <w:r w:rsidRPr="00677761">
        <w:rPr>
          <w:noProof/>
        </w:rPr>
        <w:drawing>
          <wp:anchor distT="0" distB="0" distL="114300" distR="114300" simplePos="0" relativeHeight="251658242" behindDoc="0" locked="0" layoutInCell="1" allowOverlap="1" wp14:anchorId="6550F3DA" wp14:editId="7B031885">
            <wp:simplePos x="0" y="0"/>
            <wp:positionH relativeFrom="column">
              <wp:posOffset>-19050</wp:posOffset>
            </wp:positionH>
            <wp:positionV relativeFrom="paragraph">
              <wp:posOffset>196215</wp:posOffset>
            </wp:positionV>
            <wp:extent cx="8858250" cy="4423414"/>
            <wp:effectExtent l="0" t="0" r="0" b="0"/>
            <wp:wrapNone/>
            <wp:docPr id="3" name="Picture 3">
              <a:extLst xmlns:a="http://schemas.openxmlformats.org/drawingml/2006/main">
                <a:ext uri="{FF2B5EF4-FFF2-40B4-BE49-F238E27FC236}">
                  <a16:creationId xmlns:a16="http://schemas.microsoft.com/office/drawing/2014/main" id="{676D9417-6D14-4050-F69A-D276FA93F2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76D9417-6D14-4050-F69A-D276FA93F242}"/>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8864406" cy="4426488"/>
                    </a:xfrm>
                    <a:prstGeom prst="rect">
                      <a:avLst/>
                    </a:prstGeom>
                  </pic:spPr>
                </pic:pic>
              </a:graphicData>
            </a:graphic>
            <wp14:sizeRelH relativeFrom="margin">
              <wp14:pctWidth>0</wp14:pctWidth>
            </wp14:sizeRelH>
            <wp14:sizeRelV relativeFrom="margin">
              <wp14:pctHeight>0</wp14:pctHeight>
            </wp14:sizeRelV>
          </wp:anchor>
        </w:drawing>
      </w:r>
    </w:p>
    <w:p w14:paraId="50F2BD31" w14:textId="00E3941F" w:rsidR="002B045F" w:rsidRDefault="002B045F" w:rsidP="002B045F">
      <w:pPr>
        <w:pStyle w:val="TeThHauoratablefigurecaption"/>
      </w:pPr>
    </w:p>
    <w:p w14:paraId="24CFE37A" w14:textId="77777777" w:rsidR="00EA6AD2" w:rsidRDefault="00EA6AD2" w:rsidP="002B045F">
      <w:pPr>
        <w:pStyle w:val="TeThHauoratablefigurecaption"/>
      </w:pPr>
    </w:p>
    <w:p w14:paraId="7139D08C" w14:textId="1F82E352" w:rsidR="002B045F" w:rsidRDefault="002B045F" w:rsidP="00D173B8">
      <w:pPr>
        <w:pStyle w:val="TeThHauorahead1"/>
        <w:sectPr w:rsidR="002B045F" w:rsidSect="00FA1E37">
          <w:footerReference w:type="default" r:id="rId21"/>
          <w:pgSz w:w="16838" w:h="11906" w:orient="landscape"/>
          <w:pgMar w:top="1440" w:right="1440" w:bottom="1440" w:left="1440" w:header="709" w:footer="709" w:gutter="0"/>
          <w:cols w:space="708"/>
          <w:docGrid w:linePitch="360"/>
        </w:sectPr>
      </w:pPr>
    </w:p>
    <w:p w14:paraId="1D99C0A2" w14:textId="10D9F838" w:rsidR="00D173B8" w:rsidRDefault="00D173B8" w:rsidP="00D173B8">
      <w:pPr>
        <w:pStyle w:val="TeThHauorahead1"/>
      </w:pPr>
      <w:bookmarkStart w:id="18" w:name="Section2"/>
      <w:bookmarkStart w:id="19" w:name="_Toc159235072"/>
      <w:r>
        <w:lastRenderedPageBreak/>
        <w:t xml:space="preserve">Section 2: </w:t>
      </w:r>
      <w:r w:rsidR="00471233">
        <w:t>A</w:t>
      </w:r>
      <w:r>
        <w:t>ccess to</w:t>
      </w:r>
      <w:r w:rsidR="00B94E01">
        <w:t xml:space="preserve"> and</w:t>
      </w:r>
      <w:r>
        <w:t xml:space="preserve"> analysis and publication of NMRC </w:t>
      </w:r>
      <w:r w:rsidR="00E95D2A">
        <w:t>data and information</w:t>
      </w:r>
      <w:r>
        <w:t xml:space="preserve"> </w:t>
      </w:r>
      <w:r w:rsidR="00001D4D">
        <w:t xml:space="preserve">| Wāhanga 2: Te tiki atu, te </w:t>
      </w:r>
      <w:proofErr w:type="spellStart"/>
      <w:r w:rsidR="00001D4D">
        <w:t>tātari</w:t>
      </w:r>
      <w:proofErr w:type="spellEnd"/>
      <w:r w:rsidR="00001D4D">
        <w:t xml:space="preserve"> </w:t>
      </w:r>
      <w:proofErr w:type="spellStart"/>
      <w:r w:rsidR="00001D4D">
        <w:t>rauranga</w:t>
      </w:r>
      <w:proofErr w:type="spellEnd"/>
      <w:r w:rsidR="00001D4D">
        <w:t xml:space="preserve"> hoki me te </w:t>
      </w:r>
      <w:proofErr w:type="spellStart"/>
      <w:r w:rsidR="00001D4D">
        <w:t>mōhio</w:t>
      </w:r>
      <w:r w:rsidR="007167DA">
        <w:t>hio</w:t>
      </w:r>
      <w:proofErr w:type="spellEnd"/>
      <w:r w:rsidR="007167DA">
        <w:t xml:space="preserve"> a te NMRC</w:t>
      </w:r>
      <w:bookmarkEnd w:id="18"/>
      <w:bookmarkEnd w:id="19"/>
    </w:p>
    <w:p w14:paraId="7651AC36" w14:textId="18A6F4C1" w:rsidR="0050169E" w:rsidRDefault="00E95D2A" w:rsidP="0050169E">
      <w:pPr>
        <w:pStyle w:val="TeThHauorabodytext"/>
      </w:pPr>
      <w:r>
        <w:t>Data and information</w:t>
      </w:r>
      <w:r w:rsidR="0050169E">
        <w:t xml:space="preserve"> may only be released to researchers for the purposes of the NMRC’s functions, as briefly described in </w:t>
      </w:r>
      <w:hyperlink w:anchor="Section1" w:history="1">
        <w:r w:rsidR="00C47832" w:rsidRPr="007F26CB">
          <w:rPr>
            <w:rStyle w:val="Hyperlink"/>
          </w:rPr>
          <w:t xml:space="preserve">Section </w:t>
        </w:r>
        <w:r w:rsidR="0050169E" w:rsidRPr="007F26CB">
          <w:rPr>
            <w:rStyle w:val="Hyperlink"/>
          </w:rPr>
          <w:t>1</w:t>
        </w:r>
      </w:hyperlink>
      <w:r w:rsidR="0050169E">
        <w:t xml:space="preserve">. </w:t>
      </w:r>
      <w:r w:rsidR="009E23AA">
        <w:t>Further, research results that include that data cannot be published without the consent of the committee</w:t>
      </w:r>
      <w:r w:rsidR="00F15892">
        <w:t>,</w:t>
      </w:r>
      <w:r w:rsidR="009E23AA">
        <w:t xml:space="preserve"> who will check that any release is consistent with its purpose. </w:t>
      </w:r>
      <w:r w:rsidR="0050169E" w:rsidRPr="00553D9F">
        <w:t>He Puna Whakatau</w:t>
      </w:r>
      <w:r w:rsidR="0050169E">
        <w:t xml:space="preserve"> supports decision-making about resource allocation for the </w:t>
      </w:r>
      <w:r w:rsidR="00AF1B23">
        <w:t xml:space="preserve">mortality review </w:t>
      </w:r>
      <w:r w:rsidR="0050169E">
        <w:t xml:space="preserve">work programme within a defined budget. To access NMRC </w:t>
      </w:r>
      <w:r>
        <w:t>data and information</w:t>
      </w:r>
      <w:r w:rsidR="0050169E">
        <w:t xml:space="preserve">, researchers </w:t>
      </w:r>
      <w:r w:rsidR="00F15892">
        <w:t xml:space="preserve">should </w:t>
      </w:r>
      <w:r w:rsidR="0050169E">
        <w:t xml:space="preserve">describe how their proposed project aligns with the parameters described within </w:t>
      </w:r>
      <w:r w:rsidR="0050169E" w:rsidRPr="00553D9F">
        <w:t>He Puna Whakatau</w:t>
      </w:r>
      <w:r w:rsidR="0050169E">
        <w:t xml:space="preserve"> (see </w:t>
      </w:r>
      <w:hyperlink w:anchor="Figure1" w:history="1">
        <w:r w:rsidR="001C6B2D" w:rsidRPr="00CB3D5E">
          <w:rPr>
            <w:rStyle w:val="Hyperlink"/>
          </w:rPr>
          <w:t>F</w:t>
        </w:r>
        <w:r w:rsidR="0050169E" w:rsidRPr="00CB3D5E">
          <w:rPr>
            <w:rStyle w:val="Hyperlink"/>
          </w:rPr>
          <w:t xml:space="preserve">igure </w:t>
        </w:r>
        <w:r w:rsidR="001C6B2D" w:rsidRPr="00CB3D5E">
          <w:rPr>
            <w:rStyle w:val="Hyperlink"/>
          </w:rPr>
          <w:t>1</w:t>
        </w:r>
      </w:hyperlink>
      <w:r w:rsidR="0050169E">
        <w:t>).</w:t>
      </w:r>
    </w:p>
    <w:p w14:paraId="62A0DA4F" w14:textId="6EAC0FDA" w:rsidR="00D173B8" w:rsidRDefault="00D173B8" w:rsidP="005E3F22">
      <w:pPr>
        <w:pStyle w:val="TeThHauorahead2"/>
      </w:pPr>
      <w:bookmarkStart w:id="20" w:name="_Toc159235073"/>
      <w:bookmarkStart w:id="21" w:name="SafeProcess"/>
      <w:r>
        <w:t>Demonstrat</w:t>
      </w:r>
      <w:r w:rsidR="002A4744">
        <w:t>e</w:t>
      </w:r>
      <w:r>
        <w:t xml:space="preserve"> a safe process</w:t>
      </w:r>
      <w:bookmarkEnd w:id="20"/>
    </w:p>
    <w:bookmarkEnd w:id="21"/>
    <w:p w14:paraId="2EC77852" w14:textId="3097F0BB" w:rsidR="00D173B8" w:rsidRDefault="00D173B8" w:rsidP="00D173B8">
      <w:pPr>
        <w:pStyle w:val="TeThHauorabodytext"/>
      </w:pPr>
      <w:r>
        <w:t xml:space="preserve">The following procedures describe the minimum standards expected to be able to work with NMRC </w:t>
      </w:r>
      <w:r w:rsidR="00E95D2A">
        <w:t>data and information</w:t>
      </w:r>
      <w:r>
        <w:t xml:space="preserve">. These procedures are closely aligned with the </w:t>
      </w:r>
      <w:r w:rsidR="001B2B26">
        <w:t>Stats NZ</w:t>
      </w:r>
      <w:r>
        <w:t xml:space="preserve"> </w:t>
      </w:r>
      <w:r w:rsidR="0087341D">
        <w:t>‘F</w:t>
      </w:r>
      <w:r>
        <w:t xml:space="preserve">ive </w:t>
      </w:r>
      <w:r w:rsidR="0087341D">
        <w:t>S</w:t>
      </w:r>
      <w:r>
        <w:t>afes</w:t>
      </w:r>
      <w:r w:rsidR="0087341D">
        <w:t>’</w:t>
      </w:r>
      <w:r>
        <w:t xml:space="preserve"> framework: safe people, safe projects, safe settings, safe data and safe output.</w:t>
      </w:r>
      <w:r w:rsidR="009F37C4">
        <w:rPr>
          <w:rStyle w:val="FootnoteReference"/>
        </w:rPr>
        <w:footnoteReference w:id="31"/>
      </w:r>
    </w:p>
    <w:p w14:paraId="1D09C369" w14:textId="786C309C" w:rsidR="009F37C4" w:rsidRDefault="009F37C4" w:rsidP="001E03B1">
      <w:pPr>
        <w:pStyle w:val="TeThHauorahead3"/>
      </w:pPr>
      <w:r>
        <w:t>Safe and responsible people</w:t>
      </w:r>
    </w:p>
    <w:p w14:paraId="08D949C6" w14:textId="68FA2595" w:rsidR="00A2264F" w:rsidRDefault="009F37C4" w:rsidP="009F37C4">
      <w:pPr>
        <w:pStyle w:val="TeThHauorabodytext"/>
      </w:pPr>
      <w:r>
        <w:t xml:space="preserve">Individual research teams (or individuals) must have the skills required to analyse the data requested as determined by the </w:t>
      </w:r>
      <w:r w:rsidR="001B2B26">
        <w:t>m</w:t>
      </w:r>
      <w:r>
        <w:t xml:space="preserve">anagement </w:t>
      </w:r>
      <w:r w:rsidR="001B2B26">
        <w:t>g</w:t>
      </w:r>
      <w:r>
        <w:t xml:space="preserve">roup. Research teams must identify </w:t>
      </w:r>
      <w:r w:rsidR="000A3D1F">
        <w:t xml:space="preserve">at least </w:t>
      </w:r>
      <w:r>
        <w:t xml:space="preserve">one member </w:t>
      </w:r>
      <w:r w:rsidR="00064312">
        <w:t xml:space="preserve">who </w:t>
      </w:r>
      <w:r>
        <w:t>has these skills.</w:t>
      </w:r>
    </w:p>
    <w:p w14:paraId="1831BF63" w14:textId="44EABEFA" w:rsidR="00A2264F" w:rsidRDefault="009F37C4" w:rsidP="009F37C4">
      <w:pPr>
        <w:pStyle w:val="TeThHauorabodytext"/>
      </w:pPr>
      <w:r>
        <w:t xml:space="preserve">Research teams must also include experience in the area of interest and an understanding of reporting for equity (see, for example, </w:t>
      </w:r>
      <w:r w:rsidR="00DC7042">
        <w:t>Dy</w:t>
      </w:r>
      <w:r w:rsidR="00282482">
        <w:t>c</w:t>
      </w:r>
      <w:r w:rsidR="00DC7042">
        <w:t xml:space="preserve">k </w:t>
      </w:r>
      <w:r>
        <w:t>et al 2018</w:t>
      </w:r>
      <w:r>
        <w:rPr>
          <w:rStyle w:val="FootnoteReference"/>
        </w:rPr>
        <w:footnoteReference w:id="32"/>
      </w:r>
      <w:r>
        <w:t>). If these skills are divided among research team members, the contribution of each member must be clearly specified.</w:t>
      </w:r>
    </w:p>
    <w:p w14:paraId="17A2AEBF" w14:textId="06F06B9C" w:rsidR="009F37C4" w:rsidRDefault="009F37C4" w:rsidP="009F37C4">
      <w:pPr>
        <w:pStyle w:val="TeThHauorabodytext"/>
      </w:pPr>
      <w:r>
        <w:t xml:space="preserve">Researchers may only seek access to </w:t>
      </w:r>
      <w:r w:rsidR="00E95D2A">
        <w:t>data and information</w:t>
      </w:r>
      <w:r>
        <w:t xml:space="preserve"> that </w:t>
      </w:r>
      <w:r w:rsidR="003B620B">
        <w:t xml:space="preserve">is </w:t>
      </w:r>
      <w:r>
        <w:t xml:space="preserve">directly relevant to the study for which they have approval. All researchers must become agents of the NMRC (see </w:t>
      </w:r>
      <w:r w:rsidR="000D244C">
        <w:t>the section ‘</w:t>
      </w:r>
      <w:hyperlink w:anchor="NMRCAgents" w:history="1">
        <w:r w:rsidR="00064312" w:rsidRPr="0000225A">
          <w:rPr>
            <w:rStyle w:val="Hyperlink"/>
          </w:rPr>
          <w:t>A</w:t>
        </w:r>
        <w:r w:rsidR="000D244C" w:rsidRPr="0000225A">
          <w:rPr>
            <w:rStyle w:val="Hyperlink"/>
          </w:rPr>
          <w:t>gent</w:t>
        </w:r>
        <w:r w:rsidR="00064312" w:rsidRPr="0000225A">
          <w:rPr>
            <w:rStyle w:val="Hyperlink"/>
          </w:rPr>
          <w:t>s</w:t>
        </w:r>
        <w:r w:rsidR="000D244C" w:rsidRPr="0000225A">
          <w:rPr>
            <w:rStyle w:val="Hyperlink"/>
          </w:rPr>
          <w:t xml:space="preserve"> of the NMRC</w:t>
        </w:r>
      </w:hyperlink>
      <w:r w:rsidR="000D244C">
        <w:t>’</w:t>
      </w:r>
      <w:r>
        <w:t>).</w:t>
      </w:r>
    </w:p>
    <w:p w14:paraId="6A8D19F9" w14:textId="24E5BB42" w:rsidR="009F37C4" w:rsidRDefault="009F37C4" w:rsidP="001E03B1">
      <w:pPr>
        <w:pStyle w:val="TeThHauorahead3"/>
      </w:pPr>
      <w:r>
        <w:t xml:space="preserve">Safe </w:t>
      </w:r>
      <w:r w:rsidR="00C47832">
        <w:t>p</w:t>
      </w:r>
      <w:r>
        <w:t>rojects</w:t>
      </w:r>
    </w:p>
    <w:p w14:paraId="6E2FD743" w14:textId="078CC732" w:rsidR="00A2264F" w:rsidRDefault="009F37C4" w:rsidP="009F37C4">
      <w:pPr>
        <w:pStyle w:val="TeThHauorabodytext"/>
      </w:pPr>
      <w:r>
        <w:t xml:space="preserve">Any research proposal must be aligned with the functions of the NMRC. Researchers must clearly describe how the proposed research fits within </w:t>
      </w:r>
      <w:hyperlink w:anchor="Figure1" w:history="1">
        <w:r w:rsidRPr="0000225A">
          <w:rPr>
            <w:rStyle w:val="Hyperlink"/>
          </w:rPr>
          <w:t>He Puna Whakatau</w:t>
        </w:r>
      </w:hyperlink>
      <w:r>
        <w:t>.</w:t>
      </w:r>
      <w:r>
        <w:rPr>
          <w:rStyle w:val="FootnoteReference"/>
        </w:rPr>
        <w:footnoteReference w:id="33"/>
      </w:r>
    </w:p>
    <w:p w14:paraId="2AA4BB91" w14:textId="13F4D5A4" w:rsidR="00A2264F" w:rsidRDefault="009F37C4" w:rsidP="009F37C4">
      <w:pPr>
        <w:pStyle w:val="TeThHauorabodytext"/>
      </w:pPr>
      <w:r>
        <w:t xml:space="preserve">The NMRC </w:t>
      </w:r>
      <w:r w:rsidR="00E71D8D">
        <w:t xml:space="preserve">advises </w:t>
      </w:r>
      <w:r>
        <w:t xml:space="preserve">Te Tāhū Hauora on how to reduce premature mortality and morbidity, the development of quality improvement programmes and matters related to mortality that </w:t>
      </w:r>
      <w:r w:rsidR="001A470C">
        <w:t>Te Tāhū Hauora</w:t>
      </w:r>
      <w:r>
        <w:t xml:space="preserve"> specifies.</w:t>
      </w:r>
      <w:r>
        <w:rPr>
          <w:rStyle w:val="FootnoteReference"/>
        </w:rPr>
        <w:footnoteReference w:id="34"/>
      </w:r>
      <w:r>
        <w:t xml:space="preserve"> The NMRC must also develop plans and methodologies to </w:t>
      </w:r>
      <w:r>
        <w:lastRenderedPageBreak/>
        <w:t xml:space="preserve">reduce mortality and morbidity. Access to any of the NMRC </w:t>
      </w:r>
      <w:r w:rsidR="00E95D2A">
        <w:t>data and information</w:t>
      </w:r>
      <w:r>
        <w:t xml:space="preserve"> will be considered on the basis </w:t>
      </w:r>
      <w:r w:rsidR="002866AB">
        <w:t xml:space="preserve">of whether </w:t>
      </w:r>
      <w:r>
        <w:t xml:space="preserve">the specified research project aligns with the committee's functions as defined by the Act and the NMRC’s </w:t>
      </w:r>
      <w:r w:rsidR="001957DF">
        <w:t>terms of reference</w:t>
      </w:r>
      <w:r>
        <w:t>.</w:t>
      </w:r>
      <w:r>
        <w:rPr>
          <w:rStyle w:val="FootnoteReference"/>
        </w:rPr>
        <w:footnoteReference w:id="35"/>
      </w:r>
    </w:p>
    <w:p w14:paraId="11F2B8AB" w14:textId="4030333D" w:rsidR="009F37C4" w:rsidRDefault="009F37C4" w:rsidP="009F37C4">
      <w:pPr>
        <w:pStyle w:val="TeThHauorabodytext"/>
      </w:pPr>
      <w:r>
        <w:t xml:space="preserve">The </w:t>
      </w:r>
      <w:r w:rsidR="00486F6E">
        <w:t xml:space="preserve">management group </w:t>
      </w:r>
      <w:r>
        <w:t xml:space="preserve">will not consider projects whose primary purpose is </w:t>
      </w:r>
      <w:r w:rsidR="0061593F">
        <w:t xml:space="preserve">to </w:t>
      </w:r>
      <w:r>
        <w:t>stigmatis</w:t>
      </w:r>
      <w:r w:rsidR="0061593F">
        <w:t>e</w:t>
      </w:r>
      <w:r>
        <w:t xml:space="preserve"> or discriminat</w:t>
      </w:r>
      <w:r w:rsidR="0061593F">
        <w:t>e</w:t>
      </w:r>
      <w:r>
        <w:t xml:space="preserve"> </w:t>
      </w:r>
      <w:r w:rsidR="0061593F">
        <w:t xml:space="preserve">against </w:t>
      </w:r>
      <w:r>
        <w:t>a population group.</w:t>
      </w:r>
    </w:p>
    <w:p w14:paraId="617659EB" w14:textId="43019723" w:rsidR="009F37C4" w:rsidRDefault="009F37C4" w:rsidP="001E03B1">
      <w:pPr>
        <w:pStyle w:val="TeThHauorahead3"/>
      </w:pPr>
      <w:r>
        <w:t xml:space="preserve">Safe </w:t>
      </w:r>
      <w:r w:rsidR="00C47832">
        <w:t>s</w:t>
      </w:r>
      <w:r>
        <w:t>ettings</w:t>
      </w:r>
    </w:p>
    <w:p w14:paraId="7BD6DE8A" w14:textId="77777777" w:rsidR="00A2264F" w:rsidRDefault="009F37C4" w:rsidP="009F37C4">
      <w:pPr>
        <w:pStyle w:val="TeThHauorabodytext"/>
      </w:pPr>
      <w:r>
        <w:t>Researchers must provide details of the physical and electronic environments in which they will be working, to ensure they will comply with the stringent legal requirements set out in the Act and the proposed research agreement.</w:t>
      </w:r>
    </w:p>
    <w:p w14:paraId="7630A0C1" w14:textId="399F2012" w:rsidR="00A2264F" w:rsidRDefault="009F37C4" w:rsidP="009F37C4">
      <w:pPr>
        <w:pStyle w:val="TeThHauorabodytext"/>
      </w:pPr>
      <w:r>
        <w:t xml:space="preserve">Any </w:t>
      </w:r>
      <w:r w:rsidR="0050169E">
        <w:t xml:space="preserve">data or </w:t>
      </w:r>
      <w:r>
        <w:t xml:space="preserve">information acquired from the NMRC must be stored in a safe, secure location, and detail </w:t>
      </w:r>
      <w:r w:rsidR="000041D4">
        <w:t xml:space="preserve">about this </w:t>
      </w:r>
      <w:r>
        <w:t xml:space="preserve">must be provided in the application form. The researcher and the </w:t>
      </w:r>
      <w:r w:rsidR="00486F6E">
        <w:t xml:space="preserve">management group </w:t>
      </w:r>
      <w:r>
        <w:t xml:space="preserve">will agree on </w:t>
      </w:r>
      <w:r w:rsidR="000041D4">
        <w:t xml:space="preserve">the safe storage </w:t>
      </w:r>
      <w:r w:rsidR="0050169E">
        <w:t>requirements</w:t>
      </w:r>
      <w:r>
        <w:t xml:space="preserve"> during the project.</w:t>
      </w:r>
    </w:p>
    <w:p w14:paraId="7117ACE2" w14:textId="641E8E18" w:rsidR="00A2264F" w:rsidRDefault="001C1621" w:rsidP="009F37C4">
      <w:pPr>
        <w:pStyle w:val="TeThHauorabodytext"/>
      </w:pPr>
      <w:r>
        <w:t xml:space="preserve">There should be no physical copies of the data or information provided by the NMRC, only electronic copies. </w:t>
      </w:r>
      <w:r w:rsidR="009F37C4">
        <w:t xml:space="preserve">NMRC data must be </w:t>
      </w:r>
      <w:r w:rsidR="0061593F">
        <w:t xml:space="preserve">analysed </w:t>
      </w:r>
      <w:r w:rsidR="009F37C4">
        <w:t xml:space="preserve">in a safe and secure room where the screen cannot be viewed by </w:t>
      </w:r>
      <w:r w:rsidR="0050169E">
        <w:t>a non-agent</w:t>
      </w:r>
      <w:r w:rsidR="009F37C4">
        <w:t xml:space="preserve">. </w:t>
      </w:r>
      <w:r>
        <w:t>E</w:t>
      </w:r>
      <w:r w:rsidR="007F7A16">
        <w:t>lectronic</w:t>
      </w:r>
      <w:r w:rsidR="009F37C4">
        <w:t xml:space="preserve"> files must be securely stored in a password</w:t>
      </w:r>
      <w:r w:rsidR="003700A9">
        <w:t>-</w:t>
      </w:r>
      <w:r w:rsidR="009F37C4">
        <w:t>protected folder on an organisation’s server</w:t>
      </w:r>
      <w:r>
        <w:t xml:space="preserve">, not </w:t>
      </w:r>
      <w:r w:rsidR="009F37C4">
        <w:t>on a laptop. All computers must be password protected.</w:t>
      </w:r>
    </w:p>
    <w:p w14:paraId="00963503" w14:textId="459713AA" w:rsidR="009F37C4" w:rsidRDefault="009F37C4" w:rsidP="009F37C4">
      <w:pPr>
        <w:pStyle w:val="TeThHauorabodytext"/>
      </w:pPr>
      <w:r>
        <w:t xml:space="preserve">Upon completion of the research project, </w:t>
      </w:r>
      <w:r w:rsidR="00E95D2A">
        <w:t>data and information</w:t>
      </w:r>
      <w:r>
        <w:t xml:space="preserve"> </w:t>
      </w:r>
      <w:r w:rsidR="001C12C6">
        <w:t xml:space="preserve">provided by the NMRC </w:t>
      </w:r>
      <w:r>
        <w:t xml:space="preserve">must be destroyed. In the event that analysis is required to be re-run in the future, the </w:t>
      </w:r>
      <w:r w:rsidR="00486F6E">
        <w:t xml:space="preserve">management group </w:t>
      </w:r>
      <w:r>
        <w:t>can reproduce the data request.</w:t>
      </w:r>
    </w:p>
    <w:p w14:paraId="54272919" w14:textId="7FBE11E4" w:rsidR="00BD4812" w:rsidRDefault="00BD4812" w:rsidP="001E03B1">
      <w:pPr>
        <w:pStyle w:val="TeThHauorahead3"/>
      </w:pPr>
      <w:r>
        <w:t xml:space="preserve">Safe </w:t>
      </w:r>
      <w:r w:rsidR="00C47832">
        <w:t>d</w:t>
      </w:r>
      <w:r>
        <w:t>ata</w:t>
      </w:r>
    </w:p>
    <w:p w14:paraId="256C45D1" w14:textId="39C155C9" w:rsidR="00A2264F" w:rsidRDefault="00BD4812" w:rsidP="00BD4812">
      <w:pPr>
        <w:pStyle w:val="TeThHauorabodytext"/>
      </w:pPr>
      <w:r>
        <w:t xml:space="preserve">The amount of </w:t>
      </w:r>
      <w:r w:rsidR="007F7A16">
        <w:t xml:space="preserve">personally </w:t>
      </w:r>
      <w:r>
        <w:t>identifiable</w:t>
      </w:r>
      <w:r w:rsidR="007C06E0">
        <w:t xml:space="preserve"> data or</w:t>
      </w:r>
      <w:r>
        <w:t xml:space="preserve"> information provided will be the minimum amount possible to undertake the research project. Where possible, unique identifiers will be used in preference to personal identifiers (such as name).</w:t>
      </w:r>
    </w:p>
    <w:p w14:paraId="00510421" w14:textId="695154F8" w:rsidR="00BD4812" w:rsidRDefault="00BD4812" w:rsidP="00BD4812">
      <w:pPr>
        <w:pStyle w:val="TeThHauorabodytext"/>
      </w:pPr>
      <w:r>
        <w:t xml:space="preserve">Only the fields that are required to undertake the investigation will be supplied. Please carefully consider the </w:t>
      </w:r>
      <w:r w:rsidR="00E95D2A">
        <w:t>data and information</w:t>
      </w:r>
      <w:r>
        <w:t xml:space="preserve"> required for the investigation and discuss this with </w:t>
      </w:r>
      <w:r w:rsidR="001957DF">
        <w:t>management grou</w:t>
      </w:r>
      <w:r>
        <w:t xml:space="preserve">p staff. Exploratory analysis (fishing) is </w:t>
      </w:r>
      <w:r w:rsidR="001C12C6">
        <w:t>not permitted.</w:t>
      </w:r>
      <w:r>
        <w:t xml:space="preserve"> Investigators are encouraged to have well-defined research questions to guide data requests.</w:t>
      </w:r>
    </w:p>
    <w:p w14:paraId="7F73529E" w14:textId="59CAA2BB" w:rsidR="00BD4812" w:rsidRDefault="00BD4812" w:rsidP="001E03B1">
      <w:pPr>
        <w:pStyle w:val="TeThHauorahead3"/>
      </w:pPr>
      <w:r>
        <w:t xml:space="preserve">Safe </w:t>
      </w:r>
      <w:r w:rsidR="00C47832">
        <w:t>o</w:t>
      </w:r>
      <w:r>
        <w:t>utputs</w:t>
      </w:r>
    </w:p>
    <w:p w14:paraId="422DE62C" w14:textId="144C1A43" w:rsidR="00BD4812" w:rsidRDefault="00BD4812" w:rsidP="00BD4812">
      <w:pPr>
        <w:pStyle w:val="TeThHauorabodytext"/>
      </w:pPr>
      <w:r>
        <w:t xml:space="preserve">To maintain the security of the information provided, all outputs must be approved by the </w:t>
      </w:r>
      <w:r w:rsidR="001957DF">
        <w:t>management group</w:t>
      </w:r>
      <w:r>
        <w:t xml:space="preserve"> </w:t>
      </w:r>
      <w:r w:rsidR="001214AC">
        <w:t>before</w:t>
      </w:r>
      <w:r>
        <w:t xml:space="preserve"> </w:t>
      </w:r>
      <w:r w:rsidR="002B71D4">
        <w:t xml:space="preserve">they are </w:t>
      </w:r>
      <w:r>
        <w:t xml:space="preserve">presented outside the research team of approved agents or published by any external parties (non-agents). This includes abstracts for conference presentations, presentations themselves and any draft documents </w:t>
      </w:r>
      <w:r w:rsidR="001214AC">
        <w:t>before</w:t>
      </w:r>
      <w:r>
        <w:t xml:space="preserve"> being peer reviewed, submitted for publication or reviewed by any non-agent. Any changes requested by the NMRC or </w:t>
      </w:r>
      <w:r w:rsidR="001957DF">
        <w:t>management group</w:t>
      </w:r>
      <w:r>
        <w:t xml:space="preserve"> to reduce the identifiability of people in the </w:t>
      </w:r>
      <w:r w:rsidR="00C47832">
        <w:t>data set</w:t>
      </w:r>
      <w:r>
        <w:t xml:space="preserve"> must be made and approved </w:t>
      </w:r>
      <w:r w:rsidR="001214AC">
        <w:t>before</w:t>
      </w:r>
      <w:r>
        <w:t xml:space="preserve"> release.</w:t>
      </w:r>
    </w:p>
    <w:p w14:paraId="75E40C8F" w14:textId="46982806" w:rsidR="00BD4812" w:rsidRDefault="00BD4812" w:rsidP="00BD4812">
      <w:pPr>
        <w:pStyle w:val="TeThHauorabodytext"/>
      </w:pPr>
      <w:r>
        <w:t xml:space="preserve">Results and conclusions from research must be framed in a way that is ethically sound, </w:t>
      </w:r>
      <w:r w:rsidR="00C832AA">
        <w:t xml:space="preserve">is </w:t>
      </w:r>
      <w:r>
        <w:t xml:space="preserve">strengths-based and provides a culturally safe and appropriate interpretation. Researchers </w:t>
      </w:r>
      <w:r>
        <w:lastRenderedPageBreak/>
        <w:t xml:space="preserve">are encouraged to refer to </w:t>
      </w:r>
      <w:r w:rsidRPr="00553D9F">
        <w:t>Te Pou</w:t>
      </w:r>
      <w:r w:rsidRPr="00553D9F">
        <w:rPr>
          <w:rStyle w:val="FootnoteReference"/>
        </w:rPr>
        <w:footnoteReference w:id="36"/>
      </w:r>
      <w:r w:rsidRPr="001E5ABE">
        <w:t xml:space="preserve"> </w:t>
      </w:r>
      <w:r>
        <w:t xml:space="preserve">to ensure </w:t>
      </w:r>
      <w:r w:rsidR="00F31D9E">
        <w:t xml:space="preserve">that </w:t>
      </w:r>
      <w:r>
        <w:t>presentation of the information will do no further harm.</w:t>
      </w:r>
    </w:p>
    <w:p w14:paraId="48C2BD57" w14:textId="0E95D4AC" w:rsidR="00BD4812" w:rsidRDefault="00BD4812" w:rsidP="00BD4812">
      <w:pPr>
        <w:pStyle w:val="TeThHauorabodytext"/>
      </w:pPr>
      <w:r>
        <w:t xml:space="preserve">The approval process for release of results/findings will be limited to ensuring the confidentiality of the information being made available for external release, statements of fact and alignment with </w:t>
      </w:r>
      <w:r w:rsidRPr="00553D9F">
        <w:t>Te Pou</w:t>
      </w:r>
      <w:r w:rsidRPr="00C5680A">
        <w:t>.</w:t>
      </w:r>
      <w:r w:rsidR="007C06E0">
        <w:t xml:space="preserve"> </w:t>
      </w:r>
      <w:r w:rsidR="00F31D9E">
        <w:t>A</w:t>
      </w:r>
      <w:r w:rsidR="009F16B9" w:rsidRPr="009F16B9">
        <w:t xml:space="preserve">ll cells where the value is </w:t>
      </w:r>
      <w:r w:rsidR="009F16B9">
        <w:t xml:space="preserve">less than </w:t>
      </w:r>
      <w:r w:rsidR="00486F6E">
        <w:t xml:space="preserve">5 </w:t>
      </w:r>
      <w:r w:rsidR="00F31D9E">
        <w:t>must be suppressed</w:t>
      </w:r>
      <w:r w:rsidR="009F16B9" w:rsidRPr="009F16B9">
        <w:t xml:space="preserve">. </w:t>
      </w:r>
      <w:r w:rsidR="009F16B9">
        <w:t xml:space="preserve">Researchers are referred to Statistics New Zealand’s </w:t>
      </w:r>
      <w:r w:rsidR="009F16B9">
        <w:rPr>
          <w:i/>
          <w:iCs/>
        </w:rPr>
        <w:t xml:space="preserve">Microdata output </w:t>
      </w:r>
      <w:r w:rsidR="009F16B9" w:rsidRPr="009F16B9">
        <w:rPr>
          <w:i/>
          <w:iCs/>
        </w:rPr>
        <w:t>guide</w:t>
      </w:r>
      <w:r w:rsidR="009F16B9">
        <w:t xml:space="preserve"> for guidance on suppressing low cell values.</w:t>
      </w:r>
      <w:r w:rsidR="009F16B9">
        <w:rPr>
          <w:rStyle w:val="FootnoteReference"/>
        </w:rPr>
        <w:footnoteReference w:id="37"/>
      </w:r>
      <w:r w:rsidR="009F16B9">
        <w:t xml:space="preserve"> </w:t>
      </w:r>
      <w:r w:rsidR="007C06E0" w:rsidRPr="009F16B9">
        <w:t>Researchers</w:t>
      </w:r>
      <w:r w:rsidR="007C06E0">
        <w:t xml:space="preserve"> are responsible for ensuring the accuracy of facts.</w:t>
      </w:r>
    </w:p>
    <w:p w14:paraId="14DC215E" w14:textId="1D0C48CF" w:rsidR="00BD4812" w:rsidRDefault="00E01AB3" w:rsidP="00BD4812">
      <w:pPr>
        <w:pStyle w:val="TeThHauorabodytext"/>
      </w:pPr>
      <w:r w:rsidRPr="00E01AB3">
        <w:t>Each year, upon renewal of agent status, researchers must update the management group to ensure</w:t>
      </w:r>
      <w:r>
        <w:t xml:space="preserve"> </w:t>
      </w:r>
      <w:r w:rsidR="000E1D1C">
        <w:t xml:space="preserve">the </w:t>
      </w:r>
      <w:r w:rsidR="00BD4812">
        <w:t>work stays within the agreed parameters of the proposed project and will receive the NMRC’s approval for publication.</w:t>
      </w:r>
      <w:r w:rsidR="007C06E0">
        <w:t xml:space="preserve"> </w:t>
      </w:r>
    </w:p>
    <w:p w14:paraId="77B68571" w14:textId="7B51DF2C" w:rsidR="00BD4812" w:rsidRDefault="00BD4812" w:rsidP="007C06E0">
      <w:pPr>
        <w:pStyle w:val="TeThHauorahead2"/>
      </w:pPr>
      <w:bookmarkStart w:id="22" w:name="_Toc159235074"/>
      <w:r>
        <w:t xml:space="preserve">Application </w:t>
      </w:r>
      <w:r w:rsidR="00F27533">
        <w:t>p</w:t>
      </w:r>
      <w:r>
        <w:t>rocedure</w:t>
      </w:r>
      <w:bookmarkEnd w:id="22"/>
    </w:p>
    <w:p w14:paraId="7B342F1D" w14:textId="2A54B1CE" w:rsidR="00025F0B" w:rsidRDefault="009B7CC9" w:rsidP="00025F0B">
      <w:pPr>
        <w:pStyle w:val="TeThHauorabodytext"/>
      </w:pPr>
      <w:r w:rsidRPr="00583D22">
        <w:t xml:space="preserve">Accessing data or information for research purposes </w:t>
      </w:r>
      <w:r w:rsidR="001815C2">
        <w:t xml:space="preserve">entails several steps (see </w:t>
      </w:r>
      <w:hyperlink w:anchor="Figure2" w:history="1">
        <w:r w:rsidR="001815C2" w:rsidRPr="00073414">
          <w:rPr>
            <w:rStyle w:val="Hyperlink"/>
          </w:rPr>
          <w:t>Figure 2</w:t>
        </w:r>
      </w:hyperlink>
      <w:r w:rsidR="001815C2">
        <w:t xml:space="preserve"> for a summary)</w:t>
      </w:r>
      <w:r>
        <w:t>.</w:t>
      </w:r>
      <w:r w:rsidR="001815C2">
        <w:t xml:space="preserve"> </w:t>
      </w:r>
      <w:r w:rsidR="00025F0B">
        <w:t>When planning their study, researchers need to be aware that the process from first making a data application to receiving approval may take several months.</w:t>
      </w:r>
    </w:p>
    <w:p w14:paraId="14BABF64" w14:textId="77777777" w:rsidR="000E68B5" w:rsidRDefault="000E68B5" w:rsidP="000E68B5">
      <w:pPr>
        <w:pStyle w:val="TeThHauoratablefigurecaption"/>
      </w:pPr>
      <w:bookmarkStart w:id="23" w:name="Figure2"/>
      <w:r>
        <w:t>Figure 2</w:t>
      </w:r>
      <w:bookmarkEnd w:id="23"/>
      <w:r>
        <w:t>: Summary of application process</w:t>
      </w:r>
    </w:p>
    <w:p w14:paraId="5B4D2888" w14:textId="77777777" w:rsidR="000E68B5" w:rsidRDefault="000E68B5" w:rsidP="000E68B5">
      <w:pPr>
        <w:pStyle w:val="TeThHauorabodytext"/>
      </w:pPr>
      <w:r>
        <w:rPr>
          <w:noProof/>
        </w:rPr>
        <w:drawing>
          <wp:inline distT="0" distB="0" distL="0" distR="0" wp14:anchorId="3A18D501" wp14:editId="65B05AE8">
            <wp:extent cx="5731510" cy="4494530"/>
            <wp:effectExtent l="0" t="0" r="2540" b="1270"/>
            <wp:docPr id="1611478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78275" name="Picture 1611478275"/>
                    <pic:cNvPicPr/>
                  </pic:nvPicPr>
                  <pic:blipFill>
                    <a:blip r:embed="rId22">
                      <a:extLst>
                        <a:ext uri="{28A0092B-C50C-407E-A947-70E740481C1C}">
                          <a14:useLocalDpi xmlns:a14="http://schemas.microsoft.com/office/drawing/2010/main" val="0"/>
                        </a:ext>
                      </a:extLst>
                    </a:blip>
                    <a:stretch>
                      <a:fillRect/>
                    </a:stretch>
                  </pic:blipFill>
                  <pic:spPr>
                    <a:xfrm>
                      <a:off x="0" y="0"/>
                      <a:ext cx="5731510" cy="4494530"/>
                    </a:xfrm>
                    <a:prstGeom prst="rect">
                      <a:avLst/>
                    </a:prstGeom>
                  </pic:spPr>
                </pic:pic>
              </a:graphicData>
            </a:graphic>
          </wp:inline>
        </w:drawing>
      </w:r>
    </w:p>
    <w:p w14:paraId="7499F79C" w14:textId="551C333E" w:rsidR="00BD4812" w:rsidRDefault="00C32A16" w:rsidP="009D3F9C">
      <w:pPr>
        <w:pStyle w:val="TeThHauorabodytext"/>
      </w:pPr>
      <w:r>
        <w:lastRenderedPageBreak/>
        <w:t>T</w:t>
      </w:r>
      <w:r w:rsidR="00BD4812">
        <w:t xml:space="preserve">o seek approval to access NMRC </w:t>
      </w:r>
      <w:r w:rsidR="00E95D2A">
        <w:t>data and information</w:t>
      </w:r>
      <w:r>
        <w:t>, t</w:t>
      </w:r>
      <w:r w:rsidR="00BD4812">
        <w:t xml:space="preserve">he researcher must </w:t>
      </w:r>
      <w:r w:rsidR="004D0467">
        <w:t>complete</w:t>
      </w:r>
      <w:r w:rsidR="00BD4812">
        <w:t xml:space="preserve"> the associated </w:t>
      </w:r>
      <w:hyperlink r:id="rId23" w:history="1">
        <w:r w:rsidR="001815C2" w:rsidRPr="00947D6B">
          <w:rPr>
            <w:rStyle w:val="Hyperlink"/>
          </w:rPr>
          <w:t>d</w:t>
        </w:r>
        <w:r w:rsidR="00BD4812" w:rsidRPr="00947D6B">
          <w:rPr>
            <w:rStyle w:val="Hyperlink"/>
          </w:rPr>
          <w:t xml:space="preserve">ata </w:t>
        </w:r>
        <w:r w:rsidR="001815C2" w:rsidRPr="00947D6B">
          <w:rPr>
            <w:rStyle w:val="Hyperlink"/>
          </w:rPr>
          <w:t>a</w:t>
        </w:r>
        <w:r w:rsidR="00BD4812" w:rsidRPr="00947D6B">
          <w:rPr>
            <w:rStyle w:val="Hyperlink"/>
          </w:rPr>
          <w:t xml:space="preserve">ccess </w:t>
        </w:r>
        <w:r w:rsidR="001815C2" w:rsidRPr="00947D6B">
          <w:rPr>
            <w:rStyle w:val="Hyperlink"/>
          </w:rPr>
          <w:t>a</w:t>
        </w:r>
        <w:r w:rsidR="00BD4812" w:rsidRPr="00947D6B">
          <w:rPr>
            <w:rStyle w:val="Hyperlink"/>
          </w:rPr>
          <w:t>p</w:t>
        </w:r>
        <w:r w:rsidR="00BD4812" w:rsidRPr="00947D6B">
          <w:rPr>
            <w:rStyle w:val="Hyperlink"/>
          </w:rPr>
          <w:t xml:space="preserve">plication </w:t>
        </w:r>
        <w:r w:rsidR="001815C2" w:rsidRPr="00947D6B">
          <w:rPr>
            <w:rStyle w:val="Hyperlink"/>
          </w:rPr>
          <w:t>f</w:t>
        </w:r>
        <w:r w:rsidR="00BD4812" w:rsidRPr="00947D6B">
          <w:rPr>
            <w:rStyle w:val="Hyperlink"/>
          </w:rPr>
          <w:t>orm</w:t>
        </w:r>
      </w:hyperlink>
      <w:r w:rsidR="00BD4812">
        <w:t>.</w:t>
      </w:r>
    </w:p>
    <w:p w14:paraId="2C948D69" w14:textId="678702CD" w:rsidR="00D3646A" w:rsidRDefault="00BD4812" w:rsidP="009D3F9C">
      <w:pPr>
        <w:pStyle w:val="TeThHauorabodytext"/>
      </w:pPr>
      <w:r>
        <w:t xml:space="preserve">The </w:t>
      </w:r>
      <w:r w:rsidR="001957DF">
        <w:t xml:space="preserve">management group </w:t>
      </w:r>
      <w:r>
        <w:t>will:</w:t>
      </w:r>
    </w:p>
    <w:p w14:paraId="1C44EBA9" w14:textId="42BBFA49" w:rsidR="00C32A16" w:rsidRDefault="00C32A16" w:rsidP="004D0467">
      <w:pPr>
        <w:pStyle w:val="TeThHauorabullets"/>
        <w:numPr>
          <w:ilvl w:val="0"/>
          <w:numId w:val="22"/>
        </w:numPr>
      </w:pPr>
      <w:r>
        <w:t xml:space="preserve">consider </w:t>
      </w:r>
      <w:r w:rsidR="00F34AB0">
        <w:t xml:space="preserve">the </w:t>
      </w:r>
      <w:r>
        <w:t>research application in accordance with this policy</w:t>
      </w:r>
    </w:p>
    <w:p w14:paraId="1E84DDB5" w14:textId="25AEE844" w:rsidR="0095252D" w:rsidRDefault="0095252D" w:rsidP="009D3F9C">
      <w:pPr>
        <w:pStyle w:val="TeThHauorabullets"/>
        <w:numPr>
          <w:ilvl w:val="0"/>
          <w:numId w:val="22"/>
        </w:numPr>
      </w:pPr>
      <w:r>
        <w:t xml:space="preserve">review </w:t>
      </w:r>
      <w:r w:rsidR="00F34AB0">
        <w:t xml:space="preserve">how </w:t>
      </w:r>
      <w:r>
        <w:t xml:space="preserve">the application </w:t>
      </w:r>
      <w:r w:rsidR="00F34AB0">
        <w:t xml:space="preserve">aligns with the safe processes described in the </w:t>
      </w:r>
      <w:r w:rsidR="00DB066A">
        <w:t xml:space="preserve">section </w:t>
      </w:r>
      <w:r w:rsidR="00F34AB0">
        <w:t>‘</w:t>
      </w:r>
      <w:hyperlink w:anchor="SafeProcess" w:history="1">
        <w:r w:rsidR="00F34AB0" w:rsidRPr="00DB066A">
          <w:rPr>
            <w:rStyle w:val="Hyperlink"/>
          </w:rPr>
          <w:t>Demonstrat</w:t>
        </w:r>
        <w:r w:rsidR="00DB066A" w:rsidRPr="00DB066A">
          <w:rPr>
            <w:rStyle w:val="Hyperlink"/>
          </w:rPr>
          <w:t>e</w:t>
        </w:r>
        <w:r w:rsidR="00F34AB0" w:rsidRPr="00DB066A">
          <w:rPr>
            <w:rStyle w:val="Hyperlink"/>
          </w:rPr>
          <w:t xml:space="preserve"> a safe process</w:t>
        </w:r>
      </w:hyperlink>
      <w:r w:rsidR="00F34AB0">
        <w:t xml:space="preserve">’, </w:t>
      </w:r>
      <w:hyperlink w:anchor="Figure1" w:history="1">
        <w:r w:rsidR="00F34AB0" w:rsidRPr="00DB066A">
          <w:rPr>
            <w:rStyle w:val="Hyperlink"/>
          </w:rPr>
          <w:t>He Puna W</w:t>
        </w:r>
        <w:r w:rsidR="00F34AB0" w:rsidRPr="00DB066A">
          <w:rPr>
            <w:rStyle w:val="Hyperlink"/>
          </w:rPr>
          <w:t>h</w:t>
        </w:r>
        <w:r w:rsidR="00F34AB0" w:rsidRPr="00DB066A">
          <w:rPr>
            <w:rStyle w:val="Hyperlink"/>
          </w:rPr>
          <w:t>akatau</w:t>
        </w:r>
      </w:hyperlink>
      <w:r w:rsidR="00F34AB0">
        <w:t xml:space="preserve"> and Te Pou</w:t>
      </w:r>
    </w:p>
    <w:p w14:paraId="5F78147F" w14:textId="56558FED" w:rsidR="00BD4812" w:rsidRDefault="00BD4812" w:rsidP="009D3F9C">
      <w:pPr>
        <w:pStyle w:val="TeThHauorabullets"/>
        <w:numPr>
          <w:ilvl w:val="0"/>
          <w:numId w:val="22"/>
        </w:numPr>
      </w:pPr>
      <w:r>
        <w:t xml:space="preserve">give fair and impartial consideration to all applications </w:t>
      </w:r>
      <w:r w:rsidR="00400B85">
        <w:t xml:space="preserve">and </w:t>
      </w:r>
      <w:r>
        <w:t>consider the advice of independent referees as nominated by the research team</w:t>
      </w:r>
    </w:p>
    <w:p w14:paraId="1CB747B2" w14:textId="2B0ECD66" w:rsidR="00BD4812" w:rsidRDefault="00BD4812" w:rsidP="009D3F9C">
      <w:pPr>
        <w:pStyle w:val="TeThHauorabullets"/>
        <w:numPr>
          <w:ilvl w:val="0"/>
          <w:numId w:val="22"/>
        </w:numPr>
      </w:pPr>
      <w:r>
        <w:t xml:space="preserve">make </w:t>
      </w:r>
      <w:r w:rsidR="00DB066A">
        <w:t>e</w:t>
      </w:r>
      <w:r>
        <w:t xml:space="preserve">nquiries, when necessary, to help avoid duplication </w:t>
      </w:r>
      <w:r w:rsidR="00EA13FF">
        <w:t xml:space="preserve">of </w:t>
      </w:r>
      <w:r>
        <w:t>the work of other researchers in the same field</w:t>
      </w:r>
    </w:p>
    <w:p w14:paraId="3E463F4C" w14:textId="56A2B987" w:rsidR="00BD4812" w:rsidRDefault="00BD4812" w:rsidP="009D3F9C">
      <w:pPr>
        <w:pStyle w:val="TeThHauorabullets"/>
        <w:numPr>
          <w:ilvl w:val="0"/>
          <w:numId w:val="22"/>
        </w:numPr>
      </w:pPr>
      <w:r>
        <w:t>consider the scientific interest and public health importance of the proposed study, its methodology and the likelihood of beneficial outcomes and risk of exacerbating existing inequities</w:t>
      </w:r>
    </w:p>
    <w:p w14:paraId="27F712F7" w14:textId="7625CB11" w:rsidR="00BD4812" w:rsidRDefault="009663F8" w:rsidP="009D3F9C">
      <w:pPr>
        <w:pStyle w:val="TeThHauorabullets"/>
        <w:numPr>
          <w:ilvl w:val="0"/>
          <w:numId w:val="22"/>
        </w:numPr>
      </w:pPr>
      <w:r>
        <w:t xml:space="preserve">consider </w:t>
      </w:r>
      <w:r w:rsidR="00BD4812">
        <w:t>how the proposed study, methodology and likely beneficial outcomes support Te Tiriti o Waitangi, Māori health advancement and equitable outcomes for all populations</w:t>
      </w:r>
    </w:p>
    <w:p w14:paraId="03B0B7F8" w14:textId="22EC39C6" w:rsidR="00791DE9" w:rsidRDefault="00BD4812" w:rsidP="004D0467">
      <w:pPr>
        <w:pStyle w:val="TeThHauorabullets"/>
        <w:numPr>
          <w:ilvl w:val="0"/>
          <w:numId w:val="22"/>
        </w:numPr>
      </w:pPr>
      <w:r>
        <w:t xml:space="preserve">carefully evaluate the proposal to ensure that studies conducted using NMRC </w:t>
      </w:r>
      <w:r w:rsidR="00E95D2A">
        <w:t>data and information</w:t>
      </w:r>
      <w:r>
        <w:t xml:space="preserve"> are well designed</w:t>
      </w:r>
    </w:p>
    <w:p w14:paraId="7846B168" w14:textId="4B49A583" w:rsidR="00A2264F" w:rsidRDefault="00606551" w:rsidP="00A96CC4">
      <w:pPr>
        <w:pStyle w:val="TeThHauorabullets"/>
        <w:numPr>
          <w:ilvl w:val="0"/>
          <w:numId w:val="22"/>
        </w:numPr>
      </w:pPr>
      <w:r>
        <w:t>a</w:t>
      </w:r>
      <w:r w:rsidR="002428D7">
        <w:t xml:space="preserve">scertain the </w:t>
      </w:r>
      <w:r w:rsidR="00BD4812">
        <w:t xml:space="preserve">degree </w:t>
      </w:r>
      <w:r w:rsidR="002428D7">
        <w:t xml:space="preserve">to which </w:t>
      </w:r>
      <w:r w:rsidR="00791DE9">
        <w:t xml:space="preserve">the proposal </w:t>
      </w:r>
      <w:r w:rsidR="00BD4812">
        <w:t xml:space="preserve">adheres to the Māori data </w:t>
      </w:r>
      <w:r w:rsidR="00486F6E">
        <w:t>governance pou (please see ‘</w:t>
      </w:r>
      <w:hyperlink w:anchor="GMD" w:history="1">
        <w:r w:rsidR="000A78F9" w:rsidRPr="00F15C5B">
          <w:rPr>
            <w:rStyle w:val="Hyperlink"/>
          </w:rPr>
          <w:t>G</w:t>
        </w:r>
        <w:r w:rsidR="00486F6E" w:rsidRPr="00F15C5B">
          <w:rPr>
            <w:rStyle w:val="Hyperlink"/>
          </w:rPr>
          <w:t>overnance</w:t>
        </w:r>
        <w:r w:rsidR="000A78F9" w:rsidRPr="00F15C5B">
          <w:rPr>
            <w:rStyle w:val="Hyperlink"/>
          </w:rPr>
          <w:t xml:space="preserve"> of Māori data</w:t>
        </w:r>
      </w:hyperlink>
      <w:r w:rsidR="00486F6E">
        <w:t xml:space="preserve">’) </w:t>
      </w:r>
    </w:p>
    <w:p w14:paraId="3FEA7978" w14:textId="60FF76D1" w:rsidR="002428D7" w:rsidRDefault="002428D7" w:rsidP="00A96CC4">
      <w:pPr>
        <w:pStyle w:val="TeThHauorabullets"/>
        <w:numPr>
          <w:ilvl w:val="0"/>
          <w:numId w:val="22"/>
        </w:numPr>
      </w:pPr>
      <w:r>
        <w:t>request further information if necessary</w:t>
      </w:r>
    </w:p>
    <w:p w14:paraId="3075E7E6" w14:textId="5C55A933" w:rsidR="002428D7" w:rsidRDefault="00B71E3F" w:rsidP="00A96CC4">
      <w:pPr>
        <w:pStyle w:val="TeThHauorabullets"/>
        <w:numPr>
          <w:ilvl w:val="0"/>
          <w:numId w:val="22"/>
        </w:numPr>
      </w:pPr>
      <w:r>
        <w:t>make a recommendation to the NMRC, who hold the authority to approve or deny access to NMRC data and information.</w:t>
      </w:r>
    </w:p>
    <w:p w14:paraId="12ACC67E" w14:textId="19A4D33D" w:rsidR="003735DB" w:rsidRPr="00D97EF3" w:rsidRDefault="00D97EF3" w:rsidP="003735DB">
      <w:pPr>
        <w:pStyle w:val="TeThHauorabodytext"/>
        <w:rPr>
          <w:iCs/>
          <w:noProof/>
          <w:lang w:eastAsia="en-NZ"/>
        </w:rPr>
      </w:pPr>
      <w:r w:rsidRPr="00D97EF3">
        <w:rPr>
          <w:iCs/>
          <w:noProof/>
          <w:lang w:eastAsia="en-NZ"/>
        </w:rPr>
        <w:t xml:space="preserve">If </w:t>
      </w:r>
      <w:r w:rsidRPr="00D97EF3">
        <w:t>the application is approved, the management group will work with the researchers to identify the parameters of the dataset, including relevant fields, years of interest and filters on the data. A clear specification of the data set parameters will allow the data set to be reproduced in future, if required.</w:t>
      </w:r>
    </w:p>
    <w:p w14:paraId="0291093E" w14:textId="35C17508" w:rsidR="00BD4812" w:rsidRDefault="00D97EF3" w:rsidP="00BD4812">
      <w:pPr>
        <w:pStyle w:val="TeThHauorabodytext"/>
      </w:pPr>
      <w:r>
        <w:t>R</w:t>
      </w:r>
      <w:r w:rsidR="00F666E2">
        <w:t xml:space="preserve">esearchers should then seek the appropriate ethics approval. Once this is obtained, </w:t>
      </w:r>
      <w:r w:rsidR="007807D6">
        <w:t>the NMRC data and information will be released.</w:t>
      </w:r>
      <w:r w:rsidR="00BD4812">
        <w:t xml:space="preserve"> Applications will be declined if there are concerns over ethics, confidentiality or cultural (or other) safety.</w:t>
      </w:r>
    </w:p>
    <w:p w14:paraId="01E52683" w14:textId="77777777" w:rsidR="00146F34" w:rsidRPr="001A3C11" w:rsidRDefault="00146F34" w:rsidP="00146F34">
      <w:pPr>
        <w:spacing w:before="120" w:after="0"/>
        <w:rPr>
          <w:rFonts w:cs="Arial"/>
          <w:iCs/>
          <w:noProof/>
          <w:lang w:eastAsia="en-NZ"/>
        </w:rPr>
      </w:pPr>
      <w:r w:rsidRPr="001A3C11">
        <w:rPr>
          <w:rFonts w:cs="Arial"/>
          <w:iCs/>
          <w:noProof/>
          <w:lang w:eastAsia="en-NZ"/>
        </w:rPr>
        <w:t>At this second step, the management group will send a letter of agreement to the research team. This letter will include the:</w:t>
      </w:r>
    </w:p>
    <w:p w14:paraId="4F031F52" w14:textId="77777777" w:rsidR="00146F34" w:rsidRDefault="00146F34" w:rsidP="00146F34">
      <w:pPr>
        <w:pStyle w:val="ListParagraph"/>
        <w:numPr>
          <w:ilvl w:val="0"/>
          <w:numId w:val="28"/>
        </w:numPr>
        <w:spacing w:before="60" w:after="0"/>
        <w:ind w:left="357" w:hanging="357"/>
        <w:contextualSpacing w:val="0"/>
        <w:rPr>
          <w:rFonts w:cs="Arial"/>
          <w:iCs/>
          <w:noProof/>
          <w:lang w:eastAsia="en-NZ"/>
        </w:rPr>
      </w:pPr>
      <w:r w:rsidRPr="00DC4F92">
        <w:rPr>
          <w:rFonts w:cs="Arial"/>
          <w:iCs/>
          <w:noProof/>
          <w:lang w:eastAsia="en-NZ"/>
        </w:rPr>
        <w:t>specific data/fields required</w:t>
      </w:r>
    </w:p>
    <w:p w14:paraId="45D55B51" w14:textId="77777777" w:rsidR="00146F34" w:rsidRDefault="00146F34" w:rsidP="00146F34">
      <w:pPr>
        <w:pStyle w:val="ListParagraph"/>
        <w:numPr>
          <w:ilvl w:val="0"/>
          <w:numId w:val="28"/>
        </w:numPr>
        <w:spacing w:before="60" w:after="0"/>
        <w:ind w:left="357" w:hanging="357"/>
        <w:contextualSpacing w:val="0"/>
        <w:rPr>
          <w:rFonts w:cs="Arial"/>
          <w:iCs/>
          <w:noProof/>
          <w:lang w:eastAsia="en-NZ"/>
        </w:rPr>
      </w:pPr>
      <w:r w:rsidRPr="00DC4F92">
        <w:rPr>
          <w:rFonts w:cs="Arial"/>
          <w:iCs/>
          <w:noProof/>
          <w:lang w:eastAsia="en-NZ"/>
        </w:rPr>
        <w:t>date of data provision</w:t>
      </w:r>
    </w:p>
    <w:p w14:paraId="251D0AB1" w14:textId="77777777" w:rsidR="00146F34" w:rsidRDefault="00146F34" w:rsidP="00146F34">
      <w:pPr>
        <w:pStyle w:val="ListParagraph"/>
        <w:numPr>
          <w:ilvl w:val="0"/>
          <w:numId w:val="28"/>
        </w:numPr>
        <w:spacing w:before="60" w:after="0"/>
        <w:ind w:left="357" w:hanging="357"/>
        <w:contextualSpacing w:val="0"/>
        <w:rPr>
          <w:rFonts w:cs="Arial"/>
          <w:iCs/>
          <w:noProof/>
          <w:lang w:eastAsia="en-NZ"/>
        </w:rPr>
      </w:pPr>
      <w:r w:rsidRPr="00DC4F92">
        <w:rPr>
          <w:rFonts w:cs="Arial"/>
          <w:iCs/>
          <w:noProof/>
          <w:lang w:eastAsia="en-NZ"/>
        </w:rPr>
        <w:t>means of data transmission</w:t>
      </w:r>
    </w:p>
    <w:p w14:paraId="66300117" w14:textId="77777777" w:rsidR="00146F34" w:rsidRDefault="00146F34" w:rsidP="00146F34">
      <w:pPr>
        <w:pStyle w:val="ListParagraph"/>
        <w:numPr>
          <w:ilvl w:val="0"/>
          <w:numId w:val="28"/>
        </w:numPr>
        <w:spacing w:before="60"/>
        <w:ind w:left="357" w:hanging="357"/>
        <w:contextualSpacing w:val="0"/>
        <w:rPr>
          <w:rFonts w:cs="Arial"/>
          <w:iCs/>
          <w:noProof/>
          <w:lang w:eastAsia="en-NZ"/>
        </w:rPr>
      </w:pPr>
      <w:r w:rsidRPr="00DC4F92">
        <w:rPr>
          <w:rFonts w:cs="Arial"/>
          <w:iCs/>
          <w:noProof/>
          <w:lang w:eastAsia="en-NZ"/>
        </w:rPr>
        <w:t>expiry date of data availability and agent status.</w:t>
      </w:r>
    </w:p>
    <w:p w14:paraId="5AA6B28F" w14:textId="77777777" w:rsidR="00146F34" w:rsidRPr="009D17B9" w:rsidRDefault="00146F34" w:rsidP="00146F34">
      <w:pPr>
        <w:pStyle w:val="TeThHauorabodytext"/>
        <w:rPr>
          <w:noProof/>
          <w:lang w:eastAsia="en-NZ"/>
        </w:rPr>
      </w:pPr>
      <w:r w:rsidRPr="009D17B9">
        <w:rPr>
          <w:noProof/>
          <w:lang w:eastAsia="en-NZ"/>
        </w:rPr>
        <w:t>The NMRC chair and lead researcher will co-sign the letter of agreement, which will be held by the management group and, where relevant, the New Zealand Mortality Review Data Group.</w:t>
      </w:r>
    </w:p>
    <w:p w14:paraId="3272C773" w14:textId="77777777" w:rsidR="001F35BF" w:rsidRDefault="00D12D87" w:rsidP="001F35BF">
      <w:pPr>
        <w:pStyle w:val="TeThHauorabodytext"/>
        <w:spacing w:before="120" w:after="0"/>
        <w:rPr>
          <w:noProof/>
          <w:lang w:eastAsia="en-NZ"/>
        </w:rPr>
      </w:pPr>
      <w:r w:rsidDel="00D97EF3">
        <w:t>Data and information released by the NMRC to a researcher remains under the guardianship of the NMRC, and r</w:t>
      </w:r>
      <w:r w:rsidR="00BD4812" w:rsidRPr="00025F0B" w:rsidDel="00D97EF3">
        <w:t>esearchers must comply with all conditions specified by the NMRC</w:t>
      </w:r>
      <w:r w:rsidDel="00D97EF3">
        <w:t>.</w:t>
      </w:r>
    </w:p>
    <w:p w14:paraId="686FF257" w14:textId="1065F4F3" w:rsidR="001F35BF" w:rsidRDefault="001F35BF" w:rsidP="001F35BF">
      <w:pPr>
        <w:pStyle w:val="TeThHauorabodytext"/>
        <w:spacing w:before="120" w:after="0"/>
        <w:rPr>
          <w:noProof/>
          <w:lang w:eastAsia="en-NZ"/>
        </w:rPr>
      </w:pPr>
      <w:r w:rsidRPr="001F1E3C">
        <w:rPr>
          <w:noProof/>
          <w:lang w:eastAsia="en-NZ"/>
        </w:rPr>
        <w:lastRenderedPageBreak/>
        <w:t xml:space="preserve">Any publications arising from </w:t>
      </w:r>
      <w:r>
        <w:rPr>
          <w:noProof/>
          <w:lang w:eastAsia="en-NZ"/>
        </w:rPr>
        <w:t xml:space="preserve">the </w:t>
      </w:r>
      <w:r w:rsidRPr="001F1E3C">
        <w:rPr>
          <w:noProof/>
          <w:lang w:eastAsia="en-NZ"/>
        </w:rPr>
        <w:t xml:space="preserve">data </w:t>
      </w:r>
      <w:r>
        <w:rPr>
          <w:noProof/>
          <w:lang w:eastAsia="en-NZ"/>
        </w:rPr>
        <w:t xml:space="preserve">or information </w:t>
      </w:r>
      <w:r w:rsidRPr="001F1E3C">
        <w:rPr>
          <w:noProof/>
          <w:lang w:eastAsia="en-NZ"/>
        </w:rPr>
        <w:t xml:space="preserve">provided must be approved by the </w:t>
      </w:r>
      <w:r>
        <w:t>management group</w:t>
      </w:r>
      <w:r w:rsidRPr="001F1E3C">
        <w:rPr>
          <w:b/>
        </w:rPr>
        <w:t xml:space="preserve"> </w:t>
      </w:r>
      <w:r>
        <w:t xml:space="preserve">before being presented or </w:t>
      </w:r>
      <w:r w:rsidRPr="0038252C">
        <w:t>submi</w:t>
      </w:r>
      <w:r>
        <w:t>tted</w:t>
      </w:r>
      <w:r w:rsidRPr="0038252C">
        <w:t xml:space="preserve"> </w:t>
      </w:r>
      <w:r w:rsidRPr="001F1E3C">
        <w:rPr>
          <w:noProof/>
          <w:lang w:eastAsia="en-NZ"/>
        </w:rPr>
        <w:t xml:space="preserve">and include acknowledgement of </w:t>
      </w:r>
      <w:r>
        <w:rPr>
          <w:noProof/>
          <w:lang w:eastAsia="en-NZ"/>
        </w:rPr>
        <w:t>the N</w:t>
      </w:r>
      <w:r w:rsidRPr="001F1E3C">
        <w:t>MRC</w:t>
      </w:r>
      <w:r w:rsidRPr="001F1E3C">
        <w:rPr>
          <w:b/>
        </w:rPr>
        <w:t xml:space="preserve"> </w:t>
      </w:r>
      <w:r w:rsidRPr="001F1E3C">
        <w:rPr>
          <w:noProof/>
          <w:lang w:eastAsia="en-NZ"/>
        </w:rPr>
        <w:t xml:space="preserve">and </w:t>
      </w:r>
      <w:r>
        <w:rPr>
          <w:noProof/>
          <w:lang w:eastAsia="en-NZ"/>
        </w:rPr>
        <w:t>Te Tāhū Hauora</w:t>
      </w:r>
      <w:r w:rsidRPr="001F1E3C">
        <w:rPr>
          <w:noProof/>
          <w:lang w:eastAsia="en-NZ"/>
        </w:rPr>
        <w:t>.</w:t>
      </w:r>
    </w:p>
    <w:p w14:paraId="60FE903A" w14:textId="7E4ACB5E" w:rsidR="00E80EF8" w:rsidRDefault="00E80EF8" w:rsidP="000C2F0F">
      <w:pPr>
        <w:pStyle w:val="TeThHauorahead3"/>
      </w:pPr>
      <w:r>
        <w:t>Costs</w:t>
      </w:r>
      <w:r w:rsidR="000C2F0F">
        <w:t xml:space="preserve"> and funding</w:t>
      </w:r>
    </w:p>
    <w:p w14:paraId="5F6E2C7F" w14:textId="57CA80AF" w:rsidR="0088298C" w:rsidRDefault="0088298C" w:rsidP="00E80EF8">
      <w:pPr>
        <w:pStyle w:val="TeThHauorabullets"/>
        <w:numPr>
          <w:ilvl w:val="0"/>
          <w:numId w:val="23"/>
        </w:numPr>
        <w:spacing w:after="120"/>
      </w:pPr>
      <w:r>
        <w:t>The research must be cost neutral to the NMRC</w:t>
      </w:r>
      <w:r w:rsidR="00D3646A">
        <w:t>.</w:t>
      </w:r>
      <w:r w:rsidR="00B960BE">
        <w:t xml:space="preserve"> </w:t>
      </w:r>
      <w:r w:rsidRPr="0088298C">
        <w:t>Any costs related to data extraction and required advice must be met by the researcher.</w:t>
      </w:r>
    </w:p>
    <w:p w14:paraId="58A6C7F2" w14:textId="7634BF81" w:rsidR="000C2F0F" w:rsidRDefault="000C2F0F" w:rsidP="00E80EF8">
      <w:pPr>
        <w:pStyle w:val="TeThHauorabullets"/>
        <w:numPr>
          <w:ilvl w:val="0"/>
          <w:numId w:val="23"/>
        </w:numPr>
        <w:spacing w:after="120"/>
      </w:pPr>
      <w:r>
        <w:t>If external funding is supporting the research, the limits of us</w:t>
      </w:r>
      <w:r w:rsidR="007965AD">
        <w:t>e</w:t>
      </w:r>
      <w:r>
        <w:t xml:space="preserve"> </w:t>
      </w:r>
      <w:r w:rsidR="007965AD">
        <w:t xml:space="preserve">of </w:t>
      </w:r>
      <w:r>
        <w:t>the data and information must be made clear to funders.</w:t>
      </w:r>
    </w:p>
    <w:p w14:paraId="74104239" w14:textId="7E64EC7B" w:rsidR="00E80EF8" w:rsidRDefault="00E80EF8" w:rsidP="000C2F0F">
      <w:pPr>
        <w:pStyle w:val="TeThHauorahead3"/>
      </w:pPr>
      <w:r>
        <w:t>Conflicts of interest</w:t>
      </w:r>
    </w:p>
    <w:p w14:paraId="076FCE5B" w14:textId="0685B215" w:rsidR="007965AD" w:rsidRDefault="0088298C" w:rsidP="0070628E">
      <w:pPr>
        <w:pStyle w:val="TeThHauorabullets"/>
        <w:numPr>
          <w:ilvl w:val="0"/>
          <w:numId w:val="23"/>
        </w:numPr>
        <w:spacing w:after="120"/>
      </w:pPr>
      <w:r>
        <w:t xml:space="preserve">Any conflicts of interest </w:t>
      </w:r>
      <w:r w:rsidR="00C36E0B">
        <w:t xml:space="preserve">must </w:t>
      </w:r>
      <w:r>
        <w:t>be actively managed</w:t>
      </w:r>
      <w:r w:rsidR="00D3646A">
        <w:t>.</w:t>
      </w:r>
    </w:p>
    <w:p w14:paraId="237D002D" w14:textId="47C56772" w:rsidR="007965AD" w:rsidRDefault="0088298C" w:rsidP="00AA5AF7">
      <w:pPr>
        <w:pStyle w:val="TeThHauorabullets"/>
        <w:numPr>
          <w:ilvl w:val="1"/>
          <w:numId w:val="23"/>
        </w:numPr>
        <w:spacing w:after="120"/>
        <w:ind w:left="714" w:hanging="357"/>
      </w:pPr>
      <w:r>
        <w:t xml:space="preserve">Researchers </w:t>
      </w:r>
      <w:r w:rsidR="00663FC6">
        <w:t xml:space="preserve">should </w:t>
      </w:r>
      <w:r>
        <w:t xml:space="preserve">consider and notify the </w:t>
      </w:r>
      <w:r w:rsidR="00A93EBF">
        <w:t xml:space="preserve">mortality review committee </w:t>
      </w:r>
      <w:r>
        <w:t xml:space="preserve">of any actual or potential conflict of interest that arises following access to the </w:t>
      </w:r>
      <w:r w:rsidR="00E95D2A">
        <w:t>data and information</w:t>
      </w:r>
      <w:r>
        <w:t xml:space="preserve"> or the conduct of the research.</w:t>
      </w:r>
    </w:p>
    <w:p w14:paraId="02FB0D80" w14:textId="10E96D83" w:rsidR="0088298C" w:rsidRDefault="007965AD" w:rsidP="00AA5AF7">
      <w:pPr>
        <w:pStyle w:val="TeThHauorabullets"/>
        <w:numPr>
          <w:ilvl w:val="1"/>
          <w:numId w:val="23"/>
        </w:numPr>
        <w:spacing w:after="120"/>
        <w:ind w:left="714" w:hanging="357"/>
      </w:pPr>
      <w:r>
        <w:t>R</w:t>
      </w:r>
      <w:r w:rsidR="0088298C">
        <w:t xml:space="preserve">esearcher </w:t>
      </w:r>
      <w:r>
        <w:t>should</w:t>
      </w:r>
      <w:r w:rsidR="0088298C">
        <w:t xml:space="preserve"> advise how any conflict of interest (actual or perceived) </w:t>
      </w:r>
      <w:r>
        <w:t xml:space="preserve">will </w:t>
      </w:r>
      <w:r w:rsidR="0088298C">
        <w:t xml:space="preserve">be managed, and this must be approved by the </w:t>
      </w:r>
      <w:r w:rsidR="00093BF6">
        <w:t>management grou</w:t>
      </w:r>
      <w:r w:rsidR="0088298C">
        <w:t>p.</w:t>
      </w:r>
      <w:r w:rsidR="00076EDA">
        <w:rPr>
          <w:rStyle w:val="FootnoteReference"/>
        </w:rPr>
        <w:footnoteReference w:id="38"/>
      </w:r>
    </w:p>
    <w:p w14:paraId="12CC6F60" w14:textId="661AF5A2" w:rsidR="0088298C" w:rsidRDefault="00B4417D" w:rsidP="0088298C">
      <w:pPr>
        <w:pStyle w:val="TeThHauorahead2"/>
      </w:pPr>
      <w:bookmarkStart w:id="24" w:name="NMRCAgents"/>
      <w:bookmarkStart w:id="25" w:name="_Toc159235075"/>
      <w:r>
        <w:t>A</w:t>
      </w:r>
      <w:r w:rsidR="0088298C">
        <w:t>gent</w:t>
      </w:r>
      <w:r>
        <w:t>s</w:t>
      </w:r>
      <w:r w:rsidR="0088298C">
        <w:t xml:space="preserve"> of the NMRC</w:t>
      </w:r>
      <w:bookmarkEnd w:id="24"/>
      <w:bookmarkEnd w:id="25"/>
    </w:p>
    <w:p w14:paraId="2830C2D9" w14:textId="4FE6E781" w:rsidR="00A2264F" w:rsidRDefault="00E95D2A" w:rsidP="0088298C">
      <w:pPr>
        <w:pStyle w:val="TeThHauorabodytext"/>
      </w:pPr>
      <w:r>
        <w:t>Data and information</w:t>
      </w:r>
      <w:r w:rsidR="0088298C">
        <w:t xml:space="preserve"> may become identifiable when sufficient detail is disclosed that the researcher could determine the identity of the deceased and/or associated family or whānau.</w:t>
      </w:r>
      <w:r w:rsidR="00A2264F">
        <w:t xml:space="preserve"> </w:t>
      </w:r>
      <w:r w:rsidR="00D31215">
        <w:t>T</w:t>
      </w:r>
      <w:r w:rsidR="0088298C">
        <w:t xml:space="preserve">o ensure a safe process, researchers requesting both </w:t>
      </w:r>
      <w:r w:rsidR="00E91854">
        <w:t xml:space="preserve">personally </w:t>
      </w:r>
      <w:r w:rsidR="0088298C">
        <w:t xml:space="preserve">identifiable and non-identifiable </w:t>
      </w:r>
      <w:r>
        <w:t>data and information</w:t>
      </w:r>
      <w:r w:rsidR="0088298C">
        <w:t xml:space="preserve"> </w:t>
      </w:r>
      <w:r w:rsidR="00D31215">
        <w:t xml:space="preserve">must become </w:t>
      </w:r>
      <w:r w:rsidR="0088298C">
        <w:t>agents</w:t>
      </w:r>
      <w:r w:rsidR="009F0027">
        <w:t xml:space="preserve"> of the NMRC</w:t>
      </w:r>
      <w:r w:rsidR="0088298C">
        <w:t>.</w:t>
      </w:r>
    </w:p>
    <w:p w14:paraId="4017AA2B" w14:textId="059172AD" w:rsidR="00A2264F" w:rsidRDefault="00B85AAE" w:rsidP="0088298C">
      <w:pPr>
        <w:pStyle w:val="TeThHauorabodytext"/>
      </w:pPr>
      <w:r>
        <w:t xml:space="preserve">Once the NMRC approves </w:t>
      </w:r>
      <w:r w:rsidR="0088298C">
        <w:t xml:space="preserve">the research application, </w:t>
      </w:r>
      <w:r w:rsidR="00E91854">
        <w:t xml:space="preserve">each </w:t>
      </w:r>
      <w:r w:rsidR="0088298C">
        <w:t xml:space="preserve">member of the research team </w:t>
      </w:r>
      <w:r w:rsidR="00AE62A3">
        <w:t xml:space="preserve">will be sent </w:t>
      </w:r>
      <w:r w:rsidR="009A6CBE">
        <w:t xml:space="preserve">a link to </w:t>
      </w:r>
      <w:r w:rsidR="0088298C">
        <w:t>the online Mortality Review Agent Management System (MRAMS</w:t>
      </w:r>
      <w:r w:rsidR="0088298C">
        <w:rPr>
          <w:rStyle w:val="FootnoteReference"/>
        </w:rPr>
        <w:footnoteReference w:id="39"/>
      </w:r>
      <w:r w:rsidR="0088298C">
        <w:t>)</w:t>
      </w:r>
      <w:r w:rsidR="00D519DD">
        <w:t>, through which they must apply to be an agent of the NMRC</w:t>
      </w:r>
      <w:r w:rsidR="0088298C">
        <w:t xml:space="preserve">. MRAMS </w:t>
      </w:r>
      <w:r w:rsidR="003B087C">
        <w:t xml:space="preserve">is managed by the New Zealand Mortality Review Data Group at </w:t>
      </w:r>
      <w:r w:rsidR="00AE7FA7">
        <w:t>Te Whare W</w:t>
      </w:r>
      <w:r w:rsidR="004445BC">
        <w:t xml:space="preserve">ānanga o </w:t>
      </w:r>
      <w:proofErr w:type="spellStart"/>
      <w:r w:rsidR="004445BC">
        <w:t>Otā</w:t>
      </w:r>
      <w:r w:rsidR="00285348">
        <w:t>go</w:t>
      </w:r>
      <w:proofErr w:type="spellEnd"/>
      <w:r w:rsidR="00285348">
        <w:t xml:space="preserve"> </w:t>
      </w:r>
      <w:r w:rsidR="004F5F1D">
        <w:t xml:space="preserve">| </w:t>
      </w:r>
      <w:r w:rsidR="003B087C">
        <w:t>University of Otago</w:t>
      </w:r>
      <w:r w:rsidR="00DE06C4">
        <w:t>.</w:t>
      </w:r>
      <w:r w:rsidR="003B087C">
        <w:t xml:space="preserve"> </w:t>
      </w:r>
      <w:r w:rsidR="00DE06C4">
        <w:t xml:space="preserve">It </w:t>
      </w:r>
      <w:r w:rsidR="0088298C">
        <w:t xml:space="preserve">outlines </w:t>
      </w:r>
      <w:r w:rsidR="00D519DD">
        <w:t xml:space="preserve">agents’ </w:t>
      </w:r>
      <w:r w:rsidR="0088298C">
        <w:t>obligations and requires the researcher to fully understand and accept responsibility for the personal liability they will carry as an agent.</w:t>
      </w:r>
    </w:p>
    <w:p w14:paraId="692EC99D" w14:textId="3DF45068" w:rsidR="00A2264F" w:rsidRDefault="0088298C" w:rsidP="0088298C">
      <w:pPr>
        <w:pStyle w:val="TeThHauorabodytext"/>
      </w:pPr>
      <w:r>
        <w:t xml:space="preserve">Researchers must comply with the responsibilities that the Act imposes on agents of </w:t>
      </w:r>
      <w:r w:rsidR="00472CEF">
        <w:t xml:space="preserve">the </w:t>
      </w:r>
      <w:r>
        <w:t xml:space="preserve">NMRC. All agents carry individual liability for a penalty of up to $10,000 for any dissemination of data </w:t>
      </w:r>
      <w:r w:rsidR="009C319E">
        <w:t xml:space="preserve">or </w:t>
      </w:r>
      <w:r w:rsidR="002744D5">
        <w:t xml:space="preserve">information </w:t>
      </w:r>
      <w:r>
        <w:t>contrary to Schedule 5 of the Act.</w:t>
      </w:r>
    </w:p>
    <w:p w14:paraId="3EB2C529" w14:textId="04CD4658" w:rsidR="00A2264F" w:rsidRDefault="0088298C" w:rsidP="0088298C">
      <w:pPr>
        <w:pStyle w:val="TeThHauorabodytext"/>
      </w:pPr>
      <w:r>
        <w:t xml:space="preserve">A list of NMRC agents is </w:t>
      </w:r>
      <w:r w:rsidR="0099648E">
        <w:t xml:space="preserve">publicly </w:t>
      </w:r>
      <w:r>
        <w:t>recorded on MRAMS.</w:t>
      </w:r>
    </w:p>
    <w:p w14:paraId="0E895350" w14:textId="2BDCF198" w:rsidR="0088298C" w:rsidRDefault="0088298C" w:rsidP="0088298C">
      <w:pPr>
        <w:pStyle w:val="TeThHauorabodytext"/>
      </w:pPr>
      <w:r>
        <w:t xml:space="preserve">Ownership and responsibility for the policies and procedures regarding agent status, level of data access and the guardianship of the </w:t>
      </w:r>
      <w:r w:rsidR="00E95D2A">
        <w:t>data and information</w:t>
      </w:r>
      <w:r>
        <w:t xml:space="preserve"> itself rests with the </w:t>
      </w:r>
      <w:r w:rsidR="00093BF6">
        <w:t>function</w:t>
      </w:r>
      <w:r>
        <w:t>.</w:t>
      </w:r>
    </w:p>
    <w:p w14:paraId="6CC9B688" w14:textId="3C70CEB8" w:rsidR="0088298C" w:rsidRDefault="0088298C" w:rsidP="0088298C">
      <w:pPr>
        <w:pStyle w:val="TeThHauorabodytext"/>
      </w:pPr>
      <w:r>
        <w:t>Researchers may not</w:t>
      </w:r>
      <w:r w:rsidR="00D90661">
        <w:t>,</w:t>
      </w:r>
      <w:r>
        <w:t xml:space="preserve"> under any circumstances</w:t>
      </w:r>
      <w:r w:rsidR="00D90661">
        <w:t>,</w:t>
      </w:r>
      <w:r>
        <w:t xml:space="preserve"> </w:t>
      </w:r>
      <w:r w:rsidR="00AE62A3">
        <w:t>request additional</w:t>
      </w:r>
      <w:r>
        <w:t xml:space="preserve"> information on behalf of the NMRC.</w:t>
      </w:r>
    </w:p>
    <w:p w14:paraId="1B12A0A4" w14:textId="19929D92" w:rsidR="0088298C" w:rsidRDefault="00DE06C4" w:rsidP="0088298C">
      <w:pPr>
        <w:pStyle w:val="TeThHauorahead3"/>
      </w:pPr>
      <w:bookmarkStart w:id="26" w:name="AgentStatusValidity"/>
      <w:r>
        <w:lastRenderedPageBreak/>
        <w:t>Validity of a</w:t>
      </w:r>
      <w:r w:rsidR="0088298C">
        <w:t>gent status</w:t>
      </w:r>
      <w:bookmarkEnd w:id="26"/>
    </w:p>
    <w:p w14:paraId="605B6D09" w14:textId="28B3A5AF" w:rsidR="00A2264F" w:rsidRDefault="0088298C" w:rsidP="0088298C">
      <w:pPr>
        <w:pStyle w:val="TeThHauorabodytext"/>
      </w:pPr>
      <w:r>
        <w:t xml:space="preserve">Researchers will only be granted agent status for the period of the project for which the </w:t>
      </w:r>
      <w:r w:rsidR="00E95D2A">
        <w:t>data and information</w:t>
      </w:r>
      <w:r>
        <w:t xml:space="preserve"> requested is used, to a maximum of </w:t>
      </w:r>
      <w:r w:rsidR="00DE06C4">
        <w:t xml:space="preserve">1 </w:t>
      </w:r>
      <w:r>
        <w:t>year.</w:t>
      </w:r>
    </w:p>
    <w:p w14:paraId="3DCE2E7A" w14:textId="531E8754" w:rsidR="0088298C" w:rsidRDefault="0088298C" w:rsidP="0088298C">
      <w:pPr>
        <w:pStyle w:val="TeThHauorabodytext"/>
      </w:pPr>
      <w:r>
        <w:t xml:space="preserve">If </w:t>
      </w:r>
      <w:r w:rsidR="00C25228">
        <w:t xml:space="preserve">the </w:t>
      </w:r>
      <w:r>
        <w:t xml:space="preserve">researchers have not completed their research within this time or continue to </w:t>
      </w:r>
      <w:r w:rsidR="009347C2">
        <w:t>use</w:t>
      </w:r>
      <w:r>
        <w:t xml:space="preserve"> the outputs of the research for presentation or publication, they will need to apply for an extension to their agent status and submit a progress report.</w:t>
      </w:r>
    </w:p>
    <w:p w14:paraId="050A477C" w14:textId="7673F5E0" w:rsidR="0088298C" w:rsidRDefault="0088298C" w:rsidP="0088298C">
      <w:pPr>
        <w:pStyle w:val="TeThHauorabodytext"/>
      </w:pPr>
      <w:r>
        <w:t xml:space="preserve">Failure to extend agent status would place the research team in breach of Section 82(5) of the Act, at which point they would be committing an offence and would </w:t>
      </w:r>
      <w:r w:rsidR="0054280B">
        <w:t xml:space="preserve">each individually </w:t>
      </w:r>
      <w:r>
        <w:t>be liable for a penalty of up to $10,000.</w:t>
      </w:r>
    </w:p>
    <w:p w14:paraId="7349AFAA" w14:textId="60F50BE9" w:rsidR="009F232B" w:rsidRDefault="009F232B" w:rsidP="000C2F0F">
      <w:pPr>
        <w:pStyle w:val="TeThHauorahead2"/>
      </w:pPr>
      <w:bookmarkStart w:id="27" w:name="_Toc159235076"/>
      <w:r>
        <w:t>Timing of access</w:t>
      </w:r>
      <w:bookmarkEnd w:id="27"/>
    </w:p>
    <w:p w14:paraId="64499626" w14:textId="77B48B73" w:rsidR="005744F7" w:rsidRDefault="00E95D2A" w:rsidP="0088298C">
      <w:pPr>
        <w:pStyle w:val="TeThHauorabodytext"/>
      </w:pPr>
      <w:r>
        <w:t>Data and information</w:t>
      </w:r>
      <w:r w:rsidR="0088298C">
        <w:t xml:space="preserve"> will be provided only for the </w:t>
      </w:r>
      <w:r w:rsidR="001214AC">
        <w:t xml:space="preserve">time period </w:t>
      </w:r>
      <w:r w:rsidR="0088298C">
        <w:t>agreed to between the researcher and the NMRC.</w:t>
      </w:r>
    </w:p>
    <w:p w14:paraId="36B67B3F" w14:textId="6456BA3A" w:rsidR="007141CA" w:rsidRDefault="007141CA" w:rsidP="000C2F0F">
      <w:pPr>
        <w:pStyle w:val="TeThHauorahead3"/>
      </w:pPr>
      <w:r>
        <w:t>Extensions</w:t>
      </w:r>
    </w:p>
    <w:p w14:paraId="2F262467" w14:textId="5CF896E1" w:rsidR="0088298C" w:rsidRDefault="0088298C" w:rsidP="0088298C">
      <w:pPr>
        <w:pStyle w:val="TeThHauorabodytext"/>
      </w:pPr>
      <w:r>
        <w:t xml:space="preserve">Any request for an extension of the timeframe must be made </w:t>
      </w:r>
      <w:r w:rsidR="001214AC">
        <w:t>before</w:t>
      </w:r>
      <w:r>
        <w:t xml:space="preserve"> the completion of the initial </w:t>
      </w:r>
      <w:r w:rsidR="001214AC">
        <w:t>time period</w:t>
      </w:r>
      <w:r>
        <w:t xml:space="preserve">. Please refer </w:t>
      </w:r>
      <w:r w:rsidR="000556AC">
        <w:t>to the ‘</w:t>
      </w:r>
      <w:hyperlink w:anchor="AgentStatusValidity" w:history="1">
        <w:r w:rsidR="000556AC" w:rsidRPr="0064650E">
          <w:rPr>
            <w:rStyle w:val="Hyperlink"/>
          </w:rPr>
          <w:t>Validity of agent status</w:t>
        </w:r>
      </w:hyperlink>
      <w:r w:rsidR="000556AC">
        <w:t xml:space="preserve">’ section for the </w:t>
      </w:r>
      <w:r>
        <w:t>penalties for failure to extend.</w:t>
      </w:r>
    </w:p>
    <w:p w14:paraId="654F47E7" w14:textId="15B8F7EC" w:rsidR="0088298C" w:rsidRDefault="0088298C" w:rsidP="0088298C">
      <w:pPr>
        <w:pStyle w:val="TeThHauorabodytext"/>
      </w:pPr>
      <w:r>
        <w:t xml:space="preserve">The researcher is responsible for ensuring </w:t>
      </w:r>
      <w:r w:rsidR="000556AC">
        <w:t xml:space="preserve">that </w:t>
      </w:r>
      <w:r>
        <w:t xml:space="preserve">funding and organisational arrangements </w:t>
      </w:r>
      <w:r w:rsidR="00C82A8B">
        <w:t xml:space="preserve">are adequate </w:t>
      </w:r>
      <w:r>
        <w:t>for the completion of the research.</w:t>
      </w:r>
    </w:p>
    <w:p w14:paraId="04786BB5" w14:textId="1CC60367" w:rsidR="007141CA" w:rsidRDefault="007141CA" w:rsidP="00D96AF2">
      <w:pPr>
        <w:pStyle w:val="TeThHauorahead2"/>
      </w:pPr>
      <w:bookmarkStart w:id="28" w:name="_Toc159235077"/>
      <w:r>
        <w:t>Using the data and information</w:t>
      </w:r>
      <w:bookmarkEnd w:id="28"/>
    </w:p>
    <w:p w14:paraId="2D864382" w14:textId="64CF382F" w:rsidR="0088298C" w:rsidRDefault="0088298C" w:rsidP="0088298C">
      <w:pPr>
        <w:pStyle w:val="TeThHauorabodytext"/>
      </w:pPr>
      <w:r>
        <w:t xml:space="preserve">The manner </w:t>
      </w:r>
      <w:r w:rsidR="00221CDC">
        <w:t xml:space="preserve">in </w:t>
      </w:r>
      <w:r>
        <w:t xml:space="preserve">which the </w:t>
      </w:r>
      <w:r w:rsidR="00E95D2A">
        <w:t>data or information</w:t>
      </w:r>
      <w:r>
        <w:t xml:space="preserve"> is shared between </w:t>
      </w:r>
      <w:r w:rsidR="00093BF6">
        <w:t xml:space="preserve">the management group and the researcher will be agreed by the researcher and the management group </w:t>
      </w:r>
      <w:r w:rsidR="001214AC">
        <w:t>before</w:t>
      </w:r>
      <w:r>
        <w:t xml:space="preserve"> the </w:t>
      </w:r>
      <w:r w:rsidR="00E95D2A">
        <w:t>data or information</w:t>
      </w:r>
      <w:r w:rsidR="002D08D8">
        <w:t xml:space="preserve"> </w:t>
      </w:r>
      <w:r w:rsidR="0064650E">
        <w:t>is</w:t>
      </w:r>
      <w:r w:rsidR="002D08D8">
        <w:t xml:space="preserve"> released</w:t>
      </w:r>
      <w:r>
        <w:t>.</w:t>
      </w:r>
    </w:p>
    <w:p w14:paraId="601E8DEF" w14:textId="71F86374" w:rsidR="00791499" w:rsidRDefault="00791499" w:rsidP="00791499">
      <w:pPr>
        <w:pStyle w:val="TeThHauorabodytext"/>
      </w:pPr>
      <w:r>
        <w:t xml:space="preserve">Data and information </w:t>
      </w:r>
      <w:r w:rsidR="00E80BD7">
        <w:t>is</w:t>
      </w:r>
      <w:r>
        <w:t xml:space="preserve"> provided solely for</w:t>
      </w:r>
      <w:r w:rsidR="00255EB3">
        <w:t>,</w:t>
      </w:r>
      <w:r>
        <w:t xml:space="preserve"> </w:t>
      </w:r>
      <w:r w:rsidR="00255EB3">
        <w:t xml:space="preserve">and must only be used for, </w:t>
      </w:r>
      <w:r>
        <w:t>the purposes outlined in the data access application and must not be used for any other purpose.</w:t>
      </w:r>
    </w:p>
    <w:p w14:paraId="6ACD2E19" w14:textId="303931DA" w:rsidR="00A2264F" w:rsidRDefault="0088298C" w:rsidP="0088298C">
      <w:pPr>
        <w:pStyle w:val="TeThHauorabodytext"/>
      </w:pPr>
      <w:r>
        <w:t xml:space="preserve">The data </w:t>
      </w:r>
      <w:r w:rsidR="00E95D2A">
        <w:t xml:space="preserve">or information </w:t>
      </w:r>
      <w:r>
        <w:t xml:space="preserve">is not to be copied or forwarded. </w:t>
      </w:r>
      <w:r w:rsidR="001042F4">
        <w:t>Significant p</w:t>
      </w:r>
      <w:r w:rsidR="00A45A95">
        <w:t xml:space="preserve">enalties for misuse of the data and information are clearly </w:t>
      </w:r>
      <w:r w:rsidR="001042F4">
        <w:t>outlined in Section 82 of the Act.</w:t>
      </w:r>
    </w:p>
    <w:p w14:paraId="5F29DDA2" w14:textId="172B5BCD" w:rsidR="00F17E58" w:rsidRDefault="005E2E91" w:rsidP="00F17E58">
      <w:pPr>
        <w:pStyle w:val="TeThHauorabodytext"/>
      </w:pPr>
      <w:r>
        <w:t>R</w:t>
      </w:r>
      <w:r w:rsidR="00A45A95">
        <w:t>esearchers must not release the NMRC data and information to other parties, including to journals who require a minimum data set to be submitted with papers. Where journal articles require a statement regarding access to data and information on which findings are based, researchers should direct inquiries to the management group.</w:t>
      </w:r>
    </w:p>
    <w:p w14:paraId="5C060602" w14:textId="1FF6398E" w:rsidR="00BA5C45" w:rsidRDefault="00BA5C45" w:rsidP="00F17E58">
      <w:pPr>
        <w:pStyle w:val="TeThHauorabodytext"/>
      </w:pPr>
      <w:r w:rsidRPr="0088298C">
        <w:t>We note that third-party data is considered an acceptable data access restriction</w:t>
      </w:r>
      <w:r w:rsidR="007B5ECB">
        <w:t>,</w:t>
      </w:r>
      <w:r w:rsidRPr="0088298C">
        <w:t xml:space="preserve"> as </w:t>
      </w:r>
      <w:r w:rsidR="00000CAC">
        <w:t>is</w:t>
      </w:r>
      <w:r w:rsidRPr="0088298C">
        <w:t xml:space="preserve"> ‘data that the authors cannot legally distribute</w:t>
      </w:r>
      <w:r>
        <w:t>’</w:t>
      </w:r>
      <w:r w:rsidRPr="0088298C">
        <w:t xml:space="preserve">, </w:t>
      </w:r>
      <w:r w:rsidR="007B5ECB">
        <w:t>which</w:t>
      </w:r>
      <w:r w:rsidRPr="0088298C">
        <w:t xml:space="preserve"> would be the case for NMRC data</w:t>
      </w:r>
      <w:r w:rsidR="00902563">
        <w:t>.</w:t>
      </w:r>
      <w:r w:rsidRPr="0088298C">
        <w:t xml:space="preserve"> Where relevant, it is possible to submit a statement that describes the data set and the third-party source</w:t>
      </w:r>
      <w:r>
        <w:t xml:space="preserve">, </w:t>
      </w:r>
      <w:r w:rsidRPr="0088298C">
        <w:t xml:space="preserve">verification of permission to use the data set and </w:t>
      </w:r>
      <w:r>
        <w:t>a</w:t>
      </w:r>
      <w:r w:rsidRPr="0088298C">
        <w:t xml:space="preserve">ll necessary contact information </w:t>
      </w:r>
      <w:r>
        <w:t xml:space="preserve">that </w:t>
      </w:r>
      <w:r w:rsidRPr="0088298C">
        <w:t xml:space="preserve">others would need to apply to gain access to the data. </w:t>
      </w:r>
      <w:r w:rsidR="00E84D6B">
        <w:t xml:space="preserve">Authors should use </w:t>
      </w:r>
      <w:r w:rsidRPr="0088298C">
        <w:t>management group contact information</w:t>
      </w:r>
      <w:r w:rsidR="00E84D6B">
        <w:t xml:space="preserve"> in this situation</w:t>
      </w:r>
      <w:r w:rsidRPr="0088298C">
        <w:t>.</w:t>
      </w:r>
      <w:r w:rsidR="00DA5DA5" w:rsidRPr="00DA5DA5">
        <w:t xml:space="preserve"> </w:t>
      </w:r>
      <w:r w:rsidR="00DA5DA5">
        <w:t xml:space="preserve">For examples of </w:t>
      </w:r>
      <w:r w:rsidR="00D11EE5">
        <w:t xml:space="preserve">data availability </w:t>
      </w:r>
      <w:r w:rsidR="00DA5DA5">
        <w:t xml:space="preserve">statements, see </w:t>
      </w:r>
      <w:r w:rsidR="00DA5DA5">
        <w:lastRenderedPageBreak/>
        <w:t>the author guidelines for PLOS journals</w:t>
      </w:r>
      <w:r w:rsidR="0064650E">
        <w:t>,</w:t>
      </w:r>
      <w:r w:rsidR="00D11EE5">
        <w:rPr>
          <w:rStyle w:val="FootnoteReference"/>
        </w:rPr>
        <w:footnoteReference w:id="40"/>
      </w:r>
      <w:r w:rsidR="00DA5DA5">
        <w:t xml:space="preserve"> Taylor &amp; Francis Group journals</w:t>
      </w:r>
      <w:r w:rsidR="00010385">
        <w:rPr>
          <w:rStyle w:val="FootnoteReference"/>
        </w:rPr>
        <w:footnoteReference w:id="41"/>
      </w:r>
      <w:r w:rsidR="000B2478">
        <w:t xml:space="preserve"> </w:t>
      </w:r>
      <w:r w:rsidR="0064650E">
        <w:t xml:space="preserve">or </w:t>
      </w:r>
      <w:r w:rsidR="000B2478">
        <w:t>the specific journal</w:t>
      </w:r>
      <w:r w:rsidR="0002692B">
        <w:t xml:space="preserve"> submission.</w:t>
      </w:r>
    </w:p>
    <w:p w14:paraId="4B3FE9C4" w14:textId="14EF6B46" w:rsidR="0029348F" w:rsidRDefault="00367D90" w:rsidP="0029348F">
      <w:pPr>
        <w:pStyle w:val="TeThHauorahead2"/>
      </w:pPr>
      <w:bookmarkStart w:id="29" w:name="_Toc159235078"/>
      <w:r>
        <w:t>D</w:t>
      </w:r>
      <w:r w:rsidR="0029348F">
        <w:t>isseminati</w:t>
      </w:r>
      <w:r w:rsidR="00856BC0">
        <w:t>ng</w:t>
      </w:r>
      <w:r w:rsidR="0029348F">
        <w:t xml:space="preserve"> results</w:t>
      </w:r>
      <w:bookmarkEnd w:id="29"/>
    </w:p>
    <w:p w14:paraId="1FED4732" w14:textId="27ED3DC5" w:rsidR="002861F5" w:rsidRDefault="002861F5" w:rsidP="00F150E0">
      <w:pPr>
        <w:pStyle w:val="TeThHauorabodytext"/>
      </w:pPr>
      <w:r>
        <w:t>R</w:t>
      </w:r>
      <w:r w:rsidRPr="002861F5">
        <w:t>esearch teams are responsible for the reliability and validity of the research resulting from their analysis</w:t>
      </w:r>
      <w:r w:rsidR="00F150E0">
        <w:t>.</w:t>
      </w:r>
    </w:p>
    <w:p w14:paraId="711A1C3E" w14:textId="1F0863E7" w:rsidR="0029348F" w:rsidRDefault="0029348F" w:rsidP="0029348F">
      <w:pPr>
        <w:pStyle w:val="TeThHauorahead3"/>
      </w:pPr>
      <w:r>
        <w:t>Peer review</w:t>
      </w:r>
    </w:p>
    <w:p w14:paraId="5CD53B6A" w14:textId="7334A4D8" w:rsidR="0088298C" w:rsidRDefault="0088298C" w:rsidP="0088298C">
      <w:pPr>
        <w:pStyle w:val="TeThHauorabodytext"/>
      </w:pPr>
      <w:r>
        <w:t xml:space="preserve">Researchers must obtain consent from the </w:t>
      </w:r>
      <w:r w:rsidR="00093BF6">
        <w:t xml:space="preserve">management group </w:t>
      </w:r>
      <w:r>
        <w:t xml:space="preserve">before </w:t>
      </w:r>
      <w:r w:rsidR="00AD7CED">
        <w:t xml:space="preserve">sharing or publishing </w:t>
      </w:r>
      <w:r>
        <w:t xml:space="preserve">any outputs. The </w:t>
      </w:r>
      <w:r w:rsidR="00093BF6">
        <w:t xml:space="preserve">management group </w:t>
      </w:r>
      <w:r>
        <w:t xml:space="preserve">will review the outputs to ensure no identifiable information is inadvertently released. If the </w:t>
      </w:r>
      <w:r w:rsidR="00093BF6">
        <w:t xml:space="preserve">management group </w:t>
      </w:r>
      <w:r>
        <w:t xml:space="preserve">does identify any concerns, the researcher will be required to further summarise or de-identify the output. The </w:t>
      </w:r>
      <w:r w:rsidR="00486F6E">
        <w:t xml:space="preserve">management group </w:t>
      </w:r>
      <w:r>
        <w:t>retains the right to refuse publication if other criteria are not met (</w:t>
      </w:r>
      <w:r w:rsidR="005F75FE">
        <w:t xml:space="preserve">eg, </w:t>
      </w:r>
      <w:r>
        <w:t>safety, ethics).</w:t>
      </w:r>
    </w:p>
    <w:p w14:paraId="0F93B704" w14:textId="296C3283" w:rsidR="0029348F" w:rsidRDefault="0034550A" w:rsidP="0088298C">
      <w:pPr>
        <w:pStyle w:val="TeThHauorabodytext"/>
      </w:pPr>
      <w:r>
        <w:t xml:space="preserve">The </w:t>
      </w:r>
      <w:r w:rsidR="00486F6E">
        <w:t xml:space="preserve">management group </w:t>
      </w:r>
      <w:r w:rsidR="0029348F">
        <w:t>encourage</w:t>
      </w:r>
      <w:r>
        <w:t>s</w:t>
      </w:r>
      <w:r w:rsidR="0029348F">
        <w:t xml:space="preserve"> researchers to build in sufficient time to allow </w:t>
      </w:r>
      <w:r>
        <w:t xml:space="preserve">a representative of the NMRC to </w:t>
      </w:r>
      <w:r w:rsidR="0029348F">
        <w:t xml:space="preserve">peer review publications. This </w:t>
      </w:r>
      <w:r w:rsidR="00AA49DB">
        <w:t xml:space="preserve">review </w:t>
      </w:r>
      <w:r w:rsidR="0029348F">
        <w:t xml:space="preserve">will </w:t>
      </w:r>
      <w:r w:rsidR="00AA49DB">
        <w:t xml:space="preserve">check </w:t>
      </w:r>
      <w:r w:rsidR="0029348F">
        <w:t>that interpretation of results follows</w:t>
      </w:r>
      <w:r w:rsidR="00F52948">
        <w:t xml:space="preserve"> the guidelines set out in</w:t>
      </w:r>
      <w:r w:rsidR="0029348F">
        <w:t xml:space="preserve"> </w:t>
      </w:r>
      <w:r w:rsidR="0029348F" w:rsidRPr="00553D9F">
        <w:t>Te Pou</w:t>
      </w:r>
      <w:r w:rsidR="00F52948">
        <w:t xml:space="preserve"> and will </w:t>
      </w:r>
      <w:r w:rsidR="00AA49DB">
        <w:t xml:space="preserve">give </w:t>
      </w:r>
      <w:r w:rsidR="00F52948">
        <w:t>the committee an opportunity to engage with the findings and potentially promote them when they are released.</w:t>
      </w:r>
    </w:p>
    <w:p w14:paraId="61F8EFF0" w14:textId="05731E8B" w:rsidR="00856BC0" w:rsidRPr="00F52948" w:rsidRDefault="00856BC0" w:rsidP="00856BC0">
      <w:pPr>
        <w:pStyle w:val="Heading3"/>
      </w:pPr>
      <w:r>
        <w:t>Published data and information</w:t>
      </w:r>
    </w:p>
    <w:p w14:paraId="1ED34D56" w14:textId="7592ED03" w:rsidR="00A2264F" w:rsidRDefault="0088298C" w:rsidP="0088298C">
      <w:pPr>
        <w:pStyle w:val="TeThHauorabodytext"/>
      </w:pPr>
      <w:r>
        <w:t xml:space="preserve">Researchers are asked to </w:t>
      </w:r>
      <w:r w:rsidR="00C50E25">
        <w:t xml:space="preserve">confirm </w:t>
      </w:r>
      <w:r>
        <w:t>that they will acknowledge the assistance of the NMRC in manuscripts submitted for publication. However, the NMRC does not exercise any control over where researchers publish their results or require inclu</w:t>
      </w:r>
      <w:r w:rsidR="00C50E25">
        <w:t>sion</w:t>
      </w:r>
      <w:r>
        <w:t xml:space="preserve"> in author</w:t>
      </w:r>
      <w:r w:rsidR="00C50E25">
        <w:t xml:space="preserve"> lists</w:t>
      </w:r>
      <w:r>
        <w:t>.</w:t>
      </w:r>
    </w:p>
    <w:p w14:paraId="1068C293" w14:textId="0F455D0B" w:rsidR="0088298C" w:rsidRDefault="0088298C" w:rsidP="0088298C">
      <w:pPr>
        <w:pStyle w:val="TeThHauorabodytext"/>
      </w:pPr>
      <w:r>
        <w:t xml:space="preserve">The NMRC requires a copy of published articles, abstracts presented at meetings and information about any other relevant presentations, publications or media interviews. This information is maintained only for record-keeping purposes, so may occur after the fact </w:t>
      </w:r>
      <w:r w:rsidR="009C319E">
        <w:t xml:space="preserve">but should </w:t>
      </w:r>
      <w:r w:rsidR="00255EB3">
        <w:t xml:space="preserve">be </w:t>
      </w:r>
      <w:r w:rsidR="009C319E">
        <w:t xml:space="preserve">before </w:t>
      </w:r>
      <w:r>
        <w:t>agent status ceas</w:t>
      </w:r>
      <w:r w:rsidR="009C319E">
        <w:t>es</w:t>
      </w:r>
      <w:r>
        <w:t>.</w:t>
      </w:r>
      <w:r w:rsidR="006A21B7">
        <w:t xml:space="preserve"> For time</w:t>
      </w:r>
      <w:r w:rsidR="00180AA7">
        <w:t>-</w:t>
      </w:r>
      <w:r w:rsidR="006A21B7">
        <w:t xml:space="preserve">sensitive </w:t>
      </w:r>
      <w:r w:rsidR="00746AEC">
        <w:t xml:space="preserve">outputs such as media interviews, </w:t>
      </w:r>
      <w:r w:rsidR="00180AA7">
        <w:t xml:space="preserve">the management group </w:t>
      </w:r>
      <w:r w:rsidR="00F84217">
        <w:t>appreciates being alerted</w:t>
      </w:r>
      <w:r w:rsidR="00746AEC">
        <w:t xml:space="preserve"> that </w:t>
      </w:r>
      <w:r w:rsidR="00F84217">
        <w:t xml:space="preserve">an </w:t>
      </w:r>
      <w:r w:rsidR="00746AEC">
        <w:t>interview is taking place in case Te Tāhū Hauora is approached for comment. For other outputs, a copy should be sent to Te Tāhū Hauora within a month of publication.</w:t>
      </w:r>
    </w:p>
    <w:p w14:paraId="07AEE206" w14:textId="77777777" w:rsidR="000C2F0F" w:rsidRDefault="000C2F0F" w:rsidP="000C2F0F">
      <w:pPr>
        <w:pStyle w:val="TeThHauorahead2"/>
      </w:pPr>
      <w:bookmarkStart w:id="30" w:name="_Toc159235079"/>
      <w:r>
        <w:t>Destroying the data and information</w:t>
      </w:r>
      <w:bookmarkEnd w:id="30"/>
    </w:p>
    <w:p w14:paraId="4CE41803" w14:textId="549B05EA" w:rsidR="000C2F0F" w:rsidRDefault="000C2F0F" w:rsidP="0088298C">
      <w:pPr>
        <w:pStyle w:val="TeThHauorabodytext"/>
      </w:pPr>
      <w:r>
        <w:t>On completion of the project, all data files, including backups, must be destroyed. Researchers must notify the management group in writing when and how this was done.</w:t>
      </w:r>
    </w:p>
    <w:p w14:paraId="09664EE7" w14:textId="77777777" w:rsidR="00906138" w:rsidRPr="00906138" w:rsidRDefault="00906138">
      <w:pPr>
        <w:spacing w:after="200"/>
        <w:rPr>
          <w:rFonts w:cs="Arial"/>
        </w:rPr>
      </w:pPr>
      <w:r w:rsidRPr="00906138">
        <w:rPr>
          <w:rFonts w:cs="Arial"/>
        </w:rPr>
        <w:br w:type="page"/>
      </w:r>
    </w:p>
    <w:p w14:paraId="6FA621B4" w14:textId="4350AF6A" w:rsidR="00F52948" w:rsidRDefault="00F52948" w:rsidP="000C2F0F">
      <w:pPr>
        <w:pStyle w:val="TeThHauorahead1"/>
      </w:pPr>
      <w:bookmarkStart w:id="31" w:name="_Toc159235080"/>
      <w:r>
        <w:lastRenderedPageBreak/>
        <w:t>The importance of supervision and support</w:t>
      </w:r>
      <w:r w:rsidR="007167DA">
        <w:t xml:space="preserve"> | He </w:t>
      </w:r>
      <w:proofErr w:type="spellStart"/>
      <w:r w:rsidR="007167DA">
        <w:t>mea</w:t>
      </w:r>
      <w:proofErr w:type="spellEnd"/>
      <w:r w:rsidR="007167DA">
        <w:t xml:space="preserve"> </w:t>
      </w:r>
      <w:proofErr w:type="spellStart"/>
      <w:r w:rsidR="007167DA">
        <w:t>nui</w:t>
      </w:r>
      <w:proofErr w:type="spellEnd"/>
      <w:r w:rsidR="007167DA">
        <w:t xml:space="preserve"> te </w:t>
      </w:r>
      <w:proofErr w:type="spellStart"/>
      <w:r w:rsidR="00102489">
        <w:t>a</w:t>
      </w:r>
      <w:r w:rsidR="007167DA">
        <w:t>rataki</w:t>
      </w:r>
      <w:proofErr w:type="spellEnd"/>
      <w:r w:rsidR="007167DA">
        <w:t xml:space="preserve"> me te </w:t>
      </w:r>
      <w:proofErr w:type="spellStart"/>
      <w:r w:rsidR="007167DA">
        <w:t>tautoko</w:t>
      </w:r>
      <w:bookmarkEnd w:id="31"/>
      <w:proofErr w:type="spellEnd"/>
    </w:p>
    <w:p w14:paraId="530315A4" w14:textId="2AB6DDCE" w:rsidR="00A2264F" w:rsidRDefault="00F52948" w:rsidP="00F52948">
      <w:pPr>
        <w:pStyle w:val="TeThHauorabodytext"/>
      </w:pPr>
      <w:r>
        <w:t xml:space="preserve">As highlighted in the foreword to this document, the data collated on behalf of the NMRC is about the lives of people who have </w:t>
      </w:r>
      <w:r w:rsidR="006C1195">
        <w:t xml:space="preserve">died </w:t>
      </w:r>
      <w:r>
        <w:t xml:space="preserve">too soon. Reading these stories can have a </w:t>
      </w:r>
      <w:r w:rsidR="00BA5C45">
        <w:t>substantial</w:t>
      </w:r>
      <w:r w:rsidR="00E713FE">
        <w:t xml:space="preserve"> </w:t>
      </w:r>
      <w:r>
        <w:t>impact on those involved with mortality review.</w:t>
      </w:r>
    </w:p>
    <w:p w14:paraId="38B0AF2E" w14:textId="77CEC907" w:rsidR="00F23B35" w:rsidRDefault="00F23B35" w:rsidP="00F23B35">
      <w:pPr>
        <w:pStyle w:val="TeThHauorahead3"/>
      </w:pPr>
      <w:r>
        <w:t>Vicarious trauma</w:t>
      </w:r>
    </w:p>
    <w:p w14:paraId="7D51B405" w14:textId="0018C11A" w:rsidR="00A2264F" w:rsidRDefault="00255EB3" w:rsidP="00F23B35">
      <w:pPr>
        <w:pStyle w:val="TeThHauorabodytext"/>
      </w:pPr>
      <w:proofErr w:type="spellStart"/>
      <w:r>
        <w:t>Saakvitne</w:t>
      </w:r>
      <w:proofErr w:type="spellEnd"/>
      <w:r>
        <w:t xml:space="preserve"> et al define v</w:t>
      </w:r>
      <w:r w:rsidR="00F23B35">
        <w:t>icarious trauma as the cumulative transformative effect</w:t>
      </w:r>
      <w:r w:rsidR="00F51C9F">
        <w:t>, both positive and negative,</w:t>
      </w:r>
      <w:r w:rsidR="00F23B35">
        <w:t xml:space="preserve"> on </w:t>
      </w:r>
      <w:r w:rsidR="00B13D50">
        <w:t>those</w:t>
      </w:r>
      <w:r w:rsidR="00F23B35">
        <w:t xml:space="preserve"> working with survivors of traumatic life events.</w:t>
      </w:r>
      <w:r w:rsidR="00856BC0">
        <w:rPr>
          <w:rStyle w:val="FootnoteReference"/>
        </w:rPr>
        <w:footnoteReference w:id="42"/>
      </w:r>
      <w:r w:rsidR="00A2264F">
        <w:t xml:space="preserve"> </w:t>
      </w:r>
      <w:r w:rsidR="00F23B35">
        <w:t xml:space="preserve">Recognising vicarious trauma allows an understanding that working with trauma survivors greatly affects helpers and that responses are required for both helpers and clients. Vicarious trauma is unavoidable and is the natural consequence of being human </w:t>
      </w:r>
      <w:r w:rsidR="00F27429">
        <w:t xml:space="preserve">and </w:t>
      </w:r>
      <w:r w:rsidR="00F23B35">
        <w:t xml:space="preserve">connecting to and caring about people as we see the effects of trauma on their lives. According to </w:t>
      </w:r>
      <w:proofErr w:type="spellStart"/>
      <w:r w:rsidR="00F23B35">
        <w:t>Saakvitne</w:t>
      </w:r>
      <w:proofErr w:type="spellEnd"/>
      <w:r w:rsidR="00F23B35">
        <w:t xml:space="preserve"> et al, the single most important factor in the success or failure of trauma work relates to the attention paid to the experience and the needs of the helper.</w:t>
      </w:r>
    </w:p>
    <w:p w14:paraId="6596DEB5" w14:textId="50B49FAB" w:rsidR="00F23B35" w:rsidRDefault="00F23B35" w:rsidP="00F23B35">
      <w:pPr>
        <w:pStyle w:val="TeThHauorabodytext"/>
      </w:pPr>
      <w:r>
        <w:t>It is inevitable that people involved with reviewing traumatic life events will develop an increased awareness of the reality and occurrence of traumatic events, and this makes those involved more aware of their vulnerability.</w:t>
      </w:r>
      <w:r w:rsidR="00856BC0">
        <w:rPr>
          <w:rStyle w:val="FootnoteReference"/>
        </w:rPr>
        <w:footnoteReference w:id="43"/>
      </w:r>
      <w:r w:rsidR="00A2264F">
        <w:t xml:space="preserve"> </w:t>
      </w:r>
      <w:r>
        <w:t>Safety and security are threatened when people become aware of the frequency of traumas, often leading to feelings of loss of control and helplessness. Vicarious trauma can affect how people exposed to trauma relate to their families, friends and partners. They may also experience changes in esteem for themselves and for others.</w:t>
      </w:r>
    </w:p>
    <w:p w14:paraId="67EAA9EE" w14:textId="77777777" w:rsidR="00F23B35" w:rsidRDefault="00F23B35" w:rsidP="00F23B35">
      <w:pPr>
        <w:pStyle w:val="TeThHauoratablefigurecaption"/>
      </w:pPr>
      <w:r>
        <w:t>Signs and symptoms of vicarious trauma</w:t>
      </w:r>
    </w:p>
    <w:p w14:paraId="04072D5A" w14:textId="77777777" w:rsidR="00FB106E" w:rsidRDefault="00FB106E" w:rsidP="00DC6E08">
      <w:pPr>
        <w:pStyle w:val="TeThHauorabullets"/>
        <w:ind w:left="357" w:hanging="357"/>
      </w:pPr>
      <w:r>
        <w:t>Emotional numbing</w:t>
      </w:r>
    </w:p>
    <w:p w14:paraId="22638B92" w14:textId="77777777" w:rsidR="00FB106E" w:rsidRDefault="00FB106E" w:rsidP="00DC6E08">
      <w:pPr>
        <w:pStyle w:val="TeThHauorabullets"/>
        <w:ind w:left="357" w:hanging="357"/>
      </w:pPr>
      <w:r>
        <w:t>Social withdrawal</w:t>
      </w:r>
    </w:p>
    <w:p w14:paraId="5FEE2A84" w14:textId="77777777" w:rsidR="00FB106E" w:rsidRDefault="00FB106E" w:rsidP="00DC6E08">
      <w:pPr>
        <w:pStyle w:val="TeThHauorabullets"/>
        <w:ind w:left="357" w:hanging="357"/>
      </w:pPr>
      <w:r>
        <w:t>Work-related nightmares</w:t>
      </w:r>
    </w:p>
    <w:p w14:paraId="4EE1F8EC" w14:textId="77777777" w:rsidR="00FB106E" w:rsidRDefault="00FB106E" w:rsidP="00DC6E08">
      <w:pPr>
        <w:pStyle w:val="TeThHauorabullets"/>
        <w:ind w:left="357" w:hanging="357"/>
      </w:pPr>
      <w:r>
        <w:t>Feelings of despair and hopelessness</w:t>
      </w:r>
    </w:p>
    <w:p w14:paraId="4E174FF3" w14:textId="77777777" w:rsidR="00FB106E" w:rsidRDefault="00FB106E" w:rsidP="00DC6E08">
      <w:pPr>
        <w:pStyle w:val="TeThHauorabullets"/>
        <w:ind w:left="357" w:hanging="357"/>
      </w:pPr>
      <w:r>
        <w:t>Loss of sense of spirituality</w:t>
      </w:r>
    </w:p>
    <w:p w14:paraId="6F62EB6D" w14:textId="77777777" w:rsidR="00FB106E" w:rsidRDefault="00FB106E" w:rsidP="00DC6E08">
      <w:pPr>
        <w:pStyle w:val="TeThHauorabullets"/>
        <w:ind w:left="357" w:hanging="357"/>
      </w:pPr>
      <w:r>
        <w:t>More negative view of the world</w:t>
      </w:r>
    </w:p>
    <w:p w14:paraId="40EE9FBF" w14:textId="77777777" w:rsidR="00FB106E" w:rsidRDefault="00FB106E" w:rsidP="00DC6E08">
      <w:pPr>
        <w:pStyle w:val="TeThHauorabullets"/>
        <w:ind w:left="357" w:hanging="357"/>
      </w:pPr>
      <w:r>
        <w:t>Reduced sense of respect for your clients</w:t>
      </w:r>
    </w:p>
    <w:p w14:paraId="1D7332A3" w14:textId="77777777" w:rsidR="00FB106E" w:rsidRDefault="00FB106E" w:rsidP="00DC6E08">
      <w:pPr>
        <w:pStyle w:val="TeThHauorabullets"/>
        <w:ind w:left="357" w:hanging="357"/>
      </w:pPr>
      <w:r>
        <w:t>Loss of enjoyment of sexual activity</w:t>
      </w:r>
    </w:p>
    <w:p w14:paraId="676A5F4B" w14:textId="77777777" w:rsidR="00FB106E" w:rsidRDefault="00FB106E" w:rsidP="00DC6E08">
      <w:pPr>
        <w:pStyle w:val="TeThHauorabullets"/>
        <w:ind w:left="357" w:hanging="357"/>
      </w:pPr>
      <w:r>
        <w:t>No time or energy for yourself</w:t>
      </w:r>
    </w:p>
    <w:p w14:paraId="76D6B668" w14:textId="77777777" w:rsidR="00FB106E" w:rsidRDefault="00FB106E" w:rsidP="00DC6E08">
      <w:pPr>
        <w:pStyle w:val="TeThHauorabullets"/>
        <w:ind w:left="357" w:hanging="357"/>
      </w:pPr>
      <w:r>
        <w:t>Feeling that you can't discuss work with family or friends</w:t>
      </w:r>
    </w:p>
    <w:p w14:paraId="26209EC8" w14:textId="77777777" w:rsidR="00FB106E" w:rsidRDefault="00FB106E" w:rsidP="00DC6E08">
      <w:pPr>
        <w:pStyle w:val="TeThHauorabullets"/>
        <w:ind w:left="357" w:hanging="357"/>
      </w:pPr>
      <w:r>
        <w:t>Finding that you talk about work all the time (can't escape)</w:t>
      </w:r>
    </w:p>
    <w:p w14:paraId="4C7820D1" w14:textId="77777777" w:rsidR="00FB106E" w:rsidRDefault="00FB106E" w:rsidP="00DC6E08">
      <w:pPr>
        <w:pStyle w:val="TeThHauorabullets"/>
        <w:ind w:left="357" w:hanging="357"/>
      </w:pPr>
      <w:r>
        <w:t>Sense of disconnection from your loved ones</w:t>
      </w:r>
    </w:p>
    <w:p w14:paraId="207264B0" w14:textId="378FDAAD" w:rsidR="00FB106E" w:rsidRDefault="00FB106E" w:rsidP="00DC6E08">
      <w:pPr>
        <w:pStyle w:val="TeThHauorabullets"/>
        <w:ind w:left="357" w:hanging="357"/>
      </w:pPr>
      <w:r>
        <w:t>Increased sense of danger (reduced sense of safety)</w:t>
      </w:r>
    </w:p>
    <w:p w14:paraId="0D09D077" w14:textId="77777777" w:rsidR="00FB106E" w:rsidRDefault="00FB106E" w:rsidP="00DC6E08">
      <w:pPr>
        <w:pStyle w:val="TeThHauorabullets"/>
        <w:ind w:left="357" w:hanging="357"/>
      </w:pPr>
      <w:r>
        <w:t>Increased fear for safety of children or loved ones</w:t>
      </w:r>
    </w:p>
    <w:p w14:paraId="4C8F206C" w14:textId="77777777" w:rsidR="00FB106E" w:rsidRDefault="00FB106E" w:rsidP="00DC6E08">
      <w:pPr>
        <w:pStyle w:val="TeThHauorabullets"/>
        <w:ind w:left="357" w:hanging="357"/>
      </w:pPr>
      <w:r>
        <w:lastRenderedPageBreak/>
        <w:t>Sense of cynicism or pessimism</w:t>
      </w:r>
    </w:p>
    <w:p w14:paraId="29DBBC1B" w14:textId="77777777" w:rsidR="00FB106E" w:rsidRDefault="00FB106E" w:rsidP="00DC6E08">
      <w:pPr>
        <w:pStyle w:val="TeThHauorabullets"/>
        <w:ind w:left="357" w:hanging="357"/>
      </w:pPr>
      <w:r>
        <w:t>Increased illness or fatigue</w:t>
      </w:r>
    </w:p>
    <w:p w14:paraId="6DCC2EB9" w14:textId="77777777" w:rsidR="00FB106E" w:rsidRDefault="00FB106E" w:rsidP="00DC6E08">
      <w:pPr>
        <w:pStyle w:val="TeThHauorabullets"/>
        <w:ind w:left="357" w:hanging="357"/>
      </w:pPr>
      <w:r>
        <w:t>Increased absenteeism</w:t>
      </w:r>
    </w:p>
    <w:p w14:paraId="4D296405" w14:textId="77777777" w:rsidR="00FB106E" w:rsidRDefault="00FB106E" w:rsidP="00DC6E08">
      <w:pPr>
        <w:pStyle w:val="TeThHauorabullets"/>
        <w:ind w:left="357" w:hanging="357"/>
      </w:pPr>
      <w:r>
        <w:t>Greater problems with boundaries</w:t>
      </w:r>
    </w:p>
    <w:p w14:paraId="47EEF48C" w14:textId="77777777" w:rsidR="00FB106E" w:rsidRDefault="00FB106E" w:rsidP="00DC6E08">
      <w:pPr>
        <w:pStyle w:val="TeThHauorabullets"/>
        <w:ind w:left="357" w:hanging="357"/>
      </w:pPr>
      <w:r>
        <w:t>Difficulties making decisions</w:t>
      </w:r>
    </w:p>
    <w:p w14:paraId="35288BCE" w14:textId="77777777" w:rsidR="00FB106E" w:rsidRDefault="00FB106E" w:rsidP="00DC6E08">
      <w:pPr>
        <w:pStyle w:val="TeThHauorabullets"/>
        <w:ind w:left="357" w:hanging="357"/>
      </w:pPr>
      <w:r>
        <w:t>Reduced productivity</w:t>
      </w:r>
    </w:p>
    <w:p w14:paraId="6F883BB8" w14:textId="77777777" w:rsidR="00FB106E" w:rsidRDefault="00FB106E" w:rsidP="00DC6E08">
      <w:pPr>
        <w:pStyle w:val="TeThHauorabullets"/>
        <w:ind w:left="357" w:hanging="357"/>
      </w:pPr>
      <w:r>
        <w:t>Reduced motivation for your work</w:t>
      </w:r>
    </w:p>
    <w:p w14:paraId="5867F289" w14:textId="77777777" w:rsidR="00FB106E" w:rsidRDefault="00FB106E" w:rsidP="00DC6E08">
      <w:pPr>
        <w:pStyle w:val="TeThHauorabullets"/>
        <w:ind w:left="357" w:hanging="357"/>
      </w:pPr>
      <w:r>
        <w:t>Loss of sense of control over your work and your life</w:t>
      </w:r>
    </w:p>
    <w:p w14:paraId="26D052CE" w14:textId="3C5E36D1" w:rsidR="00FB106E" w:rsidRDefault="00FB106E" w:rsidP="00DC6E08">
      <w:pPr>
        <w:pStyle w:val="TeThHauorabullets"/>
        <w:ind w:left="357" w:hanging="357"/>
      </w:pPr>
      <w:r>
        <w:t>Lowered self</w:t>
      </w:r>
      <w:r w:rsidR="008A2AC1">
        <w:t>-</w:t>
      </w:r>
      <w:r>
        <w:t>esteem</w:t>
      </w:r>
      <w:r w:rsidR="00E10E33">
        <w:t xml:space="preserve"> and/or</w:t>
      </w:r>
      <w:r>
        <w:t xml:space="preserve"> sense of competence in your work</w:t>
      </w:r>
    </w:p>
    <w:p w14:paraId="210564EE" w14:textId="77777777" w:rsidR="00FB106E" w:rsidRDefault="00FB106E" w:rsidP="00DC6E08">
      <w:pPr>
        <w:pStyle w:val="TeThHauorabullets"/>
        <w:ind w:left="357" w:hanging="357"/>
      </w:pPr>
      <w:r>
        <w:t>Difficulties trusting others</w:t>
      </w:r>
    </w:p>
    <w:p w14:paraId="66FDCBDC" w14:textId="77777777" w:rsidR="00FB106E" w:rsidRDefault="00FB106E" w:rsidP="00DC6E08">
      <w:pPr>
        <w:pStyle w:val="TeThHauorabullets"/>
        <w:ind w:left="357" w:hanging="357"/>
      </w:pPr>
      <w:r>
        <w:t>Lessened interest in spending time alone</w:t>
      </w:r>
    </w:p>
    <w:p w14:paraId="6E4AB655" w14:textId="064FAB6A" w:rsidR="00FB106E" w:rsidRDefault="00FB106E" w:rsidP="00DC6E08">
      <w:pPr>
        <w:pStyle w:val="TeThHauorabullets"/>
        <w:ind w:left="357" w:hanging="357"/>
      </w:pPr>
      <w:r>
        <w:t>Less time spent reflecting on your experiences.</w:t>
      </w:r>
    </w:p>
    <w:p w14:paraId="59524BBE" w14:textId="77777777" w:rsidR="00F23B35" w:rsidRDefault="00F23B35" w:rsidP="00F52948">
      <w:pPr>
        <w:pStyle w:val="TeThHauorabodytext"/>
      </w:pPr>
    </w:p>
    <w:p w14:paraId="20A745B7" w14:textId="0569D349" w:rsidR="00F52948" w:rsidRPr="0088298C" w:rsidRDefault="00F52948" w:rsidP="00F52948">
      <w:pPr>
        <w:pStyle w:val="TeThHauorabodytext"/>
      </w:pPr>
      <w:r>
        <w:t xml:space="preserve">Within Te Tāhū Hauora, professional supervision and peer support </w:t>
      </w:r>
      <w:r w:rsidR="00CD4FB1">
        <w:t xml:space="preserve">is required </w:t>
      </w:r>
      <w:r>
        <w:t>for those involved with mortality review. While it is not possible to establish this as a requirement for the release of mortality data to external researchers, we strongly advise that consideration is given to making professional supervision available.</w:t>
      </w:r>
    </w:p>
    <w:sectPr w:rsidR="00F52948" w:rsidRPr="0088298C" w:rsidSect="00FA1E37">
      <w:footerReference w:type="default" r:id="rId2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753B" w14:textId="77777777" w:rsidR="00FA1E37" w:rsidRDefault="00FA1E37" w:rsidP="003C45E1">
      <w:pPr>
        <w:spacing w:after="0" w:line="240" w:lineRule="auto"/>
      </w:pPr>
      <w:r>
        <w:separator/>
      </w:r>
    </w:p>
  </w:endnote>
  <w:endnote w:type="continuationSeparator" w:id="0">
    <w:p w14:paraId="3212CF17" w14:textId="77777777" w:rsidR="00FA1E37" w:rsidRDefault="00FA1E37" w:rsidP="003C45E1">
      <w:pPr>
        <w:spacing w:after="0" w:line="240" w:lineRule="auto"/>
      </w:pPr>
      <w:r>
        <w:continuationSeparator/>
      </w:r>
    </w:p>
  </w:endnote>
  <w:endnote w:type="continuationNotice" w:id="1">
    <w:p w14:paraId="7B8FA47E" w14:textId="77777777" w:rsidR="00FA1E37" w:rsidRDefault="00FA1E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275991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6B279E9" w14:textId="5F34862E" w:rsidR="004907D7" w:rsidRPr="00C94953" w:rsidRDefault="00C94953" w:rsidP="00C94953">
            <w:pPr>
              <w:pStyle w:val="Footer"/>
              <w:rPr>
                <w:sz w:val="20"/>
                <w:szCs w:val="20"/>
              </w:rPr>
            </w:pPr>
            <w:r w:rsidRPr="00C94953">
              <w:rPr>
                <w:sz w:val="20"/>
                <w:szCs w:val="20"/>
              </w:rPr>
              <w:t>National Mortality Review Committee data access policy</w:t>
            </w:r>
            <w:r w:rsidR="001D0CB2">
              <w:rPr>
                <w:sz w:val="20"/>
                <w:szCs w:val="20"/>
              </w:rPr>
              <w:t xml:space="preserve"> and application guide</w:t>
            </w:r>
            <w:r w:rsidRPr="00C94953">
              <w:rPr>
                <w:sz w:val="20"/>
                <w:szCs w:val="20"/>
              </w:rPr>
              <w:tab/>
              <w:t xml:space="preserve">Page </w:t>
            </w:r>
            <w:r w:rsidRPr="00C94953">
              <w:rPr>
                <w:b/>
                <w:bCs/>
                <w:sz w:val="20"/>
                <w:szCs w:val="20"/>
              </w:rPr>
              <w:fldChar w:fldCharType="begin"/>
            </w:r>
            <w:r w:rsidRPr="00C94953">
              <w:rPr>
                <w:b/>
                <w:bCs/>
                <w:sz w:val="20"/>
                <w:szCs w:val="20"/>
              </w:rPr>
              <w:instrText xml:space="preserve"> PAGE </w:instrText>
            </w:r>
            <w:r w:rsidRPr="00C94953">
              <w:rPr>
                <w:b/>
                <w:bCs/>
                <w:sz w:val="20"/>
                <w:szCs w:val="20"/>
              </w:rPr>
              <w:fldChar w:fldCharType="separate"/>
            </w:r>
            <w:r w:rsidRPr="00C94953">
              <w:rPr>
                <w:b/>
                <w:bCs/>
                <w:noProof/>
                <w:sz w:val="20"/>
                <w:szCs w:val="20"/>
              </w:rPr>
              <w:t>2</w:t>
            </w:r>
            <w:r w:rsidRPr="00C94953">
              <w:rPr>
                <w:b/>
                <w:bCs/>
                <w:sz w:val="20"/>
                <w:szCs w:val="20"/>
              </w:rPr>
              <w:fldChar w:fldCharType="end"/>
            </w:r>
            <w:r w:rsidRPr="00C94953">
              <w:rPr>
                <w:sz w:val="20"/>
                <w:szCs w:val="20"/>
              </w:rPr>
              <w:t xml:space="preserve"> of </w:t>
            </w:r>
            <w:r w:rsidRPr="00C94953">
              <w:rPr>
                <w:b/>
                <w:bCs/>
                <w:sz w:val="20"/>
                <w:szCs w:val="20"/>
              </w:rPr>
              <w:fldChar w:fldCharType="begin"/>
            </w:r>
            <w:r w:rsidRPr="00C94953">
              <w:rPr>
                <w:b/>
                <w:bCs/>
                <w:sz w:val="20"/>
                <w:szCs w:val="20"/>
              </w:rPr>
              <w:instrText xml:space="preserve"> NUMPAGES  </w:instrText>
            </w:r>
            <w:r w:rsidRPr="00C94953">
              <w:rPr>
                <w:b/>
                <w:bCs/>
                <w:sz w:val="20"/>
                <w:szCs w:val="20"/>
              </w:rPr>
              <w:fldChar w:fldCharType="separate"/>
            </w:r>
            <w:r w:rsidRPr="00C94953">
              <w:rPr>
                <w:b/>
                <w:bCs/>
                <w:noProof/>
                <w:sz w:val="20"/>
                <w:szCs w:val="20"/>
              </w:rPr>
              <w:t>2</w:t>
            </w:r>
            <w:r w:rsidRPr="00C94953">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28379525"/>
      <w:docPartObj>
        <w:docPartGallery w:val="Page Numbers (Bottom of Page)"/>
        <w:docPartUnique/>
      </w:docPartObj>
    </w:sdtPr>
    <w:sdtContent>
      <w:sdt>
        <w:sdtPr>
          <w:rPr>
            <w:sz w:val="20"/>
            <w:szCs w:val="20"/>
          </w:rPr>
          <w:id w:val="-1188836359"/>
          <w:docPartObj>
            <w:docPartGallery w:val="Page Numbers (Top of Page)"/>
            <w:docPartUnique/>
          </w:docPartObj>
        </w:sdtPr>
        <w:sdtContent>
          <w:p w14:paraId="1BB2986C" w14:textId="7042F322" w:rsidR="00C94953" w:rsidRPr="00C94953" w:rsidRDefault="00C94953" w:rsidP="00C94953">
            <w:pPr>
              <w:pStyle w:val="Footer"/>
              <w:tabs>
                <w:tab w:val="clear" w:pos="9026"/>
                <w:tab w:val="right" w:pos="13892"/>
              </w:tabs>
              <w:rPr>
                <w:sz w:val="20"/>
                <w:szCs w:val="20"/>
              </w:rPr>
            </w:pPr>
            <w:r w:rsidRPr="00C94953">
              <w:rPr>
                <w:sz w:val="20"/>
                <w:szCs w:val="20"/>
              </w:rPr>
              <w:t>National Mortality Review Committee data access policy</w:t>
            </w:r>
            <w:r w:rsidR="0070097C">
              <w:rPr>
                <w:sz w:val="20"/>
                <w:szCs w:val="20"/>
              </w:rPr>
              <w:t xml:space="preserve"> and application guide</w:t>
            </w:r>
            <w:r w:rsidRPr="00C94953">
              <w:rPr>
                <w:sz w:val="20"/>
                <w:szCs w:val="20"/>
              </w:rPr>
              <w:tab/>
              <w:t xml:space="preserve">Page </w:t>
            </w:r>
            <w:r w:rsidRPr="00C94953">
              <w:rPr>
                <w:b/>
                <w:bCs/>
                <w:sz w:val="20"/>
                <w:szCs w:val="20"/>
              </w:rPr>
              <w:fldChar w:fldCharType="begin"/>
            </w:r>
            <w:r w:rsidRPr="00C94953">
              <w:rPr>
                <w:b/>
                <w:bCs/>
                <w:sz w:val="20"/>
                <w:szCs w:val="20"/>
              </w:rPr>
              <w:instrText xml:space="preserve"> PAGE </w:instrText>
            </w:r>
            <w:r w:rsidRPr="00C94953">
              <w:rPr>
                <w:b/>
                <w:bCs/>
                <w:sz w:val="20"/>
                <w:szCs w:val="20"/>
              </w:rPr>
              <w:fldChar w:fldCharType="separate"/>
            </w:r>
            <w:r>
              <w:rPr>
                <w:b/>
                <w:bCs/>
                <w:sz w:val="20"/>
                <w:szCs w:val="20"/>
              </w:rPr>
              <w:t>7</w:t>
            </w:r>
            <w:r w:rsidRPr="00C94953">
              <w:rPr>
                <w:b/>
                <w:bCs/>
                <w:sz w:val="20"/>
                <w:szCs w:val="20"/>
              </w:rPr>
              <w:fldChar w:fldCharType="end"/>
            </w:r>
            <w:r w:rsidRPr="00C94953">
              <w:rPr>
                <w:sz w:val="20"/>
                <w:szCs w:val="20"/>
              </w:rPr>
              <w:t xml:space="preserve"> of </w:t>
            </w:r>
            <w:r w:rsidRPr="00C94953">
              <w:rPr>
                <w:b/>
                <w:bCs/>
                <w:sz w:val="20"/>
                <w:szCs w:val="20"/>
              </w:rPr>
              <w:fldChar w:fldCharType="begin"/>
            </w:r>
            <w:r w:rsidRPr="00C94953">
              <w:rPr>
                <w:b/>
                <w:bCs/>
                <w:sz w:val="20"/>
                <w:szCs w:val="20"/>
              </w:rPr>
              <w:instrText xml:space="preserve"> NUMPAGES  </w:instrText>
            </w:r>
            <w:r w:rsidRPr="00C94953">
              <w:rPr>
                <w:b/>
                <w:bCs/>
                <w:sz w:val="20"/>
                <w:szCs w:val="20"/>
              </w:rPr>
              <w:fldChar w:fldCharType="separate"/>
            </w:r>
            <w:r>
              <w:rPr>
                <w:b/>
                <w:bCs/>
                <w:sz w:val="20"/>
                <w:szCs w:val="20"/>
              </w:rPr>
              <w:t>18</w:t>
            </w:r>
            <w:r w:rsidRPr="00C94953">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47353417"/>
      <w:docPartObj>
        <w:docPartGallery w:val="Page Numbers (Bottom of Page)"/>
        <w:docPartUnique/>
      </w:docPartObj>
    </w:sdtPr>
    <w:sdtContent>
      <w:sdt>
        <w:sdtPr>
          <w:rPr>
            <w:sz w:val="20"/>
            <w:szCs w:val="20"/>
          </w:rPr>
          <w:id w:val="279463730"/>
          <w:docPartObj>
            <w:docPartGallery w:val="Page Numbers (Top of Page)"/>
            <w:docPartUnique/>
          </w:docPartObj>
        </w:sdtPr>
        <w:sdtContent>
          <w:p w14:paraId="5592A514" w14:textId="0E0A71B3" w:rsidR="00C94953" w:rsidRPr="00C94953" w:rsidRDefault="00C94953" w:rsidP="00C94953">
            <w:pPr>
              <w:pStyle w:val="Footer"/>
              <w:tabs>
                <w:tab w:val="clear" w:pos="9026"/>
                <w:tab w:val="right" w:pos="13892"/>
              </w:tabs>
              <w:rPr>
                <w:sz w:val="20"/>
                <w:szCs w:val="20"/>
              </w:rPr>
            </w:pPr>
            <w:r w:rsidRPr="00C94953">
              <w:rPr>
                <w:sz w:val="20"/>
                <w:szCs w:val="20"/>
              </w:rPr>
              <w:t>National Mortality Review Committee data access policy</w:t>
            </w:r>
            <w:r w:rsidR="0070097C">
              <w:rPr>
                <w:sz w:val="20"/>
                <w:szCs w:val="20"/>
              </w:rPr>
              <w:t xml:space="preserve"> and application guide</w:t>
            </w:r>
            <w:r w:rsidRPr="00C94953">
              <w:rPr>
                <w:sz w:val="20"/>
                <w:szCs w:val="20"/>
              </w:rPr>
              <w:tab/>
              <w:t xml:space="preserve">Page </w:t>
            </w:r>
            <w:r w:rsidRPr="00C94953">
              <w:rPr>
                <w:b/>
                <w:bCs/>
                <w:sz w:val="20"/>
                <w:szCs w:val="20"/>
              </w:rPr>
              <w:fldChar w:fldCharType="begin"/>
            </w:r>
            <w:r w:rsidRPr="00C94953">
              <w:rPr>
                <w:b/>
                <w:bCs/>
                <w:sz w:val="20"/>
                <w:szCs w:val="20"/>
              </w:rPr>
              <w:instrText xml:space="preserve"> PAGE </w:instrText>
            </w:r>
            <w:r w:rsidRPr="00C94953">
              <w:rPr>
                <w:b/>
                <w:bCs/>
                <w:sz w:val="20"/>
                <w:szCs w:val="20"/>
              </w:rPr>
              <w:fldChar w:fldCharType="separate"/>
            </w:r>
            <w:r>
              <w:rPr>
                <w:b/>
                <w:bCs/>
                <w:sz w:val="20"/>
                <w:szCs w:val="20"/>
              </w:rPr>
              <w:t>7</w:t>
            </w:r>
            <w:r w:rsidRPr="00C94953">
              <w:rPr>
                <w:b/>
                <w:bCs/>
                <w:sz w:val="20"/>
                <w:szCs w:val="20"/>
              </w:rPr>
              <w:fldChar w:fldCharType="end"/>
            </w:r>
            <w:r w:rsidRPr="00C94953">
              <w:rPr>
                <w:sz w:val="20"/>
                <w:szCs w:val="20"/>
              </w:rPr>
              <w:t xml:space="preserve"> of </w:t>
            </w:r>
            <w:r w:rsidRPr="00C94953">
              <w:rPr>
                <w:b/>
                <w:bCs/>
                <w:sz w:val="20"/>
                <w:szCs w:val="20"/>
              </w:rPr>
              <w:fldChar w:fldCharType="begin"/>
            </w:r>
            <w:r w:rsidRPr="00C94953">
              <w:rPr>
                <w:b/>
                <w:bCs/>
                <w:sz w:val="20"/>
                <w:szCs w:val="20"/>
              </w:rPr>
              <w:instrText xml:space="preserve"> NUMPAGES  </w:instrText>
            </w:r>
            <w:r w:rsidRPr="00C94953">
              <w:rPr>
                <w:b/>
                <w:bCs/>
                <w:sz w:val="20"/>
                <w:szCs w:val="20"/>
              </w:rPr>
              <w:fldChar w:fldCharType="separate"/>
            </w:r>
            <w:r>
              <w:rPr>
                <w:b/>
                <w:bCs/>
                <w:sz w:val="20"/>
                <w:szCs w:val="20"/>
              </w:rPr>
              <w:t>18</w:t>
            </w:r>
            <w:r w:rsidRPr="00C94953">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C5CC" w14:textId="77777777" w:rsidR="00FA1E37" w:rsidRDefault="00FA1E37" w:rsidP="003C45E1">
      <w:pPr>
        <w:spacing w:after="0" w:line="240" w:lineRule="auto"/>
      </w:pPr>
      <w:r>
        <w:separator/>
      </w:r>
    </w:p>
  </w:footnote>
  <w:footnote w:type="continuationSeparator" w:id="0">
    <w:p w14:paraId="474400E9" w14:textId="77777777" w:rsidR="00FA1E37" w:rsidRDefault="00FA1E37" w:rsidP="003C45E1">
      <w:pPr>
        <w:spacing w:after="0" w:line="240" w:lineRule="auto"/>
      </w:pPr>
      <w:r>
        <w:continuationSeparator/>
      </w:r>
    </w:p>
  </w:footnote>
  <w:footnote w:type="continuationNotice" w:id="1">
    <w:p w14:paraId="395D6D15" w14:textId="77777777" w:rsidR="00FA1E37" w:rsidRDefault="00FA1E37">
      <w:pPr>
        <w:spacing w:after="0" w:line="240" w:lineRule="auto"/>
      </w:pPr>
    </w:p>
  </w:footnote>
  <w:footnote w:id="2">
    <w:p w14:paraId="6939C921" w14:textId="487E5B4E" w:rsidR="006F10BE" w:rsidRPr="008F409E" w:rsidRDefault="006F10BE" w:rsidP="006F10BE">
      <w:pPr>
        <w:pStyle w:val="FootnoteText"/>
      </w:pPr>
      <w:r w:rsidRPr="008F409E">
        <w:rPr>
          <w:rStyle w:val="FootnoteReference"/>
        </w:rPr>
        <w:footnoteRef/>
      </w:r>
      <w:r w:rsidRPr="008F409E">
        <w:t xml:space="preserve"> Ngā Pou Arawhenua, Child and Youth Mortality Review Committee, Suicide Mortality Review Committee</w:t>
      </w:r>
      <w:r w:rsidR="00136DFF">
        <w:t>.</w:t>
      </w:r>
      <w:r w:rsidRPr="008F409E">
        <w:t xml:space="preserve"> 2020</w:t>
      </w:r>
      <w:r w:rsidR="00136DFF">
        <w:t>.</w:t>
      </w:r>
      <w:r w:rsidRPr="008F409E">
        <w:t xml:space="preserve"> </w:t>
      </w:r>
      <w:r w:rsidR="00136DFF" w:rsidRPr="00641FD0">
        <w:rPr>
          <w:i/>
          <w:iCs/>
        </w:rPr>
        <w:t xml:space="preserve">Te Mauri The Life Force I Rangatahi suicide report I Te </w:t>
      </w:r>
      <w:proofErr w:type="spellStart"/>
      <w:r w:rsidR="00136DFF" w:rsidRPr="00641FD0">
        <w:rPr>
          <w:i/>
          <w:iCs/>
        </w:rPr>
        <w:t>pūrongo</w:t>
      </w:r>
      <w:proofErr w:type="spellEnd"/>
      <w:r w:rsidR="00136DFF" w:rsidRPr="00641FD0">
        <w:rPr>
          <w:i/>
          <w:iCs/>
        </w:rPr>
        <w:t xml:space="preserve"> </w:t>
      </w:r>
      <w:proofErr w:type="spellStart"/>
      <w:r w:rsidR="00136DFF" w:rsidRPr="00641FD0">
        <w:rPr>
          <w:i/>
          <w:iCs/>
        </w:rPr>
        <w:t>mō</w:t>
      </w:r>
      <w:proofErr w:type="spellEnd"/>
      <w:r w:rsidR="00136DFF" w:rsidRPr="00641FD0">
        <w:rPr>
          <w:i/>
          <w:iCs/>
        </w:rPr>
        <w:t xml:space="preserve"> te mate </w:t>
      </w:r>
      <w:proofErr w:type="spellStart"/>
      <w:r w:rsidR="00136DFF" w:rsidRPr="00641FD0">
        <w:rPr>
          <w:i/>
          <w:iCs/>
        </w:rPr>
        <w:t>whakamomori</w:t>
      </w:r>
      <w:proofErr w:type="spellEnd"/>
      <w:r w:rsidR="00136DFF" w:rsidRPr="00641FD0">
        <w:rPr>
          <w:i/>
          <w:iCs/>
        </w:rPr>
        <w:t xml:space="preserve"> o te rangatahi</w:t>
      </w:r>
      <w:r w:rsidRPr="008F409E">
        <w:t xml:space="preserve">. </w:t>
      </w:r>
      <w:r w:rsidR="00136DFF">
        <w:t>Wellington:</w:t>
      </w:r>
      <w:r w:rsidRPr="008F409E">
        <w:t xml:space="preserve"> Health Quality &amp; Safety Commission. </w:t>
      </w:r>
      <w:r w:rsidR="0027649A">
        <w:t xml:space="preserve">URL: </w:t>
      </w:r>
      <w:hyperlink r:id="rId1" w:history="1">
        <w:r w:rsidR="0027649A" w:rsidRPr="0027649A">
          <w:rPr>
            <w:rStyle w:val="Hyperlink"/>
          </w:rPr>
          <w:t>www.hqsc.govt.nz/resources/resource-library/te-mauri-the-life-force-i-rangatahi-suicide-report-i-te-purongo-mo-te-mate-whakamomori-o-te-rangatahi</w:t>
        </w:r>
      </w:hyperlink>
      <w:r w:rsidR="0027649A">
        <w:t xml:space="preserve">. </w:t>
      </w:r>
    </w:p>
  </w:footnote>
  <w:footnote w:id="3">
    <w:p w14:paraId="68E5F923" w14:textId="602ABB93" w:rsidR="006F10BE" w:rsidRPr="008F409E" w:rsidRDefault="006F10BE" w:rsidP="006F10BE">
      <w:pPr>
        <w:pStyle w:val="FootnoteText"/>
      </w:pPr>
      <w:r w:rsidRPr="008F409E">
        <w:rPr>
          <w:rStyle w:val="FootnoteReference"/>
        </w:rPr>
        <w:footnoteRef/>
      </w:r>
      <w:r w:rsidRPr="008F409E">
        <w:t xml:space="preserve"> Cormack D</w:t>
      </w:r>
      <w:r w:rsidR="0027649A">
        <w:t>,</w:t>
      </w:r>
      <w:r w:rsidRPr="008F409E">
        <w:t xml:space="preserve"> Paine SJ. 2020</w:t>
      </w:r>
      <w:r w:rsidR="0027649A">
        <w:t>.</w:t>
      </w:r>
      <w:r w:rsidRPr="008F409E">
        <w:t xml:space="preserve"> Dear Epidemiology: a letter from two Māori </w:t>
      </w:r>
      <w:r w:rsidR="007E6686">
        <w:t>r</w:t>
      </w:r>
      <w:r w:rsidRPr="008F409E">
        <w:t xml:space="preserve">esearchers. </w:t>
      </w:r>
      <w:r w:rsidRPr="00641FD0">
        <w:rPr>
          <w:i/>
          <w:iCs/>
        </w:rPr>
        <w:t>The Pantograph Punch</w:t>
      </w:r>
      <w:r w:rsidRPr="008F409E">
        <w:t xml:space="preserve">. </w:t>
      </w:r>
      <w:r w:rsidR="00746922">
        <w:t>URL:</w:t>
      </w:r>
      <w:r w:rsidRPr="008F409E">
        <w:t xml:space="preserve"> </w:t>
      </w:r>
      <w:hyperlink r:id="rId2" w:history="1">
        <w:r w:rsidRPr="008F409E">
          <w:rPr>
            <w:rStyle w:val="Hyperlink"/>
          </w:rPr>
          <w:t>pantograph-punch.com/posts/dear-epidemiology</w:t>
        </w:r>
      </w:hyperlink>
      <w:r w:rsidR="00746922" w:rsidRPr="00641FD0">
        <w:rPr>
          <w:rStyle w:val="Hyperlink"/>
          <w:u w:val="none"/>
        </w:rPr>
        <w:t>.</w:t>
      </w:r>
    </w:p>
  </w:footnote>
  <w:footnote w:id="4">
    <w:p w14:paraId="026511EE" w14:textId="0AEAE8B3" w:rsidR="004F15E0" w:rsidRDefault="006F10BE" w:rsidP="004F15E0">
      <w:pPr>
        <w:pStyle w:val="FootnoteText"/>
      </w:pPr>
      <w:r w:rsidRPr="008F409E">
        <w:rPr>
          <w:rStyle w:val="FootnoteReference"/>
        </w:rPr>
        <w:footnoteRef/>
      </w:r>
      <w:r w:rsidRPr="008F409E">
        <w:t xml:space="preserve"> </w:t>
      </w:r>
      <w:r w:rsidR="002A3ECB">
        <w:t xml:space="preserve">Te Tāhū Hauora </w:t>
      </w:r>
      <w:r w:rsidR="00746922" w:rsidRPr="008F409E">
        <w:t>Health Quality &amp; Safety Commission</w:t>
      </w:r>
      <w:r w:rsidR="00746922">
        <w:t xml:space="preserve">. 2023. </w:t>
      </w:r>
      <w:r w:rsidR="004F15E0">
        <w:t xml:space="preserve">Terms of reference for the </w:t>
      </w:r>
    </w:p>
    <w:p w14:paraId="5993A11C" w14:textId="626AE093" w:rsidR="006F10BE" w:rsidRPr="008F409E" w:rsidRDefault="004F15E0" w:rsidP="004F15E0">
      <w:pPr>
        <w:pStyle w:val="FootnoteText"/>
      </w:pPr>
      <w:r>
        <w:t>National Mortality Review Committee</w:t>
      </w:r>
      <w:r w:rsidR="006F10BE" w:rsidRPr="008F409E">
        <w:t xml:space="preserve">. </w:t>
      </w:r>
      <w:r w:rsidR="00746922">
        <w:t>Wellington:</w:t>
      </w:r>
      <w:r w:rsidR="006F10BE" w:rsidRPr="008F409E">
        <w:t xml:space="preserve"> </w:t>
      </w:r>
      <w:r w:rsidR="002A3ECB">
        <w:t>Te Tāhū Hauora</w:t>
      </w:r>
      <w:r w:rsidR="006F10BE" w:rsidRPr="008F409E">
        <w:t>.</w:t>
      </w:r>
      <w:r>
        <w:t xml:space="preserve"> URL:</w:t>
      </w:r>
      <w:r w:rsidR="00920824" w:rsidRPr="00920824">
        <w:t xml:space="preserve"> </w:t>
      </w:r>
      <w:hyperlink r:id="rId3" w:history="1">
        <w:r w:rsidR="00920824" w:rsidRPr="00EF2E50">
          <w:rPr>
            <w:rStyle w:val="Hyperlink"/>
          </w:rPr>
          <w:t>www.hqsc.govt.nz/our-work/mortality-review-committees/national-mortality-review-committee/terms-of-reference</w:t>
        </w:r>
      </w:hyperlink>
      <w:r w:rsidR="00920824">
        <w:t xml:space="preserve">. </w:t>
      </w:r>
    </w:p>
  </w:footnote>
  <w:footnote w:id="5">
    <w:p w14:paraId="3F3BBF5B" w14:textId="73A7FFB7" w:rsidR="008F409E" w:rsidRDefault="008F409E">
      <w:pPr>
        <w:pStyle w:val="FootnoteText"/>
      </w:pPr>
      <w:r>
        <w:rPr>
          <w:rStyle w:val="FootnoteReference"/>
        </w:rPr>
        <w:footnoteRef/>
      </w:r>
      <w:r>
        <w:t xml:space="preserve"> </w:t>
      </w:r>
      <w:r w:rsidR="00C15FD0">
        <w:t>Te Tāhū Hauora Health Quality &amp; Safety Commission. 2023. National Mortality Review Committee. Wellington: Te Tāhū Hauora. URL:</w:t>
      </w:r>
      <w:r w:rsidR="003C28CC">
        <w:t xml:space="preserve"> </w:t>
      </w:r>
      <w:hyperlink r:id="rId4" w:history="1">
        <w:r w:rsidR="003C28CC" w:rsidRPr="003C28CC">
          <w:rPr>
            <w:rStyle w:val="Hyperlink"/>
          </w:rPr>
          <w:t>www.hqsc.govt.nz/our-work/mortality-review-committees/national-mortality-review-committee</w:t>
        </w:r>
      </w:hyperlink>
      <w:r w:rsidR="003C28CC">
        <w:t>.</w:t>
      </w:r>
    </w:p>
  </w:footnote>
  <w:footnote w:id="6">
    <w:p w14:paraId="1682B58D" w14:textId="08160085" w:rsidR="00602F9B" w:rsidRDefault="00602F9B">
      <w:pPr>
        <w:pStyle w:val="FootnoteText"/>
      </w:pPr>
      <w:r>
        <w:rPr>
          <w:rStyle w:val="FootnoteReference"/>
        </w:rPr>
        <w:footnoteRef/>
      </w:r>
      <w:r>
        <w:t xml:space="preserve"> </w:t>
      </w:r>
      <w:r w:rsidR="00C15FD0">
        <w:t xml:space="preserve">Te Tāhū Hauora Health Quality &amp; Safety Commission. 2023. </w:t>
      </w:r>
      <w:r w:rsidR="00086A1E" w:rsidRPr="00086A1E">
        <w:t>About the national mortality review function</w:t>
      </w:r>
      <w:r w:rsidR="00C15FD0">
        <w:t xml:space="preserve">. Wellington: Te Tāhū Hauora. URL: </w:t>
      </w:r>
      <w:hyperlink r:id="rId5" w:history="1">
        <w:r w:rsidR="003C28CC" w:rsidRPr="003C28CC">
          <w:rPr>
            <w:rStyle w:val="Hyperlink"/>
          </w:rPr>
          <w:t>www.hqsc.govt.nz/our-work/mortality-review-committees/about-the-national-mortality-review-function</w:t>
        </w:r>
      </w:hyperlink>
      <w:r>
        <w:t xml:space="preserve">. </w:t>
      </w:r>
    </w:p>
  </w:footnote>
  <w:footnote w:id="7">
    <w:p w14:paraId="5E965206" w14:textId="0F0A0904" w:rsidR="002B320B" w:rsidRDefault="002B320B" w:rsidP="002B320B">
      <w:pPr>
        <w:pStyle w:val="FootnoteText"/>
      </w:pPr>
      <w:r>
        <w:rPr>
          <w:rStyle w:val="FootnoteReference"/>
        </w:rPr>
        <w:footnoteRef/>
      </w:r>
      <w:r>
        <w:t xml:space="preserve"> </w:t>
      </w:r>
      <w:r w:rsidR="002340C0">
        <w:t xml:space="preserve">Health Quality &amp; Safety Commission. </w:t>
      </w:r>
      <w:r w:rsidR="008A760A">
        <w:t xml:space="preserve">2019. </w:t>
      </w:r>
      <w:r w:rsidR="008B6B78">
        <w:t>T</w:t>
      </w:r>
      <w:r w:rsidR="008B6B78" w:rsidRPr="008B6B78">
        <w:t>e Pou – Māori responsive rubric and guidelines</w:t>
      </w:r>
      <w:r w:rsidR="00006023">
        <w:t>.</w:t>
      </w:r>
      <w:r w:rsidR="008B6B78">
        <w:t xml:space="preserve"> Wellington: Health Quality &amp; Safety Commission. URL: </w:t>
      </w:r>
      <w:hyperlink r:id="rId6" w:history="1">
        <w:r w:rsidR="008B6B78" w:rsidRPr="00DB2A7F">
          <w:rPr>
            <w:rStyle w:val="Hyperlink"/>
          </w:rPr>
          <w:t>www.hqsc.govt.nz/resources/resource-library/te-pou-maori-responsive-rubric-and-guidelines</w:t>
        </w:r>
      </w:hyperlink>
      <w:r w:rsidR="008B6B78">
        <w:t xml:space="preserve">. </w:t>
      </w:r>
    </w:p>
  </w:footnote>
  <w:footnote w:id="8">
    <w:p w14:paraId="53306570" w14:textId="4F884BD1" w:rsidR="00635258" w:rsidRDefault="00635258" w:rsidP="00635258">
      <w:pPr>
        <w:pStyle w:val="FootnoteText"/>
      </w:pPr>
      <w:r>
        <w:rPr>
          <w:rStyle w:val="FootnoteReference"/>
        </w:rPr>
        <w:footnoteRef/>
      </w:r>
      <w:r>
        <w:t xml:space="preserve"> Thurber KA</w:t>
      </w:r>
      <w:r w:rsidR="00E07E2A">
        <w:t>,</w:t>
      </w:r>
      <w:r>
        <w:t xml:space="preserve"> </w:t>
      </w:r>
      <w:proofErr w:type="spellStart"/>
      <w:r>
        <w:t>Thandrayen</w:t>
      </w:r>
      <w:proofErr w:type="spellEnd"/>
      <w:r>
        <w:t xml:space="preserve"> </w:t>
      </w:r>
      <w:r w:rsidR="00E42717">
        <w:t>J</w:t>
      </w:r>
      <w:r w:rsidR="00E07E2A">
        <w:t>,</w:t>
      </w:r>
      <w:r w:rsidR="00E42717">
        <w:t xml:space="preserve"> </w:t>
      </w:r>
      <w:r>
        <w:t xml:space="preserve">Banks </w:t>
      </w:r>
      <w:r w:rsidR="00E42717">
        <w:t>E</w:t>
      </w:r>
      <w:r w:rsidR="002F121C">
        <w:t>, et al</w:t>
      </w:r>
      <w:r w:rsidR="00E42717">
        <w:t>. 2020</w:t>
      </w:r>
      <w:r w:rsidR="002F121C">
        <w:t>.</w:t>
      </w:r>
      <w:r w:rsidR="00E42717">
        <w:t xml:space="preserve"> </w:t>
      </w:r>
      <w:r>
        <w:t xml:space="preserve">Strengths-based approaches for quantitative data analysis: A case study using the </w:t>
      </w:r>
      <w:r w:rsidR="00E42717">
        <w:t>Australian</w:t>
      </w:r>
      <w:r>
        <w:t xml:space="preserve"> Longitudinal Study of Indigenous Children</w:t>
      </w:r>
      <w:r w:rsidR="00E42717">
        <w:t xml:space="preserve">. </w:t>
      </w:r>
      <w:r w:rsidRPr="002F121C">
        <w:rPr>
          <w:i/>
          <w:iCs/>
        </w:rPr>
        <w:t>Population Health</w:t>
      </w:r>
      <w:r w:rsidR="00E42717">
        <w:t xml:space="preserve"> 1</w:t>
      </w:r>
      <w:r>
        <w:t>2</w:t>
      </w:r>
      <w:r w:rsidR="002F121C">
        <w:t>:100637.</w:t>
      </w:r>
      <w:r w:rsidR="00E42717">
        <w:t xml:space="preserve"> </w:t>
      </w:r>
      <w:r w:rsidR="002F121C">
        <w:t xml:space="preserve">DOI: </w:t>
      </w:r>
      <w:r>
        <w:t>10.1016/j.ssmph.2020.100637.</w:t>
      </w:r>
    </w:p>
  </w:footnote>
  <w:footnote w:id="9">
    <w:p w14:paraId="216F668A" w14:textId="55E233C1" w:rsidR="00274C02" w:rsidRDefault="00274C02">
      <w:pPr>
        <w:pStyle w:val="FootnoteText"/>
      </w:pPr>
      <w:r>
        <w:rPr>
          <w:rStyle w:val="FootnoteReference"/>
        </w:rPr>
        <w:footnoteRef/>
      </w:r>
      <w:r>
        <w:t xml:space="preserve"> At the time, the committees were</w:t>
      </w:r>
      <w:r w:rsidR="00967CE2">
        <w:t>:</w:t>
      </w:r>
      <w:r>
        <w:t xml:space="preserve"> </w:t>
      </w:r>
      <w:r w:rsidR="0079259A">
        <w:t>child and youth, perinatal and maternal, family violence and perioperativ</w:t>
      </w:r>
      <w:r>
        <w:t xml:space="preserve">e. In 2017, the Suicide Mortality Review Committee was established under a separate contract with </w:t>
      </w:r>
      <w:r w:rsidR="004256DC">
        <w:t>Manatū Hauora</w:t>
      </w:r>
      <w:r>
        <w:t>.</w:t>
      </w:r>
    </w:p>
  </w:footnote>
  <w:footnote w:id="10">
    <w:p w14:paraId="14FDF699" w14:textId="2370C440" w:rsidR="009736F9" w:rsidRDefault="009736F9">
      <w:pPr>
        <w:pStyle w:val="FootnoteText"/>
      </w:pPr>
      <w:r>
        <w:rPr>
          <w:rStyle w:val="FootnoteReference"/>
        </w:rPr>
        <w:footnoteRef/>
      </w:r>
      <w:r>
        <w:t xml:space="preserve"> </w:t>
      </w:r>
      <w:r w:rsidR="00F90893" w:rsidRPr="00F90893">
        <w:t xml:space="preserve">Te Tāhū Hauora Health Quality &amp; Safety Commission. 2023. </w:t>
      </w:r>
      <w:r w:rsidR="00B91CE7">
        <w:t>Final Report: Review of the National Mortality Review Function</w:t>
      </w:r>
      <w:r w:rsidR="00F90893" w:rsidRPr="00F90893">
        <w:t xml:space="preserve">. Wellington: Te Tāhū Hauora. URL: </w:t>
      </w:r>
      <w:hyperlink r:id="rId7" w:history="1">
        <w:r w:rsidR="00550B72" w:rsidRPr="002F12EB">
          <w:rPr>
            <w:rStyle w:val="Hyperlink"/>
          </w:rPr>
          <w:t>www.hqsc.govt.nz/assets/Our-work/Mortality-review-committee/Publications-resources/NMRF_Final-Report-March-2022.pdf</w:t>
        </w:r>
      </w:hyperlink>
      <w:r w:rsidR="00B30B42">
        <w:t>.</w:t>
      </w:r>
      <w:r w:rsidR="00B91CE7">
        <w:t xml:space="preserve"> </w:t>
      </w:r>
    </w:p>
  </w:footnote>
  <w:footnote w:id="11">
    <w:p w14:paraId="67B32411" w14:textId="310D7867" w:rsidR="009736F9" w:rsidRDefault="009736F9">
      <w:pPr>
        <w:pStyle w:val="FootnoteText"/>
      </w:pPr>
      <w:r>
        <w:rPr>
          <w:rStyle w:val="FootnoteReference"/>
        </w:rPr>
        <w:footnoteRef/>
      </w:r>
      <w:r>
        <w:t xml:space="preserve"> </w:t>
      </w:r>
      <w:r w:rsidR="001D24FB">
        <w:t xml:space="preserve">Parliamentary Counsel Office | Te Tari </w:t>
      </w:r>
      <w:proofErr w:type="spellStart"/>
      <w:r w:rsidR="001D24FB">
        <w:t>Tohotohu</w:t>
      </w:r>
      <w:proofErr w:type="spellEnd"/>
      <w:r w:rsidR="001D24FB">
        <w:t xml:space="preserve"> </w:t>
      </w:r>
      <w:proofErr w:type="spellStart"/>
      <w:r w:rsidR="001D24FB">
        <w:t>Pāremata</w:t>
      </w:r>
      <w:proofErr w:type="spellEnd"/>
      <w:r w:rsidR="001D24FB">
        <w:t xml:space="preserve">. </w:t>
      </w:r>
      <w:r w:rsidR="00221A91">
        <w:t xml:space="preserve">Pae Ora (Healthy Futures) Act 2022. URL: </w:t>
      </w:r>
      <w:hyperlink r:id="rId8" w:history="1">
        <w:r w:rsidR="00156062" w:rsidRPr="00156062">
          <w:rPr>
            <w:rStyle w:val="Hyperlink"/>
          </w:rPr>
          <w:t>www.legislation.govt.nz/act/public/2022/0030/latest/LMS575405.html</w:t>
        </w:r>
      </w:hyperlink>
      <w:r w:rsidR="00156062">
        <w:t>.</w:t>
      </w:r>
    </w:p>
  </w:footnote>
  <w:footnote w:id="12">
    <w:p w14:paraId="153D04C4" w14:textId="5F3A776E" w:rsidR="009736F9" w:rsidRPr="009736F9" w:rsidRDefault="009736F9">
      <w:pPr>
        <w:pStyle w:val="FootnoteText"/>
      </w:pPr>
      <w:r w:rsidRPr="009736F9">
        <w:rPr>
          <w:rStyle w:val="FootnoteReference"/>
        </w:rPr>
        <w:footnoteRef/>
      </w:r>
      <w:r w:rsidRPr="009736F9">
        <w:t xml:space="preserve"> </w:t>
      </w:r>
      <w:r w:rsidR="009F300E">
        <w:t xml:space="preserve">Te Tāhū Hauora </w:t>
      </w:r>
      <w:r w:rsidR="008B4B55" w:rsidRPr="008B4B55">
        <w:t>Health Quality &amp; Safety Commission 2023</w:t>
      </w:r>
      <w:r w:rsidR="008B4B55">
        <w:t xml:space="preserve">, </w:t>
      </w:r>
      <w:r w:rsidR="008B4B55" w:rsidRPr="00553D9F">
        <w:rPr>
          <w:i/>
          <w:iCs/>
        </w:rPr>
        <w:t>op. cit.</w:t>
      </w:r>
    </w:p>
  </w:footnote>
  <w:footnote w:id="13">
    <w:p w14:paraId="0AEAF44F" w14:textId="2F8CE695" w:rsidR="009736F9" w:rsidRDefault="009736F9">
      <w:pPr>
        <w:pStyle w:val="FootnoteText"/>
      </w:pPr>
      <w:r>
        <w:rPr>
          <w:rStyle w:val="FootnoteReference"/>
        </w:rPr>
        <w:footnoteRef/>
      </w:r>
      <w:r>
        <w:t xml:space="preserve"> </w:t>
      </w:r>
      <w:r w:rsidR="00F47F49">
        <w:t>Section 82, Pae Ora (Healthy Futures) Act 2022</w:t>
      </w:r>
      <w:r w:rsidR="009C3A0F">
        <w:t>.</w:t>
      </w:r>
    </w:p>
  </w:footnote>
  <w:footnote w:id="14">
    <w:p w14:paraId="4C77A81B" w14:textId="61F2E709" w:rsidR="00F47F49" w:rsidRDefault="00F47F49">
      <w:pPr>
        <w:pStyle w:val="FootnoteText"/>
      </w:pPr>
      <w:r>
        <w:rPr>
          <w:rStyle w:val="FootnoteReference"/>
        </w:rPr>
        <w:footnoteRef/>
      </w:r>
      <w:r>
        <w:t xml:space="preserve"> </w:t>
      </w:r>
      <w:r w:rsidR="000348E7">
        <w:t xml:space="preserve">Schedule </w:t>
      </w:r>
      <w:r w:rsidR="00C15564">
        <w:t>3</w:t>
      </w:r>
      <w:r w:rsidR="00907DD6">
        <w:t>(2)</w:t>
      </w:r>
      <w:r w:rsidR="00C15564">
        <w:t>, Pae Ora (Healthy Futures) Act 2022</w:t>
      </w:r>
      <w:r w:rsidR="009C3A0F">
        <w:t>.</w:t>
      </w:r>
    </w:p>
  </w:footnote>
  <w:footnote w:id="15">
    <w:p w14:paraId="117D91AA" w14:textId="6A1ECBF8" w:rsidR="00943374" w:rsidRDefault="00943374">
      <w:pPr>
        <w:pStyle w:val="FootnoteText"/>
      </w:pPr>
      <w:r>
        <w:rPr>
          <w:rStyle w:val="FootnoteReference"/>
        </w:rPr>
        <w:footnoteRef/>
      </w:r>
      <w:r>
        <w:t xml:space="preserve"> Schedule 5(4)-(6), Pae Ora (Healthy Futures) Act 2022</w:t>
      </w:r>
      <w:r w:rsidR="009C3A0F">
        <w:t>.</w:t>
      </w:r>
    </w:p>
  </w:footnote>
  <w:footnote w:id="16">
    <w:p w14:paraId="10CF27CD" w14:textId="5B9D2156" w:rsidR="00F47F49" w:rsidRDefault="00F47F49">
      <w:pPr>
        <w:pStyle w:val="FootnoteText"/>
      </w:pPr>
      <w:r>
        <w:rPr>
          <w:rStyle w:val="FootnoteReference"/>
        </w:rPr>
        <w:footnoteRef/>
      </w:r>
      <w:r>
        <w:t xml:space="preserve"> Section 82(5)-(7), Pae Ora (Healthy Futures) Act 2022</w:t>
      </w:r>
      <w:r w:rsidR="009C3A0F">
        <w:t>.</w:t>
      </w:r>
    </w:p>
  </w:footnote>
  <w:footnote w:id="17">
    <w:p w14:paraId="13775DDE" w14:textId="118C5097" w:rsidR="00B3336C" w:rsidRDefault="00B3336C" w:rsidP="00B3336C">
      <w:pPr>
        <w:pStyle w:val="FootnoteText"/>
      </w:pPr>
      <w:r>
        <w:rPr>
          <w:rStyle w:val="FootnoteReference"/>
        </w:rPr>
        <w:footnoteRef/>
      </w:r>
      <w:r>
        <w:t xml:space="preserve"> </w:t>
      </w:r>
      <w:r w:rsidR="004A08EC">
        <w:t xml:space="preserve">National Ethics Advisory Committee | Kāhui </w:t>
      </w:r>
      <w:proofErr w:type="spellStart"/>
      <w:r w:rsidR="004A08EC">
        <w:t>Matatika</w:t>
      </w:r>
      <w:proofErr w:type="spellEnd"/>
      <w:r w:rsidR="004A08EC">
        <w:t xml:space="preserve"> o te Motu. </w:t>
      </w:r>
      <w:r w:rsidR="00082FDF">
        <w:t xml:space="preserve">2019. </w:t>
      </w:r>
      <w:r w:rsidR="00A638EE">
        <w:t>National Ethical Standards for Health and Disability Research and Quality Improvement</w:t>
      </w:r>
      <w:r w:rsidR="00082FDF">
        <w:t xml:space="preserve">. </w:t>
      </w:r>
      <w:r w:rsidR="00F8652A">
        <w:t xml:space="preserve">Wellington: National Ethics Advisory Committee. </w:t>
      </w:r>
      <w:r w:rsidR="004A08EC">
        <w:t xml:space="preserve">URL: </w:t>
      </w:r>
      <w:r w:rsidR="00376719" w:rsidRPr="00376719">
        <w:t>neac.health.govt.nz/publications-and-resources/neac-publications/national-ethical-standards-for-health-and-disability-research-and-quality-improvement</w:t>
      </w:r>
      <w:r w:rsidR="009C3A0F">
        <w:t>.</w:t>
      </w:r>
    </w:p>
  </w:footnote>
  <w:footnote w:id="18">
    <w:p w14:paraId="6558C013" w14:textId="269A7604" w:rsidR="00B3336C" w:rsidRDefault="00B3336C" w:rsidP="00B3336C">
      <w:pPr>
        <w:pStyle w:val="FootnoteText"/>
      </w:pPr>
      <w:r>
        <w:rPr>
          <w:rStyle w:val="FootnoteReference"/>
        </w:rPr>
        <w:footnoteRef/>
      </w:r>
      <w:r>
        <w:t xml:space="preserve"> </w:t>
      </w:r>
      <w:proofErr w:type="spellStart"/>
      <w:r w:rsidR="007145A5">
        <w:t>Crengle</w:t>
      </w:r>
      <w:proofErr w:type="spellEnd"/>
      <w:r w:rsidR="007145A5">
        <w:t xml:space="preserve"> S, </w:t>
      </w:r>
      <w:r w:rsidR="001D431F">
        <w:t xml:space="preserve">Davie G, Whitehead J, et al. </w:t>
      </w:r>
      <w:r w:rsidR="007145A5">
        <w:t xml:space="preserve">2022. </w:t>
      </w:r>
      <w:r w:rsidR="00402E59" w:rsidRPr="00402E59">
        <w:t>Mortality outcomes and inequities experienced by rural Māori in Aotearoa New Zealand</w:t>
      </w:r>
      <w:r w:rsidR="00402E59">
        <w:t xml:space="preserve">. </w:t>
      </w:r>
      <w:r w:rsidR="0048384E" w:rsidRPr="00553D9F">
        <w:rPr>
          <w:i/>
          <w:iCs/>
        </w:rPr>
        <w:t xml:space="preserve">The Lancet </w:t>
      </w:r>
      <w:r w:rsidR="001D431F">
        <w:t>28</w:t>
      </w:r>
      <w:r w:rsidR="00464936">
        <w:t xml:space="preserve">: </w:t>
      </w:r>
      <w:r w:rsidR="0048384E">
        <w:t xml:space="preserve">100570. </w:t>
      </w:r>
      <w:r w:rsidR="007145A5">
        <w:t>DOI</w:t>
      </w:r>
      <w:r w:rsidR="00402E59">
        <w:t xml:space="preserve">: </w:t>
      </w:r>
      <w:hyperlink r:id="rId9" w:history="1">
        <w:r w:rsidR="007145A5" w:rsidRPr="00464936">
          <w:t>10.1016/j.lanwpc.2022.100570</w:t>
        </w:r>
      </w:hyperlink>
      <w:r w:rsidR="007145A5">
        <w:t xml:space="preserve">. </w:t>
      </w:r>
    </w:p>
  </w:footnote>
  <w:footnote w:id="19">
    <w:p w14:paraId="655B21AB" w14:textId="33618D9C" w:rsidR="00E80201" w:rsidRDefault="00E80201">
      <w:pPr>
        <w:pStyle w:val="FootnoteText"/>
      </w:pPr>
      <w:r>
        <w:rPr>
          <w:rStyle w:val="FootnoteReference"/>
        </w:rPr>
        <w:footnoteRef/>
      </w:r>
      <w:r>
        <w:t xml:space="preserve"> </w:t>
      </w:r>
      <w:r w:rsidRPr="00E80201">
        <w:t xml:space="preserve">Reid P, Robson B. Understanding Health Inequities. In: Robson B, Harris R, editors. Hauora: Māori standards of health IV A study of the years 2000–2005. Wellington: Te Rōpū </w:t>
      </w:r>
      <w:proofErr w:type="spellStart"/>
      <w:r w:rsidRPr="00E80201">
        <w:t>Rangahau</w:t>
      </w:r>
      <w:proofErr w:type="spellEnd"/>
      <w:r w:rsidRPr="00E80201">
        <w:t xml:space="preserve"> Hauora a </w:t>
      </w:r>
      <w:proofErr w:type="spellStart"/>
      <w:r w:rsidRPr="00E80201">
        <w:t>Eru</w:t>
      </w:r>
      <w:proofErr w:type="spellEnd"/>
      <w:r w:rsidRPr="00E80201">
        <w:t xml:space="preserve"> </w:t>
      </w:r>
      <w:proofErr w:type="spellStart"/>
      <w:r w:rsidRPr="00E80201">
        <w:t>Pōmare</w:t>
      </w:r>
      <w:proofErr w:type="spellEnd"/>
      <w:r w:rsidRPr="00E80201">
        <w:t>; 2007.</w:t>
      </w:r>
    </w:p>
  </w:footnote>
  <w:footnote w:id="20">
    <w:p w14:paraId="26E558A7" w14:textId="306A57CE" w:rsidR="00D3225D" w:rsidRDefault="00D3225D">
      <w:pPr>
        <w:pStyle w:val="FootnoteText"/>
      </w:pPr>
      <w:r>
        <w:rPr>
          <w:rStyle w:val="FootnoteReference"/>
        </w:rPr>
        <w:footnoteRef/>
      </w:r>
      <w:r>
        <w:t xml:space="preserve"> </w:t>
      </w:r>
      <w:r w:rsidRPr="00D3225D">
        <w:t xml:space="preserve">Curtis, E., Jones, R., Willing, E. et al. Indigenous adaptation of a model for understanding the determinants of ethnic health inequities. </w:t>
      </w:r>
      <w:proofErr w:type="spellStart"/>
      <w:r w:rsidRPr="00D3225D">
        <w:t>Discov</w:t>
      </w:r>
      <w:proofErr w:type="spellEnd"/>
      <w:r w:rsidRPr="00D3225D">
        <w:t xml:space="preserve"> Soc Sci Health 3, 10 (2023). https://doi.org/10.1007/s44155-023-00040-6</w:t>
      </w:r>
    </w:p>
  </w:footnote>
  <w:footnote w:id="21">
    <w:p w14:paraId="2174F598" w14:textId="39BE855F" w:rsidR="00C07C76" w:rsidRDefault="00C07C76">
      <w:pPr>
        <w:pStyle w:val="FootnoteText"/>
      </w:pPr>
      <w:r>
        <w:rPr>
          <w:rStyle w:val="FootnoteReference"/>
        </w:rPr>
        <w:footnoteRef/>
      </w:r>
      <w:r>
        <w:t xml:space="preserve"> </w:t>
      </w:r>
      <w:r w:rsidR="0006342E">
        <w:t>Kukutai T, Campbell-</w:t>
      </w:r>
      <w:proofErr w:type="spellStart"/>
      <w:r w:rsidR="0006342E">
        <w:t>Kamariera</w:t>
      </w:r>
      <w:proofErr w:type="spellEnd"/>
      <w:r w:rsidR="0006342E">
        <w:t xml:space="preserve"> K, Mead A, et al. </w:t>
      </w:r>
      <w:r w:rsidR="00EC1849">
        <w:t>2023.</w:t>
      </w:r>
      <w:r w:rsidR="00DF3833">
        <w:t xml:space="preserve"> Māori data governance model. Wellington: Te Kāhui </w:t>
      </w:r>
      <w:proofErr w:type="spellStart"/>
      <w:r w:rsidR="00DF3833">
        <w:t>Raraunga</w:t>
      </w:r>
      <w:proofErr w:type="spellEnd"/>
      <w:r w:rsidR="00DF3833">
        <w:t>. URL:</w:t>
      </w:r>
      <w:r w:rsidR="00201003">
        <w:t xml:space="preserve"> </w:t>
      </w:r>
      <w:r w:rsidRPr="00C07C76">
        <w:t>www.kahuiraraunga.io/_files/ugd/b8e45c_803c03ffe532414183afcd8b9ced10dc.pdf</w:t>
      </w:r>
    </w:p>
  </w:footnote>
  <w:footnote w:id="22">
    <w:p w14:paraId="18CD7C1C" w14:textId="08C4A4ED" w:rsidR="00B3336C" w:rsidRDefault="00B3336C" w:rsidP="00B3336C">
      <w:pPr>
        <w:pStyle w:val="FootnoteText"/>
      </w:pPr>
      <w:r>
        <w:rPr>
          <w:rStyle w:val="FootnoteReference"/>
        </w:rPr>
        <w:footnoteRef/>
      </w:r>
      <w:r>
        <w:t xml:space="preserve"> </w:t>
      </w:r>
      <w:r w:rsidR="002D0F05" w:rsidRPr="002D0F05">
        <w:t>National Ethics Advisory Committee</w:t>
      </w:r>
      <w:r w:rsidR="00692194">
        <w:t xml:space="preserve"> | Kāhui </w:t>
      </w:r>
      <w:proofErr w:type="spellStart"/>
      <w:r w:rsidR="00692194">
        <w:t>Matatika</w:t>
      </w:r>
      <w:proofErr w:type="spellEnd"/>
      <w:r w:rsidR="00692194">
        <w:t xml:space="preserve"> o te Motu</w:t>
      </w:r>
      <w:r w:rsidR="002D0F05">
        <w:t xml:space="preserve"> 2019</w:t>
      </w:r>
      <w:r w:rsidR="00D7623F">
        <w:t>,</w:t>
      </w:r>
      <w:r w:rsidR="002D0F05" w:rsidRPr="002D0F05">
        <w:t xml:space="preserve"> </w:t>
      </w:r>
      <w:r w:rsidR="00B91CE7">
        <w:rPr>
          <w:i/>
          <w:iCs/>
        </w:rPr>
        <w:t xml:space="preserve">op. cit. </w:t>
      </w:r>
    </w:p>
  </w:footnote>
  <w:footnote w:id="23">
    <w:p w14:paraId="472984FB" w14:textId="7A43DB20" w:rsidR="00635258" w:rsidRDefault="00635258">
      <w:pPr>
        <w:pStyle w:val="FootnoteText"/>
      </w:pPr>
      <w:r>
        <w:rPr>
          <w:rStyle w:val="FootnoteReference"/>
        </w:rPr>
        <w:footnoteRef/>
      </w:r>
      <w:r>
        <w:t xml:space="preserve"> Kukutai </w:t>
      </w:r>
      <w:r w:rsidR="00E07E2A">
        <w:t xml:space="preserve">2023, </w:t>
      </w:r>
      <w:r w:rsidR="00E07E2A">
        <w:rPr>
          <w:i/>
          <w:iCs/>
        </w:rPr>
        <w:t>op. cit.</w:t>
      </w:r>
      <w:r w:rsidR="00E07E2A">
        <w:t xml:space="preserve"> (</w:t>
      </w:r>
      <w:r>
        <w:t>page xi</w:t>
      </w:r>
      <w:r w:rsidR="00E07E2A">
        <w:t>).</w:t>
      </w:r>
    </w:p>
  </w:footnote>
  <w:footnote w:id="24">
    <w:p w14:paraId="0390F2D0" w14:textId="3B7AE3F2" w:rsidR="007B5825" w:rsidRDefault="007B5825" w:rsidP="007B5825">
      <w:pPr>
        <w:pStyle w:val="FootnoteText"/>
      </w:pPr>
      <w:r>
        <w:rPr>
          <w:rStyle w:val="FootnoteReference"/>
        </w:rPr>
        <w:footnoteRef/>
      </w:r>
      <w:r>
        <w:t xml:space="preserve"> Section 7, Pae Ora (Healthy Futures) Act 2022</w:t>
      </w:r>
      <w:r w:rsidR="007E1174">
        <w:t>.</w:t>
      </w:r>
    </w:p>
  </w:footnote>
  <w:footnote w:id="25">
    <w:p w14:paraId="101A24EF" w14:textId="7E8D6896" w:rsidR="00A11228" w:rsidRDefault="00A11228">
      <w:pPr>
        <w:pStyle w:val="FootnoteText"/>
      </w:pPr>
      <w:r>
        <w:rPr>
          <w:rStyle w:val="FootnoteReference"/>
        </w:rPr>
        <w:footnoteRef/>
      </w:r>
      <w:r>
        <w:t xml:space="preserve"> </w:t>
      </w:r>
      <w:r w:rsidR="0046226A">
        <w:t xml:space="preserve">Health Quality &amp; Safety Commission 2019, </w:t>
      </w:r>
      <w:r w:rsidR="0046226A" w:rsidRPr="00553D9F">
        <w:rPr>
          <w:i/>
          <w:iCs/>
        </w:rPr>
        <w:t>op. cit.</w:t>
      </w:r>
      <w:r w:rsidR="0046226A">
        <w:t xml:space="preserve"> </w:t>
      </w:r>
    </w:p>
  </w:footnote>
  <w:footnote w:id="26">
    <w:p w14:paraId="1F9CF49D" w14:textId="76123017" w:rsidR="00C07C76" w:rsidRDefault="00C07C76">
      <w:pPr>
        <w:pStyle w:val="FootnoteText"/>
      </w:pPr>
      <w:r>
        <w:rPr>
          <w:rStyle w:val="FootnoteReference"/>
        </w:rPr>
        <w:footnoteRef/>
      </w:r>
      <w:r>
        <w:t xml:space="preserve"> </w:t>
      </w:r>
      <w:r w:rsidR="00E2359A">
        <w:t xml:space="preserve">Kukutai </w:t>
      </w:r>
      <w:r w:rsidR="002165B0">
        <w:t xml:space="preserve">et al 2023, </w:t>
      </w:r>
      <w:r w:rsidR="002165B0" w:rsidRPr="002165B0">
        <w:rPr>
          <w:i/>
          <w:iCs/>
        </w:rPr>
        <w:t>op. cit.</w:t>
      </w:r>
    </w:p>
  </w:footnote>
  <w:footnote w:id="27">
    <w:p w14:paraId="3B0CDD86" w14:textId="2B467C5F" w:rsidR="00A11228" w:rsidRDefault="00A11228">
      <w:pPr>
        <w:pStyle w:val="FootnoteText"/>
      </w:pPr>
      <w:r>
        <w:rPr>
          <w:rStyle w:val="FootnoteReference"/>
        </w:rPr>
        <w:footnoteRef/>
      </w:r>
      <w:r>
        <w:t xml:space="preserve"> </w:t>
      </w:r>
      <w:r w:rsidR="004953AE">
        <w:t xml:space="preserve">Te Tāhū Hauora Health Quality &amp; Safety Commission. </w:t>
      </w:r>
      <w:proofErr w:type="spellStart"/>
      <w:r w:rsidR="004953AE">
        <w:t>nd</w:t>
      </w:r>
      <w:proofErr w:type="spellEnd"/>
      <w:r w:rsidR="004953AE">
        <w:t xml:space="preserve">. Ngā Pou Arawhenua. Wellington: Te Tāhū Hauora. URL: </w:t>
      </w:r>
      <w:hyperlink r:id="rId10" w:history="1">
        <w:r w:rsidR="007D7C15" w:rsidRPr="00B354FA">
          <w:rPr>
            <w:rStyle w:val="Hyperlink"/>
          </w:rPr>
          <w:t>www.hqsc.govt.nz/our-work/mortality-review-committees/subject-matter-experts/nga-pou-arawhenua</w:t>
        </w:r>
      </w:hyperlink>
      <w:r w:rsidR="009C3A0F">
        <w:t>.</w:t>
      </w:r>
    </w:p>
  </w:footnote>
  <w:footnote w:id="28">
    <w:p w14:paraId="5BDDC74D" w14:textId="18552D02" w:rsidR="007B5825" w:rsidRDefault="007B5825" w:rsidP="007B5825">
      <w:pPr>
        <w:pStyle w:val="FootnoteText"/>
      </w:pPr>
      <w:r>
        <w:rPr>
          <w:rStyle w:val="FootnoteReference"/>
        </w:rPr>
        <w:footnoteRef/>
      </w:r>
      <w:r>
        <w:t xml:space="preserve"> </w:t>
      </w:r>
      <w:r w:rsidR="003D4F34">
        <w:t xml:space="preserve">Kukutai T. </w:t>
      </w:r>
      <w:r w:rsidR="00ED1990">
        <w:t xml:space="preserve">2018. Informed decision-making through the ethical use of data. Presentation given at Data Summit ’18. URL: </w:t>
      </w:r>
      <w:hyperlink r:id="rId11" w:history="1">
        <w:r w:rsidR="00ED1990" w:rsidRPr="00ED1990">
          <w:rPr>
            <w:rStyle w:val="Hyperlink"/>
          </w:rPr>
          <w:t>www.data.govt.nz/assets/Uploads/Presentation-Tahu-Kukutai.pdf</w:t>
        </w:r>
      </w:hyperlink>
      <w:r w:rsidR="00ED1990">
        <w:t>.</w:t>
      </w:r>
    </w:p>
  </w:footnote>
  <w:footnote w:id="29">
    <w:p w14:paraId="4A6F2317" w14:textId="082E4684" w:rsidR="00D173B8" w:rsidRDefault="00D173B8">
      <w:pPr>
        <w:pStyle w:val="FootnoteText"/>
      </w:pPr>
      <w:r>
        <w:rPr>
          <w:rStyle w:val="FootnoteReference"/>
        </w:rPr>
        <w:footnoteRef/>
      </w:r>
      <w:r>
        <w:t xml:space="preserve"> </w:t>
      </w:r>
      <w:r w:rsidR="00E63115" w:rsidRPr="00E63115">
        <w:t xml:space="preserve">National Ethics Advisory Committee | Kāhui </w:t>
      </w:r>
      <w:proofErr w:type="spellStart"/>
      <w:r w:rsidR="00E63115" w:rsidRPr="00E63115">
        <w:t>Matatika</w:t>
      </w:r>
      <w:proofErr w:type="spellEnd"/>
      <w:r w:rsidR="00E63115" w:rsidRPr="00E63115">
        <w:t xml:space="preserve"> o te Motu 2019</w:t>
      </w:r>
      <w:r w:rsidR="00CB084F">
        <w:t>,</w:t>
      </w:r>
      <w:r w:rsidR="00E63115" w:rsidRPr="00E63115">
        <w:t xml:space="preserve"> </w:t>
      </w:r>
      <w:r w:rsidR="00CB084F">
        <w:t>o</w:t>
      </w:r>
      <w:r w:rsidR="00E63115" w:rsidRPr="00E63115">
        <w:rPr>
          <w:i/>
          <w:iCs/>
        </w:rPr>
        <w:t>p. cit.</w:t>
      </w:r>
    </w:p>
  </w:footnote>
  <w:footnote w:id="30">
    <w:p w14:paraId="21932FCA" w14:textId="3B1C4321" w:rsidR="001815C2" w:rsidRDefault="001815C2">
      <w:pPr>
        <w:pStyle w:val="FootnoteText"/>
      </w:pPr>
      <w:r>
        <w:rPr>
          <w:rStyle w:val="FootnoteReference"/>
        </w:rPr>
        <w:footnoteRef/>
      </w:r>
      <w:r>
        <w:t xml:space="preserve"> A copy of this diagram is available here:</w:t>
      </w:r>
      <w:r w:rsidR="00221128">
        <w:t xml:space="preserve"> </w:t>
      </w:r>
      <w:hyperlink r:id="rId12" w:history="1">
        <w:r w:rsidR="00062A23" w:rsidRPr="00EC2BE9">
          <w:rPr>
            <w:rStyle w:val="Hyperlink"/>
            <w:rFonts w:eastAsiaTheme="majorEastAsia"/>
          </w:rPr>
          <w:t>www.hqsc.govt.nz/our-work/mortality-review-committees/access-to-national-mortality-review-committee-data</w:t>
        </w:r>
      </w:hyperlink>
    </w:p>
  </w:footnote>
  <w:footnote w:id="31">
    <w:p w14:paraId="39C01E4C" w14:textId="6F475D65" w:rsidR="009F37C4" w:rsidRDefault="009F37C4">
      <w:pPr>
        <w:pStyle w:val="FootnoteText"/>
      </w:pPr>
      <w:r>
        <w:rPr>
          <w:rStyle w:val="FootnoteReference"/>
        </w:rPr>
        <w:footnoteRef/>
      </w:r>
      <w:r>
        <w:t xml:space="preserve"> </w:t>
      </w:r>
      <w:r w:rsidR="00BE2F6E">
        <w:t>Stats NZ</w:t>
      </w:r>
      <w:r w:rsidRPr="009F37C4">
        <w:t xml:space="preserve">. 2019. The five safes framework. </w:t>
      </w:r>
      <w:r w:rsidR="00BE2F6E">
        <w:t xml:space="preserve">Wellington: Stats NZ. </w:t>
      </w:r>
      <w:r w:rsidRPr="009F37C4">
        <w:t>URL:</w:t>
      </w:r>
      <w:r w:rsidR="00BE2F6E">
        <w:t xml:space="preserve"> </w:t>
      </w:r>
      <w:hyperlink r:id="rId13" w:anchor="five" w:history="1">
        <w:r w:rsidR="00C03920" w:rsidRPr="00D54396">
          <w:rPr>
            <w:rStyle w:val="Hyperlink"/>
          </w:rPr>
          <w:t>www.stats.govt.nz/integrated-data/how-we-keep-integrated-data-safe/#five</w:t>
        </w:r>
      </w:hyperlink>
      <w:r w:rsidR="00BE2F6E">
        <w:t xml:space="preserve">. </w:t>
      </w:r>
    </w:p>
  </w:footnote>
  <w:footnote w:id="32">
    <w:p w14:paraId="087267B0" w14:textId="6FD9F975" w:rsidR="009F37C4" w:rsidRPr="00FC3187" w:rsidRDefault="009F37C4">
      <w:pPr>
        <w:pStyle w:val="FootnoteText"/>
      </w:pPr>
      <w:r>
        <w:rPr>
          <w:rStyle w:val="FootnoteReference"/>
        </w:rPr>
        <w:footnoteRef/>
      </w:r>
      <w:r>
        <w:t xml:space="preserve"> </w:t>
      </w:r>
      <w:r w:rsidR="00DF0B4E" w:rsidRPr="00DF0B4E">
        <w:t xml:space="preserve">Dyck LA, Snelling S, Morrison V, </w:t>
      </w:r>
      <w:r w:rsidR="00DF0B4E">
        <w:t>et al</w:t>
      </w:r>
      <w:r w:rsidR="00DF0B4E" w:rsidRPr="00DF0B4E">
        <w:t xml:space="preserve">. </w:t>
      </w:r>
      <w:r w:rsidR="00DF0B4E">
        <w:t xml:space="preserve">2018. </w:t>
      </w:r>
      <w:r w:rsidR="00DF0B4E" w:rsidRPr="00DF0B4E">
        <w:t xml:space="preserve">Equity reporting: a framework for putting knowledge mobilization and health equity at the core of population health status reporting. </w:t>
      </w:r>
      <w:r w:rsidR="00DF0B4E" w:rsidRPr="00553D9F">
        <w:rPr>
          <w:i/>
          <w:iCs/>
        </w:rPr>
        <w:t>Health Promot</w:t>
      </w:r>
      <w:r w:rsidR="00FC3187">
        <w:rPr>
          <w:i/>
          <w:iCs/>
        </w:rPr>
        <w:t>ion and</w:t>
      </w:r>
      <w:r w:rsidR="00DF0B4E" w:rsidRPr="00553D9F">
        <w:rPr>
          <w:i/>
          <w:iCs/>
        </w:rPr>
        <w:t xml:space="preserve"> Chronic Dis</w:t>
      </w:r>
      <w:r w:rsidR="00FC3187">
        <w:rPr>
          <w:i/>
          <w:iCs/>
        </w:rPr>
        <w:t>ease</w:t>
      </w:r>
      <w:r w:rsidR="00DF0B4E" w:rsidRPr="00553D9F">
        <w:rPr>
          <w:i/>
          <w:iCs/>
        </w:rPr>
        <w:t xml:space="preserve"> Prev</w:t>
      </w:r>
      <w:r w:rsidR="00FC3187">
        <w:rPr>
          <w:i/>
          <w:iCs/>
        </w:rPr>
        <w:t>ention in</w:t>
      </w:r>
      <w:r w:rsidR="00DF0B4E" w:rsidRPr="00553D9F">
        <w:rPr>
          <w:i/>
          <w:iCs/>
        </w:rPr>
        <w:t xml:space="preserve"> Can</w:t>
      </w:r>
      <w:r w:rsidR="00FC3187">
        <w:rPr>
          <w:i/>
          <w:iCs/>
        </w:rPr>
        <w:t>ada</w:t>
      </w:r>
      <w:r w:rsidR="00DF0B4E">
        <w:t xml:space="preserve"> </w:t>
      </w:r>
      <w:r w:rsidR="00DF0B4E" w:rsidRPr="00DF0B4E">
        <w:t>38(3):</w:t>
      </w:r>
      <w:r w:rsidR="00FC3187">
        <w:t xml:space="preserve"> </w:t>
      </w:r>
      <w:r w:rsidR="00DF0B4E" w:rsidRPr="00DF0B4E">
        <w:t>116</w:t>
      </w:r>
      <w:r w:rsidR="00E955CF">
        <w:rPr>
          <w:rFonts w:cs="Arial"/>
        </w:rPr>
        <w:t>–</w:t>
      </w:r>
      <w:r w:rsidR="00DF0B4E" w:rsidRPr="00DF0B4E">
        <w:t xml:space="preserve">24. </w:t>
      </w:r>
      <w:r w:rsidR="00E955CF">
        <w:t>DOI</w:t>
      </w:r>
      <w:r w:rsidR="00DF0B4E" w:rsidRPr="00DF0B4E">
        <w:t xml:space="preserve">: </w:t>
      </w:r>
      <w:hyperlink r:id="rId14" w:history="1">
        <w:r w:rsidR="00E955CF" w:rsidRPr="00FC3187">
          <w:t>10.24095</w:t>
        </w:r>
        <w:r w:rsidR="001F74F3">
          <w:t>/</w:t>
        </w:r>
        <w:r w:rsidR="00E955CF" w:rsidRPr="00FC3187">
          <w:t>hpcdp.38.3.02</w:t>
        </w:r>
      </w:hyperlink>
      <w:r w:rsidR="00DF0B4E" w:rsidRPr="00FC3187">
        <w:t>.</w:t>
      </w:r>
      <w:r w:rsidR="00DF0B4E" w:rsidRPr="00FC3187" w:rsidDel="00DF0B4E">
        <w:t xml:space="preserve"> </w:t>
      </w:r>
    </w:p>
  </w:footnote>
  <w:footnote w:id="33">
    <w:p w14:paraId="280C0901" w14:textId="1ACB7A56" w:rsidR="009F37C4" w:rsidRDefault="009F37C4">
      <w:pPr>
        <w:pStyle w:val="FootnoteText"/>
      </w:pPr>
      <w:r>
        <w:rPr>
          <w:rStyle w:val="FootnoteReference"/>
        </w:rPr>
        <w:footnoteRef/>
      </w:r>
      <w:r>
        <w:t xml:space="preserve"> </w:t>
      </w:r>
      <w:r w:rsidRPr="009F37C4">
        <w:t xml:space="preserve">It is not necessary for research projects to be aligned with the work </w:t>
      </w:r>
      <w:r w:rsidR="0036601A">
        <w:t xml:space="preserve">currently </w:t>
      </w:r>
      <w:r w:rsidR="00A748D0">
        <w:t xml:space="preserve">being </w:t>
      </w:r>
      <w:r w:rsidRPr="009F37C4">
        <w:t xml:space="preserve">undertaken by the NMRC. However, researchers should use </w:t>
      </w:r>
      <w:r w:rsidRPr="00553D9F">
        <w:t>He Puna Whakatau</w:t>
      </w:r>
      <w:r w:rsidRPr="009F37C4">
        <w:t xml:space="preserve"> to establish how their proposed project addresses an area of mortality that should be considered </w:t>
      </w:r>
      <w:r>
        <w:t>an area of interest</w:t>
      </w:r>
      <w:r w:rsidRPr="009F37C4">
        <w:t xml:space="preserve"> for Aotearoa New Zealand.</w:t>
      </w:r>
    </w:p>
  </w:footnote>
  <w:footnote w:id="34">
    <w:p w14:paraId="1E317A8F" w14:textId="6CBD21D1" w:rsidR="009F37C4" w:rsidRDefault="009F37C4">
      <w:pPr>
        <w:pStyle w:val="FootnoteText"/>
      </w:pPr>
      <w:r>
        <w:rPr>
          <w:rStyle w:val="FootnoteReference"/>
        </w:rPr>
        <w:footnoteRef/>
      </w:r>
      <w:r>
        <w:t xml:space="preserve"> Section 82(1), Pae Ora (Healthy Futures) Act 2022</w:t>
      </w:r>
      <w:r w:rsidR="008A2AC1">
        <w:t>.</w:t>
      </w:r>
    </w:p>
  </w:footnote>
  <w:footnote w:id="35">
    <w:p w14:paraId="2ABBE791" w14:textId="67131880" w:rsidR="009F37C4" w:rsidRDefault="009F37C4">
      <w:pPr>
        <w:pStyle w:val="FootnoteText"/>
      </w:pPr>
      <w:r>
        <w:rPr>
          <w:rStyle w:val="FootnoteReference"/>
        </w:rPr>
        <w:footnoteRef/>
      </w:r>
      <w:r>
        <w:t xml:space="preserve"> </w:t>
      </w:r>
      <w:r w:rsidR="00CE368B" w:rsidRPr="00CE368B">
        <w:t xml:space="preserve"> </w:t>
      </w:r>
      <w:r w:rsidR="009B12E8">
        <w:t xml:space="preserve">Te Tāhū Hauora </w:t>
      </w:r>
      <w:r w:rsidR="00CE368B" w:rsidRPr="008F409E">
        <w:t>Health Quality &amp; Safety Commission</w:t>
      </w:r>
      <w:r w:rsidR="00CE368B">
        <w:t xml:space="preserve"> 2023, </w:t>
      </w:r>
      <w:r w:rsidR="00CE368B" w:rsidRPr="00553D9F">
        <w:rPr>
          <w:i/>
          <w:iCs/>
        </w:rPr>
        <w:t>op. cit.</w:t>
      </w:r>
    </w:p>
  </w:footnote>
  <w:footnote w:id="36">
    <w:p w14:paraId="424B8DA3" w14:textId="7D14E7D5" w:rsidR="00BD4812" w:rsidRDefault="00BD4812">
      <w:pPr>
        <w:pStyle w:val="FootnoteText"/>
      </w:pPr>
      <w:r>
        <w:rPr>
          <w:rStyle w:val="FootnoteReference"/>
        </w:rPr>
        <w:footnoteRef/>
      </w:r>
      <w:r>
        <w:t xml:space="preserve"> </w:t>
      </w:r>
      <w:r w:rsidR="009932B2">
        <w:t xml:space="preserve">Health Quality &amp; Safety Commission 2019, </w:t>
      </w:r>
      <w:r w:rsidR="009932B2" w:rsidRPr="00247DA5">
        <w:rPr>
          <w:i/>
          <w:iCs/>
        </w:rPr>
        <w:t>op. cit.</w:t>
      </w:r>
    </w:p>
  </w:footnote>
  <w:footnote w:id="37">
    <w:p w14:paraId="21E23BA6" w14:textId="260EC5CD" w:rsidR="009F16B9" w:rsidRDefault="009F16B9">
      <w:pPr>
        <w:pStyle w:val="FootnoteText"/>
      </w:pPr>
      <w:r>
        <w:rPr>
          <w:rStyle w:val="FootnoteReference"/>
        </w:rPr>
        <w:footnoteRef/>
      </w:r>
      <w:r>
        <w:t xml:space="preserve"> </w:t>
      </w:r>
      <w:r w:rsidR="007442C3">
        <w:t xml:space="preserve">Stats NZ. 2020. </w:t>
      </w:r>
      <w:r w:rsidR="007442C3" w:rsidRPr="00553D9F">
        <w:rPr>
          <w:i/>
          <w:iCs/>
        </w:rPr>
        <w:t>Microdata output guide</w:t>
      </w:r>
      <w:r w:rsidR="007442C3">
        <w:t xml:space="preserve">. Wellington: Stats NZ. URL: </w:t>
      </w:r>
      <w:hyperlink r:id="rId15" w:history="1">
        <w:r w:rsidR="007442C3" w:rsidRPr="007442C3">
          <w:rPr>
            <w:rStyle w:val="Hyperlink"/>
          </w:rPr>
          <w:t>www.stats.govt.nz/assets/Methods/Microdata-Output-Guide-2020-v5-Sept22update.pdf</w:t>
        </w:r>
      </w:hyperlink>
      <w:r w:rsidR="007442C3">
        <w:t>.</w:t>
      </w:r>
    </w:p>
  </w:footnote>
  <w:footnote w:id="38">
    <w:p w14:paraId="19B290A8" w14:textId="5CBC0648" w:rsidR="00076EDA" w:rsidRDefault="00076EDA">
      <w:pPr>
        <w:pStyle w:val="FootnoteText"/>
      </w:pPr>
      <w:r>
        <w:rPr>
          <w:rStyle w:val="FootnoteReference"/>
        </w:rPr>
        <w:footnoteRef/>
      </w:r>
      <w:r>
        <w:t xml:space="preserve"> </w:t>
      </w:r>
      <w:r w:rsidR="0032448A">
        <w:t xml:space="preserve">The Office of the Auditor General has published a guide </w:t>
      </w:r>
      <w:r w:rsidR="006B3193">
        <w:t xml:space="preserve">to </w:t>
      </w:r>
      <w:r w:rsidR="0032448A">
        <w:t>understanding and managing conflicts of interest</w:t>
      </w:r>
      <w:r w:rsidR="009271AB">
        <w:t xml:space="preserve"> for the public sector</w:t>
      </w:r>
      <w:r w:rsidR="0032448A">
        <w:t xml:space="preserve">. URL: </w:t>
      </w:r>
      <w:hyperlink r:id="rId16" w:history="1">
        <w:r w:rsidR="0032448A" w:rsidRPr="00E3344D">
          <w:rPr>
            <w:rStyle w:val="Hyperlink"/>
          </w:rPr>
          <w:t>oag.parliament.nz/2020/conflicts</w:t>
        </w:r>
      </w:hyperlink>
      <w:r w:rsidR="0032448A">
        <w:t xml:space="preserve">  </w:t>
      </w:r>
    </w:p>
  </w:footnote>
  <w:footnote w:id="39">
    <w:p w14:paraId="39EA8D1F" w14:textId="01166019" w:rsidR="0088298C" w:rsidRDefault="0088298C">
      <w:pPr>
        <w:pStyle w:val="FootnoteText"/>
      </w:pPr>
      <w:r>
        <w:rPr>
          <w:rStyle w:val="FootnoteReference"/>
        </w:rPr>
        <w:footnoteRef/>
      </w:r>
      <w:r>
        <w:t xml:space="preserve"> </w:t>
      </w:r>
      <w:r w:rsidR="006D1A02">
        <w:t>Mortality Review Agent Management System (</w:t>
      </w:r>
      <w:proofErr w:type="spellStart"/>
      <w:r w:rsidR="006D1A02">
        <w:t>mrams</w:t>
      </w:r>
      <w:proofErr w:type="spellEnd"/>
      <w:r w:rsidR="006D1A02">
        <w:t>)</w:t>
      </w:r>
      <w:r w:rsidR="00AE0698">
        <w:t>. URL:</w:t>
      </w:r>
      <w:hyperlink r:id="rId17" w:history="1">
        <w:r w:rsidR="006D1A02" w:rsidRPr="006D1A02">
          <w:t xml:space="preserve"> </w:t>
        </w:r>
        <w:r w:rsidRPr="00301393">
          <w:rPr>
            <w:rStyle w:val="Hyperlink"/>
          </w:rPr>
          <w:t>secure-www.otago.ac.nz/</w:t>
        </w:r>
        <w:proofErr w:type="spellStart"/>
        <w:r w:rsidRPr="00301393">
          <w:rPr>
            <w:rStyle w:val="Hyperlink"/>
          </w:rPr>
          <w:t>nzmrdg</w:t>
        </w:r>
        <w:proofErr w:type="spellEnd"/>
        <w:r w:rsidRPr="00301393">
          <w:rPr>
            <w:rStyle w:val="Hyperlink"/>
          </w:rPr>
          <w:t>/</w:t>
        </w:r>
        <w:proofErr w:type="spellStart"/>
        <w:r w:rsidRPr="00301393">
          <w:rPr>
            <w:rStyle w:val="Hyperlink"/>
          </w:rPr>
          <w:t>mrams</w:t>
        </w:r>
        <w:proofErr w:type="spellEnd"/>
      </w:hyperlink>
    </w:p>
  </w:footnote>
  <w:footnote w:id="40">
    <w:p w14:paraId="197726E5" w14:textId="4C7D22F3" w:rsidR="00D11EE5" w:rsidRDefault="00D11EE5">
      <w:pPr>
        <w:pStyle w:val="FootnoteText"/>
      </w:pPr>
      <w:r>
        <w:rPr>
          <w:rStyle w:val="FootnoteReference"/>
        </w:rPr>
        <w:footnoteRef/>
      </w:r>
      <w:r>
        <w:t xml:space="preserve"> PLOS ONE. </w:t>
      </w:r>
      <w:r w:rsidR="00010385">
        <w:t xml:space="preserve">2019. Data availability. URL: </w:t>
      </w:r>
      <w:hyperlink r:id="rId18" w:history="1">
        <w:r w:rsidRPr="00301393">
          <w:rPr>
            <w:rStyle w:val="Hyperlink"/>
          </w:rPr>
          <w:t>journals.plos.org/</w:t>
        </w:r>
        <w:proofErr w:type="spellStart"/>
        <w:r w:rsidRPr="00301393">
          <w:rPr>
            <w:rStyle w:val="Hyperlink"/>
          </w:rPr>
          <w:t>plosone</w:t>
        </w:r>
        <w:proofErr w:type="spellEnd"/>
        <w:r w:rsidRPr="00301393">
          <w:rPr>
            <w:rStyle w:val="Hyperlink"/>
          </w:rPr>
          <w:t>/s/data-availability</w:t>
        </w:r>
      </w:hyperlink>
    </w:p>
  </w:footnote>
  <w:footnote w:id="41">
    <w:p w14:paraId="352B02AB" w14:textId="7A0F32D7" w:rsidR="00010385" w:rsidRDefault="00010385">
      <w:pPr>
        <w:pStyle w:val="FootnoteText"/>
      </w:pPr>
      <w:r>
        <w:rPr>
          <w:rStyle w:val="FootnoteReference"/>
        </w:rPr>
        <w:footnoteRef/>
      </w:r>
      <w:r>
        <w:t xml:space="preserve"> </w:t>
      </w:r>
      <w:r w:rsidR="00AA6E2C">
        <w:t xml:space="preserve">Taylor &amp; Francis. Writing a data availability statement. </w:t>
      </w:r>
      <w:r>
        <w:t xml:space="preserve">URL: </w:t>
      </w:r>
      <w:hyperlink r:id="rId19" w:history="1">
        <w:r w:rsidRPr="00EB551E">
          <w:rPr>
            <w:rStyle w:val="Hyperlink"/>
          </w:rPr>
          <w:t>authorservices.taylorandfrancis.com/data-sharing/share-your-data/data-availability-statements</w:t>
        </w:r>
      </w:hyperlink>
    </w:p>
  </w:footnote>
  <w:footnote w:id="42">
    <w:p w14:paraId="52159803" w14:textId="77FFD9B3" w:rsidR="00856BC0" w:rsidRDefault="00856BC0">
      <w:pPr>
        <w:pStyle w:val="FootnoteText"/>
      </w:pPr>
      <w:r>
        <w:rPr>
          <w:rStyle w:val="FootnoteReference"/>
        </w:rPr>
        <w:footnoteRef/>
      </w:r>
      <w:r>
        <w:t xml:space="preserve"> </w:t>
      </w:r>
      <w:proofErr w:type="spellStart"/>
      <w:r w:rsidRPr="00464ACB">
        <w:t>Saakvitne</w:t>
      </w:r>
      <w:proofErr w:type="spellEnd"/>
      <w:r w:rsidRPr="00464ACB">
        <w:t xml:space="preserve"> K, Gamble S, Pearlman S, </w:t>
      </w:r>
      <w:r w:rsidR="00093BF6">
        <w:t>et al</w:t>
      </w:r>
      <w:r w:rsidRPr="00464ACB">
        <w:t xml:space="preserve">. 2000. </w:t>
      </w:r>
      <w:r w:rsidRPr="00C92FF6">
        <w:rPr>
          <w:i/>
          <w:iCs/>
        </w:rPr>
        <w:t>Risking connection: A training curriculum for working with survivors of childhood abuse</w:t>
      </w:r>
      <w:r w:rsidRPr="00464ACB">
        <w:t>. Baltimore: Sidran Institute.</w:t>
      </w:r>
    </w:p>
  </w:footnote>
  <w:footnote w:id="43">
    <w:p w14:paraId="039B2ADD" w14:textId="097196C8" w:rsidR="00856BC0" w:rsidRDefault="00856BC0">
      <w:pPr>
        <w:pStyle w:val="FootnoteText"/>
      </w:pPr>
      <w:r>
        <w:rPr>
          <w:rStyle w:val="FootnoteReference"/>
        </w:rPr>
        <w:footnoteRef/>
      </w:r>
      <w:r>
        <w:t xml:space="preserve"> </w:t>
      </w:r>
      <w:r w:rsidR="00A62FC1" w:rsidRPr="00690248">
        <w:rPr>
          <w:i/>
          <w:iCs/>
        </w:rPr>
        <w:t>Ibid</w:t>
      </w:r>
      <w:r w:rsidR="00FB106E" w:rsidRPr="00C92FF6">
        <w:rPr>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8A0D3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1E05D3C"/>
    <w:lvl w:ilvl="0">
      <w:start w:val="1"/>
      <w:numFmt w:val="lowerLetter"/>
      <w:lvlText w:val="(%1)"/>
      <w:lvlJc w:val="left"/>
      <w:pPr>
        <w:ind w:left="360" w:hanging="360"/>
      </w:pPr>
      <w:rPr>
        <w:rFonts w:hint="default"/>
      </w:rPr>
    </w:lvl>
  </w:abstractNum>
  <w:abstractNum w:abstractNumId="2" w15:restartNumberingAfterBreak="0">
    <w:nsid w:val="02134035"/>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6A6B0E"/>
    <w:multiLevelType w:val="hybridMultilevel"/>
    <w:tmpl w:val="6DE8BBBA"/>
    <w:lvl w:ilvl="0" w:tplc="85884296">
      <w:start w:val="1"/>
      <w:numFmt w:val="decimal"/>
      <w:lvlText w:val="%1)"/>
      <w:lvlJc w:val="left"/>
      <w:pPr>
        <w:ind w:left="1020" w:hanging="360"/>
      </w:pPr>
    </w:lvl>
    <w:lvl w:ilvl="1" w:tplc="026ADEFA">
      <w:start w:val="1"/>
      <w:numFmt w:val="decimal"/>
      <w:lvlText w:val="%2)"/>
      <w:lvlJc w:val="left"/>
      <w:pPr>
        <w:ind w:left="1020" w:hanging="360"/>
      </w:pPr>
    </w:lvl>
    <w:lvl w:ilvl="2" w:tplc="B65C73DA">
      <w:start w:val="1"/>
      <w:numFmt w:val="decimal"/>
      <w:lvlText w:val="%3)"/>
      <w:lvlJc w:val="left"/>
      <w:pPr>
        <w:ind w:left="1020" w:hanging="360"/>
      </w:pPr>
    </w:lvl>
    <w:lvl w:ilvl="3" w:tplc="EB3AAE6C">
      <w:start w:val="1"/>
      <w:numFmt w:val="decimal"/>
      <w:lvlText w:val="%4)"/>
      <w:lvlJc w:val="left"/>
      <w:pPr>
        <w:ind w:left="1020" w:hanging="360"/>
      </w:pPr>
    </w:lvl>
    <w:lvl w:ilvl="4" w:tplc="D7FEECC4">
      <w:start w:val="1"/>
      <w:numFmt w:val="decimal"/>
      <w:lvlText w:val="%5)"/>
      <w:lvlJc w:val="left"/>
      <w:pPr>
        <w:ind w:left="1020" w:hanging="360"/>
      </w:pPr>
    </w:lvl>
    <w:lvl w:ilvl="5" w:tplc="CC02ED00">
      <w:start w:val="1"/>
      <w:numFmt w:val="decimal"/>
      <w:lvlText w:val="%6)"/>
      <w:lvlJc w:val="left"/>
      <w:pPr>
        <w:ind w:left="1020" w:hanging="360"/>
      </w:pPr>
    </w:lvl>
    <w:lvl w:ilvl="6" w:tplc="DEB8C140">
      <w:start w:val="1"/>
      <w:numFmt w:val="decimal"/>
      <w:lvlText w:val="%7)"/>
      <w:lvlJc w:val="left"/>
      <w:pPr>
        <w:ind w:left="1020" w:hanging="360"/>
      </w:pPr>
    </w:lvl>
    <w:lvl w:ilvl="7" w:tplc="56E65034">
      <w:start w:val="1"/>
      <w:numFmt w:val="decimal"/>
      <w:lvlText w:val="%8)"/>
      <w:lvlJc w:val="left"/>
      <w:pPr>
        <w:ind w:left="1020" w:hanging="360"/>
      </w:pPr>
    </w:lvl>
    <w:lvl w:ilvl="8" w:tplc="2D883FFE">
      <w:start w:val="1"/>
      <w:numFmt w:val="decimal"/>
      <w:lvlText w:val="%9)"/>
      <w:lvlJc w:val="left"/>
      <w:pPr>
        <w:ind w:left="1020" w:hanging="360"/>
      </w:pPr>
    </w:lvl>
  </w:abstractNum>
  <w:abstractNum w:abstractNumId="4" w15:restartNumberingAfterBreak="0">
    <w:nsid w:val="0EA90D44"/>
    <w:multiLevelType w:val="hybridMultilevel"/>
    <w:tmpl w:val="F808FC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B87844"/>
    <w:multiLevelType w:val="hybridMultilevel"/>
    <w:tmpl w:val="7C86928C"/>
    <w:lvl w:ilvl="0" w:tplc="6CB2829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B5664C"/>
    <w:multiLevelType w:val="hybridMultilevel"/>
    <w:tmpl w:val="0142B47E"/>
    <w:lvl w:ilvl="0" w:tplc="C296AEC4">
      <w:start w:val="1"/>
      <w:numFmt w:val="bullet"/>
      <w:pStyle w:val="TeThHauora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A906E0"/>
    <w:multiLevelType w:val="hybridMultilevel"/>
    <w:tmpl w:val="E6D63B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B792EB2"/>
    <w:multiLevelType w:val="hybridMultilevel"/>
    <w:tmpl w:val="2FCC04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B8E3E3A"/>
    <w:multiLevelType w:val="hybridMultilevel"/>
    <w:tmpl w:val="D7461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17B2294"/>
    <w:multiLevelType w:val="hybridMultilevel"/>
    <w:tmpl w:val="5F70C5E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3E361D1"/>
    <w:multiLevelType w:val="hybridMultilevel"/>
    <w:tmpl w:val="390AAC1A"/>
    <w:lvl w:ilvl="0" w:tplc="14090001">
      <w:start w:val="1"/>
      <w:numFmt w:val="bullet"/>
      <w:lvlText w:val=""/>
      <w:lvlJc w:val="left"/>
      <w:pPr>
        <w:ind w:left="720" w:hanging="360"/>
      </w:pPr>
      <w:rPr>
        <w:rFonts w:ascii="Symbol" w:hAnsi="Symbol" w:hint="default"/>
      </w:rPr>
    </w:lvl>
    <w:lvl w:ilvl="1" w:tplc="107CD3DE">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BD05D58"/>
    <w:multiLevelType w:val="hybridMultilevel"/>
    <w:tmpl w:val="697C2C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D29109C"/>
    <w:multiLevelType w:val="hybridMultilevel"/>
    <w:tmpl w:val="CC4AF280"/>
    <w:styleLink w:val="Dash"/>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74B4637"/>
    <w:multiLevelType w:val="hybridMultilevel"/>
    <w:tmpl w:val="DC24D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80068E5"/>
    <w:multiLevelType w:val="multilevel"/>
    <w:tmpl w:val="D1CAAF8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CF758FD"/>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01453E9"/>
    <w:multiLevelType w:val="hybridMultilevel"/>
    <w:tmpl w:val="D42E7B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4522456"/>
    <w:multiLevelType w:val="hybridMultilevel"/>
    <w:tmpl w:val="7E5615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E30230B"/>
    <w:multiLevelType w:val="hybridMultilevel"/>
    <w:tmpl w:val="50AC4C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05908F3"/>
    <w:multiLevelType w:val="hybridMultilevel"/>
    <w:tmpl w:val="83745E2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6CF5ACB"/>
    <w:multiLevelType w:val="hybridMultilevel"/>
    <w:tmpl w:val="B1742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D9C3B95"/>
    <w:multiLevelType w:val="hybridMultilevel"/>
    <w:tmpl w:val="FB6014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2504174"/>
    <w:multiLevelType w:val="hybridMultilevel"/>
    <w:tmpl w:val="5E2E8C72"/>
    <w:lvl w:ilvl="0" w:tplc="430C939C">
      <w:start w:val="15"/>
      <w:numFmt w:val="bullet"/>
      <w:lvlText w:val=""/>
      <w:lvlJc w:val="left"/>
      <w:pPr>
        <w:ind w:left="717" w:hanging="360"/>
      </w:pPr>
      <w:rPr>
        <w:rFonts w:ascii="Symbol" w:eastAsiaTheme="minorHAnsi" w:hAnsi="Symbol" w:cs="Aria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24" w15:restartNumberingAfterBreak="0">
    <w:nsid w:val="74437056"/>
    <w:multiLevelType w:val="hybridMultilevel"/>
    <w:tmpl w:val="D3502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86B6656"/>
    <w:multiLevelType w:val="hybridMultilevel"/>
    <w:tmpl w:val="600ADA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0813112">
    <w:abstractNumId w:val="11"/>
  </w:num>
  <w:num w:numId="2" w16cid:durableId="1664695360">
    <w:abstractNumId w:val="14"/>
  </w:num>
  <w:num w:numId="3" w16cid:durableId="86075489">
    <w:abstractNumId w:val="19"/>
  </w:num>
  <w:num w:numId="4" w16cid:durableId="961226629">
    <w:abstractNumId w:val="16"/>
  </w:num>
  <w:num w:numId="5" w16cid:durableId="810247892">
    <w:abstractNumId w:val="21"/>
  </w:num>
  <w:num w:numId="6" w16cid:durableId="199098544">
    <w:abstractNumId w:val="13"/>
  </w:num>
  <w:num w:numId="7" w16cid:durableId="1829781319">
    <w:abstractNumId w:val="25"/>
  </w:num>
  <w:num w:numId="8" w16cid:durableId="534579980">
    <w:abstractNumId w:val="17"/>
  </w:num>
  <w:num w:numId="9" w16cid:durableId="1863742993">
    <w:abstractNumId w:val="9"/>
  </w:num>
  <w:num w:numId="10" w16cid:durableId="50538599">
    <w:abstractNumId w:val="7"/>
  </w:num>
  <w:num w:numId="11" w16cid:durableId="1131828693">
    <w:abstractNumId w:val="4"/>
  </w:num>
  <w:num w:numId="12" w16cid:durableId="1093433892">
    <w:abstractNumId w:val="24"/>
  </w:num>
  <w:num w:numId="13" w16cid:durableId="272787516">
    <w:abstractNumId w:val="22"/>
  </w:num>
  <w:num w:numId="14" w16cid:durableId="1390617373">
    <w:abstractNumId w:val="5"/>
  </w:num>
  <w:num w:numId="15" w16cid:durableId="761143986">
    <w:abstractNumId w:val="2"/>
  </w:num>
  <w:num w:numId="16" w16cid:durableId="1515728625">
    <w:abstractNumId w:val="1"/>
  </w:num>
  <w:num w:numId="17" w16cid:durableId="999843847">
    <w:abstractNumId w:val="0"/>
  </w:num>
  <w:num w:numId="18" w16cid:durableId="1301568591">
    <w:abstractNumId w:val="0"/>
    <w:lvlOverride w:ilvl="0">
      <w:startOverride w:val="1"/>
    </w:lvlOverride>
  </w:num>
  <w:num w:numId="19" w16cid:durableId="2012759787">
    <w:abstractNumId w:val="15"/>
  </w:num>
  <w:num w:numId="20" w16cid:durableId="1456363414">
    <w:abstractNumId w:val="18"/>
  </w:num>
  <w:num w:numId="21" w16cid:durableId="651640366">
    <w:abstractNumId w:val="12"/>
  </w:num>
  <w:num w:numId="22" w16cid:durableId="66731976">
    <w:abstractNumId w:val="10"/>
  </w:num>
  <w:num w:numId="23" w16cid:durableId="468788068">
    <w:abstractNumId w:val="20"/>
  </w:num>
  <w:num w:numId="24" w16cid:durableId="630133264">
    <w:abstractNumId w:val="8"/>
  </w:num>
  <w:num w:numId="25" w16cid:durableId="1282221141">
    <w:abstractNumId w:val="6"/>
  </w:num>
  <w:num w:numId="26" w16cid:durableId="156313356">
    <w:abstractNumId w:val="6"/>
  </w:num>
  <w:num w:numId="27" w16cid:durableId="639459070">
    <w:abstractNumId w:val="6"/>
  </w:num>
  <w:num w:numId="28" w16cid:durableId="80876749">
    <w:abstractNumId w:val="23"/>
  </w:num>
  <w:num w:numId="29" w16cid:durableId="6777763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57"/>
    <w:rsid w:val="00000224"/>
    <w:rsid w:val="00000CAC"/>
    <w:rsid w:val="00001D4D"/>
    <w:rsid w:val="0000225A"/>
    <w:rsid w:val="00003978"/>
    <w:rsid w:val="000041D4"/>
    <w:rsid w:val="00005986"/>
    <w:rsid w:val="00006023"/>
    <w:rsid w:val="000072B5"/>
    <w:rsid w:val="00010385"/>
    <w:rsid w:val="00011585"/>
    <w:rsid w:val="000123D9"/>
    <w:rsid w:val="000128BE"/>
    <w:rsid w:val="00012CD3"/>
    <w:rsid w:val="0001375E"/>
    <w:rsid w:val="00014BDF"/>
    <w:rsid w:val="000154D5"/>
    <w:rsid w:val="00015F44"/>
    <w:rsid w:val="00017216"/>
    <w:rsid w:val="00017797"/>
    <w:rsid w:val="00017EAC"/>
    <w:rsid w:val="000211FE"/>
    <w:rsid w:val="00021A1A"/>
    <w:rsid w:val="000235D4"/>
    <w:rsid w:val="000257D7"/>
    <w:rsid w:val="00025F0B"/>
    <w:rsid w:val="00026401"/>
    <w:rsid w:val="0002692B"/>
    <w:rsid w:val="000348E7"/>
    <w:rsid w:val="00043083"/>
    <w:rsid w:val="00051CC0"/>
    <w:rsid w:val="0005287A"/>
    <w:rsid w:val="00052B4C"/>
    <w:rsid w:val="0005504C"/>
    <w:rsid w:val="000556AC"/>
    <w:rsid w:val="00057F11"/>
    <w:rsid w:val="000600C2"/>
    <w:rsid w:val="00062171"/>
    <w:rsid w:val="000625F1"/>
    <w:rsid w:val="00062A23"/>
    <w:rsid w:val="00062B82"/>
    <w:rsid w:val="0006342E"/>
    <w:rsid w:val="00064312"/>
    <w:rsid w:val="000667DB"/>
    <w:rsid w:val="00066C43"/>
    <w:rsid w:val="0006736E"/>
    <w:rsid w:val="00067C71"/>
    <w:rsid w:val="000709AE"/>
    <w:rsid w:val="00071CE6"/>
    <w:rsid w:val="00072B90"/>
    <w:rsid w:val="00073414"/>
    <w:rsid w:val="00076EDA"/>
    <w:rsid w:val="000770FE"/>
    <w:rsid w:val="00077256"/>
    <w:rsid w:val="000804B7"/>
    <w:rsid w:val="00081524"/>
    <w:rsid w:val="00081E3B"/>
    <w:rsid w:val="00082FDF"/>
    <w:rsid w:val="0008364C"/>
    <w:rsid w:val="000857ED"/>
    <w:rsid w:val="00086A1E"/>
    <w:rsid w:val="0008726B"/>
    <w:rsid w:val="00092A37"/>
    <w:rsid w:val="00093BF6"/>
    <w:rsid w:val="00095AED"/>
    <w:rsid w:val="00096C19"/>
    <w:rsid w:val="000A0607"/>
    <w:rsid w:val="000A06AC"/>
    <w:rsid w:val="000A3731"/>
    <w:rsid w:val="000A3D1F"/>
    <w:rsid w:val="000A5622"/>
    <w:rsid w:val="000A78F9"/>
    <w:rsid w:val="000B0BD4"/>
    <w:rsid w:val="000B0FC1"/>
    <w:rsid w:val="000B111C"/>
    <w:rsid w:val="000B2478"/>
    <w:rsid w:val="000B26BE"/>
    <w:rsid w:val="000B572C"/>
    <w:rsid w:val="000C107E"/>
    <w:rsid w:val="000C1227"/>
    <w:rsid w:val="000C2F0F"/>
    <w:rsid w:val="000C71F5"/>
    <w:rsid w:val="000C7C70"/>
    <w:rsid w:val="000D128B"/>
    <w:rsid w:val="000D244C"/>
    <w:rsid w:val="000D5647"/>
    <w:rsid w:val="000D7396"/>
    <w:rsid w:val="000D7E4B"/>
    <w:rsid w:val="000E0B34"/>
    <w:rsid w:val="000E1D1C"/>
    <w:rsid w:val="000E5B30"/>
    <w:rsid w:val="000E68B5"/>
    <w:rsid w:val="000E6F02"/>
    <w:rsid w:val="000F0501"/>
    <w:rsid w:val="000F32D0"/>
    <w:rsid w:val="000F7383"/>
    <w:rsid w:val="000F7471"/>
    <w:rsid w:val="00101302"/>
    <w:rsid w:val="00102489"/>
    <w:rsid w:val="001042F4"/>
    <w:rsid w:val="00104409"/>
    <w:rsid w:val="00104BBC"/>
    <w:rsid w:val="00105E23"/>
    <w:rsid w:val="00106ECE"/>
    <w:rsid w:val="001111D6"/>
    <w:rsid w:val="001123E1"/>
    <w:rsid w:val="00113305"/>
    <w:rsid w:val="00115489"/>
    <w:rsid w:val="00115AEB"/>
    <w:rsid w:val="001214AC"/>
    <w:rsid w:val="00123C1C"/>
    <w:rsid w:val="001249E2"/>
    <w:rsid w:val="00126D73"/>
    <w:rsid w:val="00130D6C"/>
    <w:rsid w:val="00130D98"/>
    <w:rsid w:val="0013118C"/>
    <w:rsid w:val="00131E3D"/>
    <w:rsid w:val="00132FEA"/>
    <w:rsid w:val="001331E6"/>
    <w:rsid w:val="00133F6A"/>
    <w:rsid w:val="00134F5C"/>
    <w:rsid w:val="001350CE"/>
    <w:rsid w:val="00136DFF"/>
    <w:rsid w:val="001378CA"/>
    <w:rsid w:val="00140AAC"/>
    <w:rsid w:val="00142B0C"/>
    <w:rsid w:val="00145F5A"/>
    <w:rsid w:val="001462D1"/>
    <w:rsid w:val="00146F34"/>
    <w:rsid w:val="00147145"/>
    <w:rsid w:val="00150EC1"/>
    <w:rsid w:val="00150EE7"/>
    <w:rsid w:val="00150F2F"/>
    <w:rsid w:val="00153C73"/>
    <w:rsid w:val="00155670"/>
    <w:rsid w:val="00156062"/>
    <w:rsid w:val="00156B92"/>
    <w:rsid w:val="00160C22"/>
    <w:rsid w:val="00163030"/>
    <w:rsid w:val="001639FA"/>
    <w:rsid w:val="00164036"/>
    <w:rsid w:val="001644C3"/>
    <w:rsid w:val="00165B6D"/>
    <w:rsid w:val="00165B85"/>
    <w:rsid w:val="00165CA4"/>
    <w:rsid w:val="00166487"/>
    <w:rsid w:val="00173B88"/>
    <w:rsid w:val="00180AA7"/>
    <w:rsid w:val="001815C2"/>
    <w:rsid w:val="00183219"/>
    <w:rsid w:val="00183F98"/>
    <w:rsid w:val="001855EA"/>
    <w:rsid w:val="00185F52"/>
    <w:rsid w:val="00193951"/>
    <w:rsid w:val="00193F45"/>
    <w:rsid w:val="0019407B"/>
    <w:rsid w:val="001957DF"/>
    <w:rsid w:val="00195A40"/>
    <w:rsid w:val="001A02AD"/>
    <w:rsid w:val="001A132C"/>
    <w:rsid w:val="001A3C11"/>
    <w:rsid w:val="001A44E7"/>
    <w:rsid w:val="001A470C"/>
    <w:rsid w:val="001A5C09"/>
    <w:rsid w:val="001A6553"/>
    <w:rsid w:val="001A760A"/>
    <w:rsid w:val="001A7916"/>
    <w:rsid w:val="001B09F1"/>
    <w:rsid w:val="001B161C"/>
    <w:rsid w:val="001B2B26"/>
    <w:rsid w:val="001B3051"/>
    <w:rsid w:val="001B6AEC"/>
    <w:rsid w:val="001C12C6"/>
    <w:rsid w:val="001C1621"/>
    <w:rsid w:val="001C2409"/>
    <w:rsid w:val="001C2461"/>
    <w:rsid w:val="001C6B2D"/>
    <w:rsid w:val="001C7CEB"/>
    <w:rsid w:val="001D0822"/>
    <w:rsid w:val="001D0CB2"/>
    <w:rsid w:val="001D0DFF"/>
    <w:rsid w:val="001D0F80"/>
    <w:rsid w:val="001D24FB"/>
    <w:rsid w:val="001D431F"/>
    <w:rsid w:val="001D6AAD"/>
    <w:rsid w:val="001E03B1"/>
    <w:rsid w:val="001E06DF"/>
    <w:rsid w:val="001E0B57"/>
    <w:rsid w:val="001E1012"/>
    <w:rsid w:val="001E5ABE"/>
    <w:rsid w:val="001E6A9F"/>
    <w:rsid w:val="001E74C2"/>
    <w:rsid w:val="001E79BA"/>
    <w:rsid w:val="001E7F7E"/>
    <w:rsid w:val="001F1896"/>
    <w:rsid w:val="001F3461"/>
    <w:rsid w:val="001F35BF"/>
    <w:rsid w:val="001F6005"/>
    <w:rsid w:val="001F60CD"/>
    <w:rsid w:val="001F6CFF"/>
    <w:rsid w:val="001F74F3"/>
    <w:rsid w:val="00201003"/>
    <w:rsid w:val="0020107E"/>
    <w:rsid w:val="0020159B"/>
    <w:rsid w:val="00203EA2"/>
    <w:rsid w:val="00204220"/>
    <w:rsid w:val="00205657"/>
    <w:rsid w:val="00205AD6"/>
    <w:rsid w:val="00206C48"/>
    <w:rsid w:val="00207859"/>
    <w:rsid w:val="002079F7"/>
    <w:rsid w:val="00210D10"/>
    <w:rsid w:val="002121B9"/>
    <w:rsid w:val="0021261B"/>
    <w:rsid w:val="00215448"/>
    <w:rsid w:val="00215FB0"/>
    <w:rsid w:val="002165B0"/>
    <w:rsid w:val="002201B7"/>
    <w:rsid w:val="00221128"/>
    <w:rsid w:val="00221A91"/>
    <w:rsid w:val="00221CDC"/>
    <w:rsid w:val="00222B24"/>
    <w:rsid w:val="00225BC0"/>
    <w:rsid w:val="00230111"/>
    <w:rsid w:val="0023054B"/>
    <w:rsid w:val="00233545"/>
    <w:rsid w:val="002339EA"/>
    <w:rsid w:val="002340C0"/>
    <w:rsid w:val="002352F6"/>
    <w:rsid w:val="002371B4"/>
    <w:rsid w:val="00237533"/>
    <w:rsid w:val="002400AA"/>
    <w:rsid w:val="00241944"/>
    <w:rsid w:val="0024227A"/>
    <w:rsid w:val="002428D7"/>
    <w:rsid w:val="00242C33"/>
    <w:rsid w:val="00244839"/>
    <w:rsid w:val="00245178"/>
    <w:rsid w:val="00245688"/>
    <w:rsid w:val="0024795E"/>
    <w:rsid w:val="002514A1"/>
    <w:rsid w:val="00252B7B"/>
    <w:rsid w:val="00255E48"/>
    <w:rsid w:val="00255EB3"/>
    <w:rsid w:val="002665C5"/>
    <w:rsid w:val="0027152B"/>
    <w:rsid w:val="00272AA4"/>
    <w:rsid w:val="002744D5"/>
    <w:rsid w:val="0027470E"/>
    <w:rsid w:val="00274C02"/>
    <w:rsid w:val="0027649A"/>
    <w:rsid w:val="00277E9F"/>
    <w:rsid w:val="00280A56"/>
    <w:rsid w:val="00282482"/>
    <w:rsid w:val="00285348"/>
    <w:rsid w:val="00285710"/>
    <w:rsid w:val="002858D7"/>
    <w:rsid w:val="002861F5"/>
    <w:rsid w:val="002866AB"/>
    <w:rsid w:val="00287047"/>
    <w:rsid w:val="00287D53"/>
    <w:rsid w:val="0029029C"/>
    <w:rsid w:val="00291E66"/>
    <w:rsid w:val="0029348F"/>
    <w:rsid w:val="00295ED4"/>
    <w:rsid w:val="0029676C"/>
    <w:rsid w:val="002969D8"/>
    <w:rsid w:val="00297582"/>
    <w:rsid w:val="00297676"/>
    <w:rsid w:val="00297B4B"/>
    <w:rsid w:val="002A3ECB"/>
    <w:rsid w:val="002A4744"/>
    <w:rsid w:val="002A6493"/>
    <w:rsid w:val="002B045F"/>
    <w:rsid w:val="002B320B"/>
    <w:rsid w:val="002B3743"/>
    <w:rsid w:val="002B4FF6"/>
    <w:rsid w:val="002B58A8"/>
    <w:rsid w:val="002B71D4"/>
    <w:rsid w:val="002B7244"/>
    <w:rsid w:val="002C2D86"/>
    <w:rsid w:val="002D08D8"/>
    <w:rsid w:val="002D0F05"/>
    <w:rsid w:val="002D1715"/>
    <w:rsid w:val="002D22C7"/>
    <w:rsid w:val="002D3F49"/>
    <w:rsid w:val="002D566F"/>
    <w:rsid w:val="002D6B11"/>
    <w:rsid w:val="002E1666"/>
    <w:rsid w:val="002E2CCF"/>
    <w:rsid w:val="002E526B"/>
    <w:rsid w:val="002E547C"/>
    <w:rsid w:val="002E7831"/>
    <w:rsid w:val="002F121C"/>
    <w:rsid w:val="002F6704"/>
    <w:rsid w:val="0030109F"/>
    <w:rsid w:val="00301AB6"/>
    <w:rsid w:val="00303EF1"/>
    <w:rsid w:val="00310A90"/>
    <w:rsid w:val="003147EB"/>
    <w:rsid w:val="003222AD"/>
    <w:rsid w:val="00323156"/>
    <w:rsid w:val="0032448A"/>
    <w:rsid w:val="00330653"/>
    <w:rsid w:val="00330E81"/>
    <w:rsid w:val="00331D2C"/>
    <w:rsid w:val="003362F8"/>
    <w:rsid w:val="00340841"/>
    <w:rsid w:val="0034255E"/>
    <w:rsid w:val="00342BC8"/>
    <w:rsid w:val="003451B3"/>
    <w:rsid w:val="00345201"/>
    <w:rsid w:val="0034550A"/>
    <w:rsid w:val="00345ACC"/>
    <w:rsid w:val="003470AA"/>
    <w:rsid w:val="00350934"/>
    <w:rsid w:val="003557A9"/>
    <w:rsid w:val="003558C2"/>
    <w:rsid w:val="00356454"/>
    <w:rsid w:val="0035680A"/>
    <w:rsid w:val="003569CE"/>
    <w:rsid w:val="00360DCF"/>
    <w:rsid w:val="0036225A"/>
    <w:rsid w:val="003635F9"/>
    <w:rsid w:val="003643CB"/>
    <w:rsid w:val="0036601A"/>
    <w:rsid w:val="00366A64"/>
    <w:rsid w:val="00367D90"/>
    <w:rsid w:val="003700A9"/>
    <w:rsid w:val="00370C0F"/>
    <w:rsid w:val="003720D9"/>
    <w:rsid w:val="00372989"/>
    <w:rsid w:val="00372AEA"/>
    <w:rsid w:val="003735DB"/>
    <w:rsid w:val="00374EB2"/>
    <w:rsid w:val="003751B1"/>
    <w:rsid w:val="003762D6"/>
    <w:rsid w:val="00376719"/>
    <w:rsid w:val="00380044"/>
    <w:rsid w:val="0038014F"/>
    <w:rsid w:val="0038042C"/>
    <w:rsid w:val="00386712"/>
    <w:rsid w:val="00390A08"/>
    <w:rsid w:val="00391F93"/>
    <w:rsid w:val="00392C96"/>
    <w:rsid w:val="00396A26"/>
    <w:rsid w:val="003A09F5"/>
    <w:rsid w:val="003A1544"/>
    <w:rsid w:val="003A1838"/>
    <w:rsid w:val="003A3D1C"/>
    <w:rsid w:val="003A6D8E"/>
    <w:rsid w:val="003A7B91"/>
    <w:rsid w:val="003B087C"/>
    <w:rsid w:val="003B13D7"/>
    <w:rsid w:val="003B1C0E"/>
    <w:rsid w:val="003B2535"/>
    <w:rsid w:val="003B620B"/>
    <w:rsid w:val="003B6C8D"/>
    <w:rsid w:val="003B784D"/>
    <w:rsid w:val="003B7ACE"/>
    <w:rsid w:val="003C1091"/>
    <w:rsid w:val="003C28CC"/>
    <w:rsid w:val="003C2D0B"/>
    <w:rsid w:val="003C45E1"/>
    <w:rsid w:val="003C66F7"/>
    <w:rsid w:val="003D0AB8"/>
    <w:rsid w:val="003D19E6"/>
    <w:rsid w:val="003D312D"/>
    <w:rsid w:val="003D4F34"/>
    <w:rsid w:val="003D76BF"/>
    <w:rsid w:val="003E1255"/>
    <w:rsid w:val="003E1978"/>
    <w:rsid w:val="003E2238"/>
    <w:rsid w:val="003E38E3"/>
    <w:rsid w:val="003E52D6"/>
    <w:rsid w:val="003F0791"/>
    <w:rsid w:val="003F26F8"/>
    <w:rsid w:val="003F2F7E"/>
    <w:rsid w:val="003F5A26"/>
    <w:rsid w:val="00400539"/>
    <w:rsid w:val="004007D3"/>
    <w:rsid w:val="00400B85"/>
    <w:rsid w:val="00402A50"/>
    <w:rsid w:val="00402E59"/>
    <w:rsid w:val="00403688"/>
    <w:rsid w:val="0040657D"/>
    <w:rsid w:val="00406768"/>
    <w:rsid w:val="00407CA8"/>
    <w:rsid w:val="00410D2D"/>
    <w:rsid w:val="004114BA"/>
    <w:rsid w:val="00411BBC"/>
    <w:rsid w:val="00415D62"/>
    <w:rsid w:val="00416629"/>
    <w:rsid w:val="00417535"/>
    <w:rsid w:val="004201E0"/>
    <w:rsid w:val="0042278A"/>
    <w:rsid w:val="004241B9"/>
    <w:rsid w:val="0042421B"/>
    <w:rsid w:val="00425494"/>
    <w:rsid w:val="004256DC"/>
    <w:rsid w:val="004258F9"/>
    <w:rsid w:val="00425AA0"/>
    <w:rsid w:val="00425B67"/>
    <w:rsid w:val="004272A3"/>
    <w:rsid w:val="004307D7"/>
    <w:rsid w:val="00430C2E"/>
    <w:rsid w:val="00432DE0"/>
    <w:rsid w:val="00433D6F"/>
    <w:rsid w:val="0043475E"/>
    <w:rsid w:val="004363F2"/>
    <w:rsid w:val="00436FE3"/>
    <w:rsid w:val="0043743D"/>
    <w:rsid w:val="004375AD"/>
    <w:rsid w:val="00442889"/>
    <w:rsid w:val="004445BC"/>
    <w:rsid w:val="004450F3"/>
    <w:rsid w:val="004458DE"/>
    <w:rsid w:val="004466EF"/>
    <w:rsid w:val="00447327"/>
    <w:rsid w:val="0045000E"/>
    <w:rsid w:val="0045730F"/>
    <w:rsid w:val="004614DF"/>
    <w:rsid w:val="00461A9A"/>
    <w:rsid w:val="00461AE6"/>
    <w:rsid w:val="0046226A"/>
    <w:rsid w:val="00462D7A"/>
    <w:rsid w:val="00462F7E"/>
    <w:rsid w:val="004639D3"/>
    <w:rsid w:val="00464639"/>
    <w:rsid w:val="00464936"/>
    <w:rsid w:val="00470861"/>
    <w:rsid w:val="004709FE"/>
    <w:rsid w:val="00471233"/>
    <w:rsid w:val="00472CEF"/>
    <w:rsid w:val="0047638D"/>
    <w:rsid w:val="0047654C"/>
    <w:rsid w:val="0048175E"/>
    <w:rsid w:val="0048247F"/>
    <w:rsid w:val="0048384E"/>
    <w:rsid w:val="004841CF"/>
    <w:rsid w:val="004846B0"/>
    <w:rsid w:val="004857E1"/>
    <w:rsid w:val="00486F6E"/>
    <w:rsid w:val="00487A4A"/>
    <w:rsid w:val="004907D7"/>
    <w:rsid w:val="004936FA"/>
    <w:rsid w:val="0049457F"/>
    <w:rsid w:val="004947A0"/>
    <w:rsid w:val="004953AE"/>
    <w:rsid w:val="0049681B"/>
    <w:rsid w:val="004968AD"/>
    <w:rsid w:val="00497DB2"/>
    <w:rsid w:val="00497F95"/>
    <w:rsid w:val="004A08EC"/>
    <w:rsid w:val="004A0DE8"/>
    <w:rsid w:val="004A182F"/>
    <w:rsid w:val="004A1ACA"/>
    <w:rsid w:val="004A1B67"/>
    <w:rsid w:val="004A1BEE"/>
    <w:rsid w:val="004A1E32"/>
    <w:rsid w:val="004A54CE"/>
    <w:rsid w:val="004A6075"/>
    <w:rsid w:val="004A632F"/>
    <w:rsid w:val="004A6C12"/>
    <w:rsid w:val="004A7EC4"/>
    <w:rsid w:val="004B0B4E"/>
    <w:rsid w:val="004B0E7D"/>
    <w:rsid w:val="004B387A"/>
    <w:rsid w:val="004B5891"/>
    <w:rsid w:val="004B7369"/>
    <w:rsid w:val="004B7CE3"/>
    <w:rsid w:val="004C24CF"/>
    <w:rsid w:val="004C32E8"/>
    <w:rsid w:val="004C6CC9"/>
    <w:rsid w:val="004D0467"/>
    <w:rsid w:val="004D0AD0"/>
    <w:rsid w:val="004D441C"/>
    <w:rsid w:val="004D6696"/>
    <w:rsid w:val="004E0317"/>
    <w:rsid w:val="004E04D9"/>
    <w:rsid w:val="004E1DD4"/>
    <w:rsid w:val="004E4BE9"/>
    <w:rsid w:val="004E6CE7"/>
    <w:rsid w:val="004E787D"/>
    <w:rsid w:val="004F003B"/>
    <w:rsid w:val="004F0CFB"/>
    <w:rsid w:val="004F15E0"/>
    <w:rsid w:val="004F2270"/>
    <w:rsid w:val="004F367C"/>
    <w:rsid w:val="004F5F1D"/>
    <w:rsid w:val="004F6871"/>
    <w:rsid w:val="0050169E"/>
    <w:rsid w:val="005025A1"/>
    <w:rsid w:val="00505999"/>
    <w:rsid w:val="00511E99"/>
    <w:rsid w:val="00513B89"/>
    <w:rsid w:val="005147DE"/>
    <w:rsid w:val="00516446"/>
    <w:rsid w:val="005166FD"/>
    <w:rsid w:val="00516AB7"/>
    <w:rsid w:val="005232A8"/>
    <w:rsid w:val="005240E9"/>
    <w:rsid w:val="00524D3A"/>
    <w:rsid w:val="005267A2"/>
    <w:rsid w:val="00527950"/>
    <w:rsid w:val="00530103"/>
    <w:rsid w:val="00530F66"/>
    <w:rsid w:val="00533F38"/>
    <w:rsid w:val="005351ED"/>
    <w:rsid w:val="005369FF"/>
    <w:rsid w:val="00540003"/>
    <w:rsid w:val="0054280B"/>
    <w:rsid w:val="00550B72"/>
    <w:rsid w:val="00551DD8"/>
    <w:rsid w:val="00553D9F"/>
    <w:rsid w:val="005557C1"/>
    <w:rsid w:val="00555C13"/>
    <w:rsid w:val="00557701"/>
    <w:rsid w:val="00561028"/>
    <w:rsid w:val="00561373"/>
    <w:rsid w:val="005622B0"/>
    <w:rsid w:val="00566A3D"/>
    <w:rsid w:val="00572C53"/>
    <w:rsid w:val="005744F7"/>
    <w:rsid w:val="00580F29"/>
    <w:rsid w:val="005820DB"/>
    <w:rsid w:val="005825AC"/>
    <w:rsid w:val="0058260A"/>
    <w:rsid w:val="0058455D"/>
    <w:rsid w:val="00584623"/>
    <w:rsid w:val="00584C8A"/>
    <w:rsid w:val="00594523"/>
    <w:rsid w:val="005A4DDF"/>
    <w:rsid w:val="005A5B29"/>
    <w:rsid w:val="005A6D47"/>
    <w:rsid w:val="005B033F"/>
    <w:rsid w:val="005B1589"/>
    <w:rsid w:val="005B241C"/>
    <w:rsid w:val="005B44FB"/>
    <w:rsid w:val="005B57BB"/>
    <w:rsid w:val="005B59BC"/>
    <w:rsid w:val="005B68AE"/>
    <w:rsid w:val="005B7BD8"/>
    <w:rsid w:val="005C1EBF"/>
    <w:rsid w:val="005C26CA"/>
    <w:rsid w:val="005C48F2"/>
    <w:rsid w:val="005C6F7B"/>
    <w:rsid w:val="005C714C"/>
    <w:rsid w:val="005D5283"/>
    <w:rsid w:val="005E1C29"/>
    <w:rsid w:val="005E2E91"/>
    <w:rsid w:val="005E3A56"/>
    <w:rsid w:val="005E3F22"/>
    <w:rsid w:val="005E46BD"/>
    <w:rsid w:val="005E7F59"/>
    <w:rsid w:val="005F2B44"/>
    <w:rsid w:val="005F4F38"/>
    <w:rsid w:val="005F75FE"/>
    <w:rsid w:val="00602F9B"/>
    <w:rsid w:val="0060373C"/>
    <w:rsid w:val="00606551"/>
    <w:rsid w:val="00606AE6"/>
    <w:rsid w:val="00606E99"/>
    <w:rsid w:val="006107EF"/>
    <w:rsid w:val="0061238B"/>
    <w:rsid w:val="0061593F"/>
    <w:rsid w:val="0062308A"/>
    <w:rsid w:val="00630927"/>
    <w:rsid w:val="00630A1A"/>
    <w:rsid w:val="00632295"/>
    <w:rsid w:val="00632461"/>
    <w:rsid w:val="00635258"/>
    <w:rsid w:val="00635F6B"/>
    <w:rsid w:val="00640803"/>
    <w:rsid w:val="00640F2D"/>
    <w:rsid w:val="00641AC2"/>
    <w:rsid w:val="00641FD0"/>
    <w:rsid w:val="00642C21"/>
    <w:rsid w:val="006438D0"/>
    <w:rsid w:val="0064650E"/>
    <w:rsid w:val="006469D2"/>
    <w:rsid w:val="006469DF"/>
    <w:rsid w:val="00646AB1"/>
    <w:rsid w:val="00647874"/>
    <w:rsid w:val="006501CA"/>
    <w:rsid w:val="00651EE8"/>
    <w:rsid w:val="0065374E"/>
    <w:rsid w:val="0065506F"/>
    <w:rsid w:val="0065535B"/>
    <w:rsid w:val="00660642"/>
    <w:rsid w:val="00662F45"/>
    <w:rsid w:val="00663FC6"/>
    <w:rsid w:val="006657D7"/>
    <w:rsid w:val="00665D22"/>
    <w:rsid w:val="006664B2"/>
    <w:rsid w:val="006675F9"/>
    <w:rsid w:val="00672126"/>
    <w:rsid w:val="00673E2F"/>
    <w:rsid w:val="0067432D"/>
    <w:rsid w:val="00675B7E"/>
    <w:rsid w:val="00676DB3"/>
    <w:rsid w:val="00677761"/>
    <w:rsid w:val="00677DF6"/>
    <w:rsid w:val="00680240"/>
    <w:rsid w:val="00681B4C"/>
    <w:rsid w:val="00681C84"/>
    <w:rsid w:val="006821D2"/>
    <w:rsid w:val="0068435B"/>
    <w:rsid w:val="006846AC"/>
    <w:rsid w:val="00685F29"/>
    <w:rsid w:val="00690248"/>
    <w:rsid w:val="0069060A"/>
    <w:rsid w:val="006907DA"/>
    <w:rsid w:val="00691352"/>
    <w:rsid w:val="006919BA"/>
    <w:rsid w:val="00691F5B"/>
    <w:rsid w:val="00691FA9"/>
    <w:rsid w:val="00692194"/>
    <w:rsid w:val="006929FA"/>
    <w:rsid w:val="00693B36"/>
    <w:rsid w:val="00695C2D"/>
    <w:rsid w:val="00696DEB"/>
    <w:rsid w:val="0069747D"/>
    <w:rsid w:val="00697C79"/>
    <w:rsid w:val="006A21B7"/>
    <w:rsid w:val="006A285A"/>
    <w:rsid w:val="006A3910"/>
    <w:rsid w:val="006A473A"/>
    <w:rsid w:val="006A4E3B"/>
    <w:rsid w:val="006A6F8D"/>
    <w:rsid w:val="006A7E69"/>
    <w:rsid w:val="006B24C4"/>
    <w:rsid w:val="006B287F"/>
    <w:rsid w:val="006B2BC5"/>
    <w:rsid w:val="006B2F4A"/>
    <w:rsid w:val="006B3193"/>
    <w:rsid w:val="006B41B3"/>
    <w:rsid w:val="006B4B65"/>
    <w:rsid w:val="006B4E4A"/>
    <w:rsid w:val="006B7508"/>
    <w:rsid w:val="006C1195"/>
    <w:rsid w:val="006C6809"/>
    <w:rsid w:val="006C78D2"/>
    <w:rsid w:val="006D1A02"/>
    <w:rsid w:val="006D2995"/>
    <w:rsid w:val="006D341B"/>
    <w:rsid w:val="006D3D27"/>
    <w:rsid w:val="006D4188"/>
    <w:rsid w:val="006D4BD1"/>
    <w:rsid w:val="006D666D"/>
    <w:rsid w:val="006E00EE"/>
    <w:rsid w:val="006E0CBC"/>
    <w:rsid w:val="006E13AC"/>
    <w:rsid w:val="006E1EC2"/>
    <w:rsid w:val="006E3D7B"/>
    <w:rsid w:val="006E4525"/>
    <w:rsid w:val="006E5039"/>
    <w:rsid w:val="006E706A"/>
    <w:rsid w:val="006E7A4D"/>
    <w:rsid w:val="006F001D"/>
    <w:rsid w:val="006F10BE"/>
    <w:rsid w:val="006F4B32"/>
    <w:rsid w:val="006F4F4B"/>
    <w:rsid w:val="006F77AF"/>
    <w:rsid w:val="0070097C"/>
    <w:rsid w:val="00701DCC"/>
    <w:rsid w:val="00702438"/>
    <w:rsid w:val="00702754"/>
    <w:rsid w:val="00703375"/>
    <w:rsid w:val="00707E7B"/>
    <w:rsid w:val="007138EB"/>
    <w:rsid w:val="007141CA"/>
    <w:rsid w:val="007145A5"/>
    <w:rsid w:val="00716083"/>
    <w:rsid w:val="00716634"/>
    <w:rsid w:val="007167DA"/>
    <w:rsid w:val="00720939"/>
    <w:rsid w:val="00721D86"/>
    <w:rsid w:val="00722191"/>
    <w:rsid w:val="00722C09"/>
    <w:rsid w:val="00723066"/>
    <w:rsid w:val="007248A2"/>
    <w:rsid w:val="00725D78"/>
    <w:rsid w:val="0073109A"/>
    <w:rsid w:val="00732FBC"/>
    <w:rsid w:val="00733A1B"/>
    <w:rsid w:val="007347F0"/>
    <w:rsid w:val="00734E22"/>
    <w:rsid w:val="007351D5"/>
    <w:rsid w:val="007379F4"/>
    <w:rsid w:val="007415A2"/>
    <w:rsid w:val="007442C3"/>
    <w:rsid w:val="0074546B"/>
    <w:rsid w:val="007462EB"/>
    <w:rsid w:val="00746922"/>
    <w:rsid w:val="00746AEC"/>
    <w:rsid w:val="00746EDB"/>
    <w:rsid w:val="00752144"/>
    <w:rsid w:val="00757FD8"/>
    <w:rsid w:val="00760894"/>
    <w:rsid w:val="00761F86"/>
    <w:rsid w:val="00762438"/>
    <w:rsid w:val="00763715"/>
    <w:rsid w:val="00764327"/>
    <w:rsid w:val="00764E71"/>
    <w:rsid w:val="00764E9F"/>
    <w:rsid w:val="00765879"/>
    <w:rsid w:val="00770D2E"/>
    <w:rsid w:val="00771E61"/>
    <w:rsid w:val="007807D6"/>
    <w:rsid w:val="00784FA5"/>
    <w:rsid w:val="007852F8"/>
    <w:rsid w:val="00786552"/>
    <w:rsid w:val="00790B45"/>
    <w:rsid w:val="00791499"/>
    <w:rsid w:val="00791DE9"/>
    <w:rsid w:val="007922E7"/>
    <w:rsid w:val="0079259A"/>
    <w:rsid w:val="00792E41"/>
    <w:rsid w:val="00792E4C"/>
    <w:rsid w:val="007965AD"/>
    <w:rsid w:val="00796B20"/>
    <w:rsid w:val="0079717A"/>
    <w:rsid w:val="00797213"/>
    <w:rsid w:val="007A0445"/>
    <w:rsid w:val="007A09B8"/>
    <w:rsid w:val="007A13D0"/>
    <w:rsid w:val="007A2B8D"/>
    <w:rsid w:val="007A3B8A"/>
    <w:rsid w:val="007A570B"/>
    <w:rsid w:val="007A6CD1"/>
    <w:rsid w:val="007B151D"/>
    <w:rsid w:val="007B2E6E"/>
    <w:rsid w:val="007B5825"/>
    <w:rsid w:val="007B5ECB"/>
    <w:rsid w:val="007B715B"/>
    <w:rsid w:val="007C06E0"/>
    <w:rsid w:val="007C1041"/>
    <w:rsid w:val="007C13AC"/>
    <w:rsid w:val="007C2A68"/>
    <w:rsid w:val="007C2E58"/>
    <w:rsid w:val="007C3522"/>
    <w:rsid w:val="007C454E"/>
    <w:rsid w:val="007C616B"/>
    <w:rsid w:val="007C7ED1"/>
    <w:rsid w:val="007D0221"/>
    <w:rsid w:val="007D219A"/>
    <w:rsid w:val="007D34AD"/>
    <w:rsid w:val="007D4D44"/>
    <w:rsid w:val="007D77EE"/>
    <w:rsid w:val="007D7C15"/>
    <w:rsid w:val="007E031D"/>
    <w:rsid w:val="007E0634"/>
    <w:rsid w:val="007E1174"/>
    <w:rsid w:val="007E5241"/>
    <w:rsid w:val="007E6686"/>
    <w:rsid w:val="007F26CB"/>
    <w:rsid w:val="007F2D3B"/>
    <w:rsid w:val="007F694F"/>
    <w:rsid w:val="007F7612"/>
    <w:rsid w:val="007F79FC"/>
    <w:rsid w:val="007F7A16"/>
    <w:rsid w:val="008017E0"/>
    <w:rsid w:val="00801A1F"/>
    <w:rsid w:val="0080238B"/>
    <w:rsid w:val="00802A41"/>
    <w:rsid w:val="00803339"/>
    <w:rsid w:val="008036BA"/>
    <w:rsid w:val="0080549C"/>
    <w:rsid w:val="0080617C"/>
    <w:rsid w:val="00806A50"/>
    <w:rsid w:val="0080751E"/>
    <w:rsid w:val="00811357"/>
    <w:rsid w:val="008115CF"/>
    <w:rsid w:val="008131B0"/>
    <w:rsid w:val="008166E3"/>
    <w:rsid w:val="00816A83"/>
    <w:rsid w:val="00830BD4"/>
    <w:rsid w:val="008315E8"/>
    <w:rsid w:val="00832F32"/>
    <w:rsid w:val="008332F5"/>
    <w:rsid w:val="00833405"/>
    <w:rsid w:val="008344D2"/>
    <w:rsid w:val="00835B12"/>
    <w:rsid w:val="00836C24"/>
    <w:rsid w:val="00841260"/>
    <w:rsid w:val="00845529"/>
    <w:rsid w:val="00845F20"/>
    <w:rsid w:val="0084633E"/>
    <w:rsid w:val="00846C16"/>
    <w:rsid w:val="0085071D"/>
    <w:rsid w:val="00850759"/>
    <w:rsid w:val="00851905"/>
    <w:rsid w:val="00852373"/>
    <w:rsid w:val="0085249D"/>
    <w:rsid w:val="008538CC"/>
    <w:rsid w:val="0085597F"/>
    <w:rsid w:val="00855F9D"/>
    <w:rsid w:val="00856BC0"/>
    <w:rsid w:val="008601B0"/>
    <w:rsid w:val="0086047F"/>
    <w:rsid w:val="00861C08"/>
    <w:rsid w:val="00861FD5"/>
    <w:rsid w:val="00865172"/>
    <w:rsid w:val="0087040B"/>
    <w:rsid w:val="00870958"/>
    <w:rsid w:val="0087294A"/>
    <w:rsid w:val="0087341D"/>
    <w:rsid w:val="008739C8"/>
    <w:rsid w:val="00875747"/>
    <w:rsid w:val="0087700F"/>
    <w:rsid w:val="00881012"/>
    <w:rsid w:val="00881869"/>
    <w:rsid w:val="0088298C"/>
    <w:rsid w:val="00883373"/>
    <w:rsid w:val="00890524"/>
    <w:rsid w:val="00890603"/>
    <w:rsid w:val="008917AD"/>
    <w:rsid w:val="008946E7"/>
    <w:rsid w:val="0089563B"/>
    <w:rsid w:val="008960B0"/>
    <w:rsid w:val="008A2AC1"/>
    <w:rsid w:val="008A4B1E"/>
    <w:rsid w:val="008A50AE"/>
    <w:rsid w:val="008A60AE"/>
    <w:rsid w:val="008A760A"/>
    <w:rsid w:val="008B0E06"/>
    <w:rsid w:val="008B0ED1"/>
    <w:rsid w:val="008B1306"/>
    <w:rsid w:val="008B4B55"/>
    <w:rsid w:val="008B4E25"/>
    <w:rsid w:val="008B6B78"/>
    <w:rsid w:val="008C2200"/>
    <w:rsid w:val="008C26BE"/>
    <w:rsid w:val="008C329A"/>
    <w:rsid w:val="008C39A4"/>
    <w:rsid w:val="008C4218"/>
    <w:rsid w:val="008C5E97"/>
    <w:rsid w:val="008C6455"/>
    <w:rsid w:val="008C6E0A"/>
    <w:rsid w:val="008D1DB5"/>
    <w:rsid w:val="008D1E6C"/>
    <w:rsid w:val="008D61FF"/>
    <w:rsid w:val="008D7ACA"/>
    <w:rsid w:val="008D7B48"/>
    <w:rsid w:val="008E1024"/>
    <w:rsid w:val="008E11B8"/>
    <w:rsid w:val="008E539B"/>
    <w:rsid w:val="008E5463"/>
    <w:rsid w:val="008F0563"/>
    <w:rsid w:val="008F12DC"/>
    <w:rsid w:val="008F409E"/>
    <w:rsid w:val="008F59CD"/>
    <w:rsid w:val="008F6B3D"/>
    <w:rsid w:val="008F6ECF"/>
    <w:rsid w:val="008F749A"/>
    <w:rsid w:val="008F7E81"/>
    <w:rsid w:val="008F7FB7"/>
    <w:rsid w:val="00900AFF"/>
    <w:rsid w:val="009018BE"/>
    <w:rsid w:val="00902563"/>
    <w:rsid w:val="0090306F"/>
    <w:rsid w:val="009031E0"/>
    <w:rsid w:val="00905164"/>
    <w:rsid w:val="00905630"/>
    <w:rsid w:val="00906138"/>
    <w:rsid w:val="00906793"/>
    <w:rsid w:val="00907DD6"/>
    <w:rsid w:val="00911920"/>
    <w:rsid w:val="00914500"/>
    <w:rsid w:val="009153A0"/>
    <w:rsid w:val="00915D2C"/>
    <w:rsid w:val="009200C0"/>
    <w:rsid w:val="00920824"/>
    <w:rsid w:val="0092294D"/>
    <w:rsid w:val="00923481"/>
    <w:rsid w:val="00924E89"/>
    <w:rsid w:val="00925A28"/>
    <w:rsid w:val="009271AB"/>
    <w:rsid w:val="00930B7A"/>
    <w:rsid w:val="00930BF3"/>
    <w:rsid w:val="009342B7"/>
    <w:rsid w:val="009347C2"/>
    <w:rsid w:val="00934B44"/>
    <w:rsid w:val="009350E4"/>
    <w:rsid w:val="00935866"/>
    <w:rsid w:val="0094131A"/>
    <w:rsid w:val="00942CA1"/>
    <w:rsid w:val="00943374"/>
    <w:rsid w:val="00944659"/>
    <w:rsid w:val="00944B23"/>
    <w:rsid w:val="009451F9"/>
    <w:rsid w:val="00947D6B"/>
    <w:rsid w:val="00951121"/>
    <w:rsid w:val="009522ED"/>
    <w:rsid w:val="0095252D"/>
    <w:rsid w:val="00952FE6"/>
    <w:rsid w:val="009538DA"/>
    <w:rsid w:val="009564E5"/>
    <w:rsid w:val="00960486"/>
    <w:rsid w:val="0096081E"/>
    <w:rsid w:val="00962138"/>
    <w:rsid w:val="00962496"/>
    <w:rsid w:val="00964579"/>
    <w:rsid w:val="00965268"/>
    <w:rsid w:val="009663F8"/>
    <w:rsid w:val="009671E7"/>
    <w:rsid w:val="00967CE2"/>
    <w:rsid w:val="009705BB"/>
    <w:rsid w:val="00971699"/>
    <w:rsid w:val="009727E5"/>
    <w:rsid w:val="009736F9"/>
    <w:rsid w:val="009740A1"/>
    <w:rsid w:val="00975762"/>
    <w:rsid w:val="0097679C"/>
    <w:rsid w:val="00980E85"/>
    <w:rsid w:val="009817DB"/>
    <w:rsid w:val="009860B1"/>
    <w:rsid w:val="00987573"/>
    <w:rsid w:val="00991FC7"/>
    <w:rsid w:val="009932B2"/>
    <w:rsid w:val="00994889"/>
    <w:rsid w:val="00995BAE"/>
    <w:rsid w:val="0099648E"/>
    <w:rsid w:val="00997D63"/>
    <w:rsid w:val="00997FD9"/>
    <w:rsid w:val="009A0136"/>
    <w:rsid w:val="009A0609"/>
    <w:rsid w:val="009A0EF7"/>
    <w:rsid w:val="009A0EFC"/>
    <w:rsid w:val="009A15FC"/>
    <w:rsid w:val="009A270D"/>
    <w:rsid w:val="009A4E12"/>
    <w:rsid w:val="009A4F53"/>
    <w:rsid w:val="009A5930"/>
    <w:rsid w:val="009A65BA"/>
    <w:rsid w:val="009A6CBE"/>
    <w:rsid w:val="009A7126"/>
    <w:rsid w:val="009B0A87"/>
    <w:rsid w:val="009B1229"/>
    <w:rsid w:val="009B12E8"/>
    <w:rsid w:val="009B25F5"/>
    <w:rsid w:val="009B4E57"/>
    <w:rsid w:val="009B509A"/>
    <w:rsid w:val="009B5C4F"/>
    <w:rsid w:val="009B60E1"/>
    <w:rsid w:val="009B6390"/>
    <w:rsid w:val="009B6DBE"/>
    <w:rsid w:val="009B7CC9"/>
    <w:rsid w:val="009C107F"/>
    <w:rsid w:val="009C22A0"/>
    <w:rsid w:val="009C2D09"/>
    <w:rsid w:val="009C319E"/>
    <w:rsid w:val="009C348A"/>
    <w:rsid w:val="009C3A0F"/>
    <w:rsid w:val="009C76BE"/>
    <w:rsid w:val="009C777F"/>
    <w:rsid w:val="009D3F9C"/>
    <w:rsid w:val="009D4AF8"/>
    <w:rsid w:val="009D4C77"/>
    <w:rsid w:val="009D56D9"/>
    <w:rsid w:val="009D583B"/>
    <w:rsid w:val="009D622E"/>
    <w:rsid w:val="009D79CD"/>
    <w:rsid w:val="009E1ED9"/>
    <w:rsid w:val="009E21D2"/>
    <w:rsid w:val="009E23AA"/>
    <w:rsid w:val="009E2620"/>
    <w:rsid w:val="009E52B6"/>
    <w:rsid w:val="009E5660"/>
    <w:rsid w:val="009E67C6"/>
    <w:rsid w:val="009F0027"/>
    <w:rsid w:val="009F16B9"/>
    <w:rsid w:val="009F232B"/>
    <w:rsid w:val="009F300E"/>
    <w:rsid w:val="009F358C"/>
    <w:rsid w:val="009F37C4"/>
    <w:rsid w:val="009F6C69"/>
    <w:rsid w:val="009F713A"/>
    <w:rsid w:val="00A00662"/>
    <w:rsid w:val="00A03689"/>
    <w:rsid w:val="00A03AF2"/>
    <w:rsid w:val="00A049AA"/>
    <w:rsid w:val="00A0512B"/>
    <w:rsid w:val="00A052F6"/>
    <w:rsid w:val="00A0577C"/>
    <w:rsid w:val="00A11228"/>
    <w:rsid w:val="00A133B2"/>
    <w:rsid w:val="00A13A94"/>
    <w:rsid w:val="00A14FCE"/>
    <w:rsid w:val="00A15221"/>
    <w:rsid w:val="00A203DB"/>
    <w:rsid w:val="00A20D43"/>
    <w:rsid w:val="00A2209E"/>
    <w:rsid w:val="00A225AF"/>
    <w:rsid w:val="00A2264F"/>
    <w:rsid w:val="00A2381C"/>
    <w:rsid w:val="00A23F96"/>
    <w:rsid w:val="00A253A2"/>
    <w:rsid w:val="00A2719F"/>
    <w:rsid w:val="00A278C8"/>
    <w:rsid w:val="00A313E6"/>
    <w:rsid w:val="00A322BB"/>
    <w:rsid w:val="00A32B11"/>
    <w:rsid w:val="00A34BDC"/>
    <w:rsid w:val="00A34FF3"/>
    <w:rsid w:val="00A379FF"/>
    <w:rsid w:val="00A41030"/>
    <w:rsid w:val="00A41226"/>
    <w:rsid w:val="00A41608"/>
    <w:rsid w:val="00A435D1"/>
    <w:rsid w:val="00A45A95"/>
    <w:rsid w:val="00A46F8E"/>
    <w:rsid w:val="00A510AE"/>
    <w:rsid w:val="00A51259"/>
    <w:rsid w:val="00A52DA5"/>
    <w:rsid w:val="00A53296"/>
    <w:rsid w:val="00A533FF"/>
    <w:rsid w:val="00A54761"/>
    <w:rsid w:val="00A54C80"/>
    <w:rsid w:val="00A54CFC"/>
    <w:rsid w:val="00A55FF8"/>
    <w:rsid w:val="00A56998"/>
    <w:rsid w:val="00A57261"/>
    <w:rsid w:val="00A6040B"/>
    <w:rsid w:val="00A6111F"/>
    <w:rsid w:val="00A627C3"/>
    <w:rsid w:val="00A62F24"/>
    <w:rsid w:val="00A62FC1"/>
    <w:rsid w:val="00A638EE"/>
    <w:rsid w:val="00A64FAA"/>
    <w:rsid w:val="00A66166"/>
    <w:rsid w:val="00A66C36"/>
    <w:rsid w:val="00A67C26"/>
    <w:rsid w:val="00A70B1C"/>
    <w:rsid w:val="00A7257A"/>
    <w:rsid w:val="00A7328E"/>
    <w:rsid w:val="00A748D0"/>
    <w:rsid w:val="00A75C6B"/>
    <w:rsid w:val="00A7698C"/>
    <w:rsid w:val="00A80094"/>
    <w:rsid w:val="00A86122"/>
    <w:rsid w:val="00A87AEA"/>
    <w:rsid w:val="00A87E3A"/>
    <w:rsid w:val="00A9188E"/>
    <w:rsid w:val="00A9198C"/>
    <w:rsid w:val="00A92054"/>
    <w:rsid w:val="00A92C02"/>
    <w:rsid w:val="00A93AD6"/>
    <w:rsid w:val="00A93EBF"/>
    <w:rsid w:val="00A94A67"/>
    <w:rsid w:val="00A959BB"/>
    <w:rsid w:val="00A95C29"/>
    <w:rsid w:val="00A96B8E"/>
    <w:rsid w:val="00A96CC4"/>
    <w:rsid w:val="00A97216"/>
    <w:rsid w:val="00A97B76"/>
    <w:rsid w:val="00AA37E9"/>
    <w:rsid w:val="00AA49DB"/>
    <w:rsid w:val="00AA5AF7"/>
    <w:rsid w:val="00AA63CE"/>
    <w:rsid w:val="00AA6E2C"/>
    <w:rsid w:val="00AA7B43"/>
    <w:rsid w:val="00AB0CEB"/>
    <w:rsid w:val="00AB2D1B"/>
    <w:rsid w:val="00AB6688"/>
    <w:rsid w:val="00AC0387"/>
    <w:rsid w:val="00AC1F59"/>
    <w:rsid w:val="00AC3D8C"/>
    <w:rsid w:val="00AC5C24"/>
    <w:rsid w:val="00AC637F"/>
    <w:rsid w:val="00AD41E0"/>
    <w:rsid w:val="00AD52B8"/>
    <w:rsid w:val="00AD5305"/>
    <w:rsid w:val="00AD7CED"/>
    <w:rsid w:val="00AE0698"/>
    <w:rsid w:val="00AE117F"/>
    <w:rsid w:val="00AE17F9"/>
    <w:rsid w:val="00AE300E"/>
    <w:rsid w:val="00AE3160"/>
    <w:rsid w:val="00AE37E5"/>
    <w:rsid w:val="00AE62A3"/>
    <w:rsid w:val="00AE7F4C"/>
    <w:rsid w:val="00AE7FA7"/>
    <w:rsid w:val="00AF1B23"/>
    <w:rsid w:val="00AF29E6"/>
    <w:rsid w:val="00AF620E"/>
    <w:rsid w:val="00B0702E"/>
    <w:rsid w:val="00B0744F"/>
    <w:rsid w:val="00B10CC1"/>
    <w:rsid w:val="00B13D50"/>
    <w:rsid w:val="00B15717"/>
    <w:rsid w:val="00B20907"/>
    <w:rsid w:val="00B20E20"/>
    <w:rsid w:val="00B236C3"/>
    <w:rsid w:val="00B23E77"/>
    <w:rsid w:val="00B23EF3"/>
    <w:rsid w:val="00B30B42"/>
    <w:rsid w:val="00B3336C"/>
    <w:rsid w:val="00B33B6D"/>
    <w:rsid w:val="00B347E2"/>
    <w:rsid w:val="00B35257"/>
    <w:rsid w:val="00B359AE"/>
    <w:rsid w:val="00B36433"/>
    <w:rsid w:val="00B373B6"/>
    <w:rsid w:val="00B37506"/>
    <w:rsid w:val="00B4192D"/>
    <w:rsid w:val="00B42FDE"/>
    <w:rsid w:val="00B43090"/>
    <w:rsid w:val="00B4417D"/>
    <w:rsid w:val="00B4731B"/>
    <w:rsid w:val="00B51A14"/>
    <w:rsid w:val="00B51AA2"/>
    <w:rsid w:val="00B57F3B"/>
    <w:rsid w:val="00B61DF2"/>
    <w:rsid w:val="00B62611"/>
    <w:rsid w:val="00B660B9"/>
    <w:rsid w:val="00B664AA"/>
    <w:rsid w:val="00B673CF"/>
    <w:rsid w:val="00B67D9B"/>
    <w:rsid w:val="00B71E3F"/>
    <w:rsid w:val="00B73CA6"/>
    <w:rsid w:val="00B74276"/>
    <w:rsid w:val="00B753C3"/>
    <w:rsid w:val="00B75934"/>
    <w:rsid w:val="00B7606A"/>
    <w:rsid w:val="00B82836"/>
    <w:rsid w:val="00B85AAE"/>
    <w:rsid w:val="00B86B40"/>
    <w:rsid w:val="00B87F3E"/>
    <w:rsid w:val="00B91CE7"/>
    <w:rsid w:val="00B9333A"/>
    <w:rsid w:val="00B94E01"/>
    <w:rsid w:val="00B94E9E"/>
    <w:rsid w:val="00B951E2"/>
    <w:rsid w:val="00B960BE"/>
    <w:rsid w:val="00B96A41"/>
    <w:rsid w:val="00B96F3E"/>
    <w:rsid w:val="00B97AD4"/>
    <w:rsid w:val="00BA0EAA"/>
    <w:rsid w:val="00BA1066"/>
    <w:rsid w:val="00BA1ECC"/>
    <w:rsid w:val="00BA37BF"/>
    <w:rsid w:val="00BA3F77"/>
    <w:rsid w:val="00BA5C45"/>
    <w:rsid w:val="00BA7FA4"/>
    <w:rsid w:val="00BB145B"/>
    <w:rsid w:val="00BB18D0"/>
    <w:rsid w:val="00BB1DD4"/>
    <w:rsid w:val="00BB3226"/>
    <w:rsid w:val="00BB51D5"/>
    <w:rsid w:val="00BB7084"/>
    <w:rsid w:val="00BB7FC7"/>
    <w:rsid w:val="00BC1F1C"/>
    <w:rsid w:val="00BC7937"/>
    <w:rsid w:val="00BD1AA4"/>
    <w:rsid w:val="00BD305F"/>
    <w:rsid w:val="00BD3899"/>
    <w:rsid w:val="00BD3A4A"/>
    <w:rsid w:val="00BD4812"/>
    <w:rsid w:val="00BD5537"/>
    <w:rsid w:val="00BD7F74"/>
    <w:rsid w:val="00BE162D"/>
    <w:rsid w:val="00BE256C"/>
    <w:rsid w:val="00BE2A2D"/>
    <w:rsid w:val="00BE2F6E"/>
    <w:rsid w:val="00BE3307"/>
    <w:rsid w:val="00BE52A6"/>
    <w:rsid w:val="00BE635B"/>
    <w:rsid w:val="00BE6E1C"/>
    <w:rsid w:val="00BF08F7"/>
    <w:rsid w:val="00BF53EE"/>
    <w:rsid w:val="00BF6C70"/>
    <w:rsid w:val="00BF71A6"/>
    <w:rsid w:val="00C03920"/>
    <w:rsid w:val="00C048DA"/>
    <w:rsid w:val="00C07928"/>
    <w:rsid w:val="00C07C76"/>
    <w:rsid w:val="00C109D3"/>
    <w:rsid w:val="00C10A2E"/>
    <w:rsid w:val="00C11053"/>
    <w:rsid w:val="00C13986"/>
    <w:rsid w:val="00C15564"/>
    <w:rsid w:val="00C15FD0"/>
    <w:rsid w:val="00C1691A"/>
    <w:rsid w:val="00C1717A"/>
    <w:rsid w:val="00C17588"/>
    <w:rsid w:val="00C1781F"/>
    <w:rsid w:val="00C23346"/>
    <w:rsid w:val="00C25228"/>
    <w:rsid w:val="00C25D3E"/>
    <w:rsid w:val="00C27859"/>
    <w:rsid w:val="00C31730"/>
    <w:rsid w:val="00C3225A"/>
    <w:rsid w:val="00C32394"/>
    <w:rsid w:val="00C32A16"/>
    <w:rsid w:val="00C36E0B"/>
    <w:rsid w:val="00C42706"/>
    <w:rsid w:val="00C43626"/>
    <w:rsid w:val="00C47832"/>
    <w:rsid w:val="00C50E25"/>
    <w:rsid w:val="00C51579"/>
    <w:rsid w:val="00C5680A"/>
    <w:rsid w:val="00C56958"/>
    <w:rsid w:val="00C56BD2"/>
    <w:rsid w:val="00C61DB7"/>
    <w:rsid w:val="00C6590B"/>
    <w:rsid w:val="00C663EA"/>
    <w:rsid w:val="00C66B43"/>
    <w:rsid w:val="00C6752C"/>
    <w:rsid w:val="00C678D4"/>
    <w:rsid w:val="00C67CCD"/>
    <w:rsid w:val="00C73020"/>
    <w:rsid w:val="00C75B47"/>
    <w:rsid w:val="00C75F7B"/>
    <w:rsid w:val="00C761F8"/>
    <w:rsid w:val="00C764B2"/>
    <w:rsid w:val="00C80A0B"/>
    <w:rsid w:val="00C82A8B"/>
    <w:rsid w:val="00C83077"/>
    <w:rsid w:val="00C8315E"/>
    <w:rsid w:val="00C832AA"/>
    <w:rsid w:val="00C865CE"/>
    <w:rsid w:val="00C9095C"/>
    <w:rsid w:val="00C91991"/>
    <w:rsid w:val="00C91FE3"/>
    <w:rsid w:val="00C92BEA"/>
    <w:rsid w:val="00C92FF6"/>
    <w:rsid w:val="00C941F1"/>
    <w:rsid w:val="00C94953"/>
    <w:rsid w:val="00C954AC"/>
    <w:rsid w:val="00C9693A"/>
    <w:rsid w:val="00C96BD8"/>
    <w:rsid w:val="00CA1488"/>
    <w:rsid w:val="00CA34D7"/>
    <w:rsid w:val="00CA4AD9"/>
    <w:rsid w:val="00CA7F3D"/>
    <w:rsid w:val="00CB02E0"/>
    <w:rsid w:val="00CB084F"/>
    <w:rsid w:val="00CB187D"/>
    <w:rsid w:val="00CB3D5E"/>
    <w:rsid w:val="00CB4539"/>
    <w:rsid w:val="00CC067E"/>
    <w:rsid w:val="00CC0C11"/>
    <w:rsid w:val="00CC2FF2"/>
    <w:rsid w:val="00CC32F3"/>
    <w:rsid w:val="00CC6CC3"/>
    <w:rsid w:val="00CC7422"/>
    <w:rsid w:val="00CD1784"/>
    <w:rsid w:val="00CD1AAF"/>
    <w:rsid w:val="00CD4FB1"/>
    <w:rsid w:val="00CD6333"/>
    <w:rsid w:val="00CD67A5"/>
    <w:rsid w:val="00CE0FC3"/>
    <w:rsid w:val="00CE13F7"/>
    <w:rsid w:val="00CE24F8"/>
    <w:rsid w:val="00CE2C04"/>
    <w:rsid w:val="00CE368B"/>
    <w:rsid w:val="00CE468C"/>
    <w:rsid w:val="00CE70AA"/>
    <w:rsid w:val="00CF2F90"/>
    <w:rsid w:val="00CF3A5F"/>
    <w:rsid w:val="00CF5550"/>
    <w:rsid w:val="00D02530"/>
    <w:rsid w:val="00D02CC6"/>
    <w:rsid w:val="00D105CA"/>
    <w:rsid w:val="00D1071C"/>
    <w:rsid w:val="00D10D67"/>
    <w:rsid w:val="00D116BA"/>
    <w:rsid w:val="00D11EE5"/>
    <w:rsid w:val="00D12D87"/>
    <w:rsid w:val="00D12FC1"/>
    <w:rsid w:val="00D132F2"/>
    <w:rsid w:val="00D173B8"/>
    <w:rsid w:val="00D20568"/>
    <w:rsid w:val="00D229A8"/>
    <w:rsid w:val="00D23061"/>
    <w:rsid w:val="00D230FD"/>
    <w:rsid w:val="00D23541"/>
    <w:rsid w:val="00D23DEF"/>
    <w:rsid w:val="00D241F5"/>
    <w:rsid w:val="00D25A5D"/>
    <w:rsid w:val="00D25F96"/>
    <w:rsid w:val="00D271E6"/>
    <w:rsid w:val="00D311D5"/>
    <w:rsid w:val="00D31215"/>
    <w:rsid w:val="00D3225D"/>
    <w:rsid w:val="00D34468"/>
    <w:rsid w:val="00D36190"/>
    <w:rsid w:val="00D3646A"/>
    <w:rsid w:val="00D37168"/>
    <w:rsid w:val="00D37F77"/>
    <w:rsid w:val="00D41371"/>
    <w:rsid w:val="00D41B94"/>
    <w:rsid w:val="00D41C61"/>
    <w:rsid w:val="00D44216"/>
    <w:rsid w:val="00D44EB1"/>
    <w:rsid w:val="00D50662"/>
    <w:rsid w:val="00D519DD"/>
    <w:rsid w:val="00D551F8"/>
    <w:rsid w:val="00D5588B"/>
    <w:rsid w:val="00D56843"/>
    <w:rsid w:val="00D578E0"/>
    <w:rsid w:val="00D627A8"/>
    <w:rsid w:val="00D64D6E"/>
    <w:rsid w:val="00D6540B"/>
    <w:rsid w:val="00D65F94"/>
    <w:rsid w:val="00D662ED"/>
    <w:rsid w:val="00D6669C"/>
    <w:rsid w:val="00D6710C"/>
    <w:rsid w:val="00D67F7E"/>
    <w:rsid w:val="00D73D3C"/>
    <w:rsid w:val="00D74DFB"/>
    <w:rsid w:val="00D7623F"/>
    <w:rsid w:val="00D76C85"/>
    <w:rsid w:val="00D76C8D"/>
    <w:rsid w:val="00D76D56"/>
    <w:rsid w:val="00D77406"/>
    <w:rsid w:val="00D81314"/>
    <w:rsid w:val="00D81570"/>
    <w:rsid w:val="00D81D1A"/>
    <w:rsid w:val="00D82520"/>
    <w:rsid w:val="00D82AB2"/>
    <w:rsid w:val="00D83ACB"/>
    <w:rsid w:val="00D83DCB"/>
    <w:rsid w:val="00D83F43"/>
    <w:rsid w:val="00D86B58"/>
    <w:rsid w:val="00D90661"/>
    <w:rsid w:val="00D927B8"/>
    <w:rsid w:val="00D933BC"/>
    <w:rsid w:val="00D96AF2"/>
    <w:rsid w:val="00D97EF3"/>
    <w:rsid w:val="00DA061D"/>
    <w:rsid w:val="00DA1301"/>
    <w:rsid w:val="00DA5DA5"/>
    <w:rsid w:val="00DA60DF"/>
    <w:rsid w:val="00DB066A"/>
    <w:rsid w:val="00DB10A5"/>
    <w:rsid w:val="00DB3901"/>
    <w:rsid w:val="00DB39E6"/>
    <w:rsid w:val="00DB7060"/>
    <w:rsid w:val="00DB7F7B"/>
    <w:rsid w:val="00DC1ADA"/>
    <w:rsid w:val="00DC1D67"/>
    <w:rsid w:val="00DC408A"/>
    <w:rsid w:val="00DC47C0"/>
    <w:rsid w:val="00DC6E08"/>
    <w:rsid w:val="00DC7042"/>
    <w:rsid w:val="00DD311B"/>
    <w:rsid w:val="00DD3430"/>
    <w:rsid w:val="00DD3D3C"/>
    <w:rsid w:val="00DD3F10"/>
    <w:rsid w:val="00DD5A8F"/>
    <w:rsid w:val="00DD708A"/>
    <w:rsid w:val="00DD7E10"/>
    <w:rsid w:val="00DE06C4"/>
    <w:rsid w:val="00DE0E3A"/>
    <w:rsid w:val="00DE102A"/>
    <w:rsid w:val="00DE26FF"/>
    <w:rsid w:val="00DE3A8A"/>
    <w:rsid w:val="00DE3C40"/>
    <w:rsid w:val="00DE6C5B"/>
    <w:rsid w:val="00DF0B4E"/>
    <w:rsid w:val="00DF0EBA"/>
    <w:rsid w:val="00DF0FEB"/>
    <w:rsid w:val="00DF1091"/>
    <w:rsid w:val="00DF370F"/>
    <w:rsid w:val="00DF3833"/>
    <w:rsid w:val="00DF539A"/>
    <w:rsid w:val="00DF7671"/>
    <w:rsid w:val="00E01AB3"/>
    <w:rsid w:val="00E0234F"/>
    <w:rsid w:val="00E0257A"/>
    <w:rsid w:val="00E03981"/>
    <w:rsid w:val="00E04AA9"/>
    <w:rsid w:val="00E04D7E"/>
    <w:rsid w:val="00E07049"/>
    <w:rsid w:val="00E07E2A"/>
    <w:rsid w:val="00E1022E"/>
    <w:rsid w:val="00E10E33"/>
    <w:rsid w:val="00E11A1F"/>
    <w:rsid w:val="00E1276C"/>
    <w:rsid w:val="00E1323D"/>
    <w:rsid w:val="00E16359"/>
    <w:rsid w:val="00E17D70"/>
    <w:rsid w:val="00E21E05"/>
    <w:rsid w:val="00E2314A"/>
    <w:rsid w:val="00E2359A"/>
    <w:rsid w:val="00E25055"/>
    <w:rsid w:val="00E2755E"/>
    <w:rsid w:val="00E308E4"/>
    <w:rsid w:val="00E32822"/>
    <w:rsid w:val="00E34D4A"/>
    <w:rsid w:val="00E355BB"/>
    <w:rsid w:val="00E36E61"/>
    <w:rsid w:val="00E36FF7"/>
    <w:rsid w:val="00E4183B"/>
    <w:rsid w:val="00E426BD"/>
    <w:rsid w:val="00E42717"/>
    <w:rsid w:val="00E4339E"/>
    <w:rsid w:val="00E43969"/>
    <w:rsid w:val="00E462D4"/>
    <w:rsid w:val="00E477EC"/>
    <w:rsid w:val="00E52A80"/>
    <w:rsid w:val="00E5327F"/>
    <w:rsid w:val="00E5420C"/>
    <w:rsid w:val="00E56485"/>
    <w:rsid w:val="00E60914"/>
    <w:rsid w:val="00E62843"/>
    <w:rsid w:val="00E63115"/>
    <w:rsid w:val="00E637D3"/>
    <w:rsid w:val="00E63C26"/>
    <w:rsid w:val="00E65439"/>
    <w:rsid w:val="00E65897"/>
    <w:rsid w:val="00E65B3C"/>
    <w:rsid w:val="00E6626F"/>
    <w:rsid w:val="00E66736"/>
    <w:rsid w:val="00E713FE"/>
    <w:rsid w:val="00E71D8D"/>
    <w:rsid w:val="00E739A2"/>
    <w:rsid w:val="00E80201"/>
    <w:rsid w:val="00E80BCA"/>
    <w:rsid w:val="00E80BD7"/>
    <w:rsid w:val="00E80EF8"/>
    <w:rsid w:val="00E82317"/>
    <w:rsid w:val="00E83591"/>
    <w:rsid w:val="00E84D6B"/>
    <w:rsid w:val="00E9114A"/>
    <w:rsid w:val="00E91854"/>
    <w:rsid w:val="00E92011"/>
    <w:rsid w:val="00E92F4A"/>
    <w:rsid w:val="00E955CF"/>
    <w:rsid w:val="00E95A46"/>
    <w:rsid w:val="00E95D2A"/>
    <w:rsid w:val="00EA13FF"/>
    <w:rsid w:val="00EA1433"/>
    <w:rsid w:val="00EA1FEE"/>
    <w:rsid w:val="00EA3D4F"/>
    <w:rsid w:val="00EA3D84"/>
    <w:rsid w:val="00EA5F51"/>
    <w:rsid w:val="00EA6AD2"/>
    <w:rsid w:val="00EA6F68"/>
    <w:rsid w:val="00EB026B"/>
    <w:rsid w:val="00EB21BE"/>
    <w:rsid w:val="00EB21E0"/>
    <w:rsid w:val="00EB25CD"/>
    <w:rsid w:val="00EB2B83"/>
    <w:rsid w:val="00EB4A3A"/>
    <w:rsid w:val="00EB5095"/>
    <w:rsid w:val="00EB5FDA"/>
    <w:rsid w:val="00EB6194"/>
    <w:rsid w:val="00EB665F"/>
    <w:rsid w:val="00EB69D4"/>
    <w:rsid w:val="00EB6D9B"/>
    <w:rsid w:val="00EC0A65"/>
    <w:rsid w:val="00EC12F2"/>
    <w:rsid w:val="00EC1849"/>
    <w:rsid w:val="00EC2147"/>
    <w:rsid w:val="00EC4023"/>
    <w:rsid w:val="00EC4242"/>
    <w:rsid w:val="00EC4939"/>
    <w:rsid w:val="00EC6B2A"/>
    <w:rsid w:val="00EC6D9B"/>
    <w:rsid w:val="00EC6DCD"/>
    <w:rsid w:val="00ED1990"/>
    <w:rsid w:val="00ED2E79"/>
    <w:rsid w:val="00ED4665"/>
    <w:rsid w:val="00ED72F9"/>
    <w:rsid w:val="00EE011E"/>
    <w:rsid w:val="00EE1513"/>
    <w:rsid w:val="00EE69F8"/>
    <w:rsid w:val="00EE6C54"/>
    <w:rsid w:val="00EE788E"/>
    <w:rsid w:val="00EF2B11"/>
    <w:rsid w:val="00EF581A"/>
    <w:rsid w:val="00EF6E77"/>
    <w:rsid w:val="00EF7332"/>
    <w:rsid w:val="00EF7D5F"/>
    <w:rsid w:val="00F00CB3"/>
    <w:rsid w:val="00F0456A"/>
    <w:rsid w:val="00F068E5"/>
    <w:rsid w:val="00F0757F"/>
    <w:rsid w:val="00F078EB"/>
    <w:rsid w:val="00F13190"/>
    <w:rsid w:val="00F150E0"/>
    <w:rsid w:val="00F15892"/>
    <w:rsid w:val="00F15C5B"/>
    <w:rsid w:val="00F15FEC"/>
    <w:rsid w:val="00F17E58"/>
    <w:rsid w:val="00F20B5F"/>
    <w:rsid w:val="00F215DC"/>
    <w:rsid w:val="00F23B35"/>
    <w:rsid w:val="00F23E5D"/>
    <w:rsid w:val="00F248BD"/>
    <w:rsid w:val="00F25280"/>
    <w:rsid w:val="00F27429"/>
    <w:rsid w:val="00F27533"/>
    <w:rsid w:val="00F30685"/>
    <w:rsid w:val="00F31B27"/>
    <w:rsid w:val="00F31D9E"/>
    <w:rsid w:val="00F320C2"/>
    <w:rsid w:val="00F34739"/>
    <w:rsid w:val="00F34AB0"/>
    <w:rsid w:val="00F36A7B"/>
    <w:rsid w:val="00F37D3E"/>
    <w:rsid w:val="00F408BF"/>
    <w:rsid w:val="00F43049"/>
    <w:rsid w:val="00F4325E"/>
    <w:rsid w:val="00F45D90"/>
    <w:rsid w:val="00F47A01"/>
    <w:rsid w:val="00F47F49"/>
    <w:rsid w:val="00F51C9F"/>
    <w:rsid w:val="00F52948"/>
    <w:rsid w:val="00F5417A"/>
    <w:rsid w:val="00F56E9F"/>
    <w:rsid w:val="00F60936"/>
    <w:rsid w:val="00F61D1E"/>
    <w:rsid w:val="00F63852"/>
    <w:rsid w:val="00F63A38"/>
    <w:rsid w:val="00F64542"/>
    <w:rsid w:val="00F65321"/>
    <w:rsid w:val="00F65643"/>
    <w:rsid w:val="00F666E2"/>
    <w:rsid w:val="00F66F9A"/>
    <w:rsid w:val="00F70ABE"/>
    <w:rsid w:val="00F70D35"/>
    <w:rsid w:val="00F7226A"/>
    <w:rsid w:val="00F72503"/>
    <w:rsid w:val="00F73289"/>
    <w:rsid w:val="00F748D4"/>
    <w:rsid w:val="00F74EE0"/>
    <w:rsid w:val="00F77A3D"/>
    <w:rsid w:val="00F83DB3"/>
    <w:rsid w:val="00F84217"/>
    <w:rsid w:val="00F85C21"/>
    <w:rsid w:val="00F8652A"/>
    <w:rsid w:val="00F87366"/>
    <w:rsid w:val="00F877C8"/>
    <w:rsid w:val="00F90893"/>
    <w:rsid w:val="00F93CA3"/>
    <w:rsid w:val="00F94DE8"/>
    <w:rsid w:val="00F97891"/>
    <w:rsid w:val="00FA159A"/>
    <w:rsid w:val="00FA1E37"/>
    <w:rsid w:val="00FA2B2E"/>
    <w:rsid w:val="00FA37F8"/>
    <w:rsid w:val="00FA47EE"/>
    <w:rsid w:val="00FA50C7"/>
    <w:rsid w:val="00FA5A33"/>
    <w:rsid w:val="00FB0AAF"/>
    <w:rsid w:val="00FB106E"/>
    <w:rsid w:val="00FB2784"/>
    <w:rsid w:val="00FB2A33"/>
    <w:rsid w:val="00FB5B33"/>
    <w:rsid w:val="00FC3187"/>
    <w:rsid w:val="00FC480B"/>
    <w:rsid w:val="00FC48E6"/>
    <w:rsid w:val="00FC5B07"/>
    <w:rsid w:val="00FC65B3"/>
    <w:rsid w:val="00FD1A9E"/>
    <w:rsid w:val="00FD27A9"/>
    <w:rsid w:val="00FD2FA5"/>
    <w:rsid w:val="00FD4119"/>
    <w:rsid w:val="00FD5821"/>
    <w:rsid w:val="00FD5DB7"/>
    <w:rsid w:val="00FD5E12"/>
    <w:rsid w:val="00FD6631"/>
    <w:rsid w:val="00FD752D"/>
    <w:rsid w:val="00FE0228"/>
    <w:rsid w:val="00FE24DE"/>
    <w:rsid w:val="00FF109D"/>
    <w:rsid w:val="00FF56C5"/>
    <w:rsid w:val="14375919"/>
    <w:rsid w:val="49C3CB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6A11"/>
  <w15:docId w15:val="{DFCBA3A9-3C7E-4618-9662-E684AB37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838"/>
    <w:pPr>
      <w:spacing w:after="120"/>
    </w:pPr>
    <w:rPr>
      <w:rFonts w:ascii="Arial" w:hAnsi="Arial"/>
    </w:rPr>
  </w:style>
  <w:style w:type="paragraph" w:styleId="Heading1">
    <w:name w:val="heading 1"/>
    <w:basedOn w:val="Normal"/>
    <w:next w:val="Normal"/>
    <w:link w:val="Heading1Char"/>
    <w:uiPriority w:val="9"/>
    <w:qFormat/>
    <w:rsid w:val="004846B0"/>
    <w:pPr>
      <w:keepNext/>
      <w:keepLines/>
      <w:spacing w:before="360" w:after="240"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6A473A"/>
    <w:pPr>
      <w:keepNext/>
      <w:keepLines/>
      <w:spacing w:before="360" w:line="240" w:lineRule="auto"/>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EC4242"/>
    <w:pPr>
      <w:keepNext/>
      <w:keepLines/>
      <w:spacing w:before="280" w:after="20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80E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61A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473A"/>
    <w:rPr>
      <w:rFonts w:ascii="Arial" w:eastAsiaTheme="majorEastAsia" w:hAnsi="Arial" w:cstheme="majorBidi"/>
      <w:b/>
      <w:i/>
      <w:sz w:val="28"/>
      <w:szCs w:val="26"/>
    </w:rPr>
  </w:style>
  <w:style w:type="character" w:customStyle="1" w:styleId="Heading1Char">
    <w:name w:val="Heading 1 Char"/>
    <w:basedOn w:val="DefaultParagraphFont"/>
    <w:link w:val="Heading1"/>
    <w:uiPriority w:val="9"/>
    <w:rsid w:val="004846B0"/>
    <w:rPr>
      <w:rFonts w:ascii="Arial" w:eastAsiaTheme="majorEastAsia" w:hAnsi="Arial" w:cstheme="majorBidi"/>
      <w:b/>
      <w:color w:val="000000" w:themeColor="text1"/>
      <w:sz w:val="36"/>
      <w:szCs w:val="32"/>
    </w:rPr>
  </w:style>
  <w:style w:type="paragraph" w:styleId="TOCHeading">
    <w:name w:val="TOC Heading"/>
    <w:basedOn w:val="Heading1"/>
    <w:next w:val="Normal"/>
    <w:uiPriority w:val="39"/>
    <w:unhideWhenUsed/>
    <w:qFormat/>
    <w:rsid w:val="00BB7FC7"/>
    <w:pPr>
      <w:spacing w:line="259" w:lineRule="auto"/>
      <w:outlineLvl w:val="9"/>
    </w:pPr>
    <w:rPr>
      <w:lang w:val="en-US"/>
    </w:rPr>
  </w:style>
  <w:style w:type="paragraph" w:styleId="TOC2">
    <w:name w:val="toc 2"/>
    <w:basedOn w:val="Normal"/>
    <w:next w:val="Normal"/>
    <w:autoRedefine/>
    <w:uiPriority w:val="39"/>
    <w:unhideWhenUsed/>
    <w:rsid w:val="008C6455"/>
    <w:pPr>
      <w:tabs>
        <w:tab w:val="right" w:leader="dot" w:pos="9072"/>
      </w:tabs>
      <w:ind w:left="357"/>
    </w:pPr>
  </w:style>
  <w:style w:type="character" w:styleId="Hyperlink">
    <w:name w:val="Hyperlink"/>
    <w:basedOn w:val="DefaultParagraphFont"/>
    <w:uiPriority w:val="99"/>
    <w:unhideWhenUsed/>
    <w:rsid w:val="00BB7FC7"/>
    <w:rPr>
      <w:color w:val="0000FF" w:themeColor="hyperlink"/>
      <w:u w:val="single"/>
    </w:rPr>
  </w:style>
  <w:style w:type="table" w:styleId="TableGrid">
    <w:name w:val="Table Grid"/>
    <w:basedOn w:val="TableNormal"/>
    <w:uiPriority w:val="59"/>
    <w:rsid w:val="00BB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ormal"/>
    <w:basedOn w:val="Normal"/>
    <w:link w:val="ListParagraphChar"/>
    <w:uiPriority w:val="34"/>
    <w:qFormat/>
    <w:rsid w:val="00BB7FC7"/>
    <w:pPr>
      <w:ind w:left="720"/>
      <w:contextualSpacing/>
    </w:pPr>
  </w:style>
  <w:style w:type="paragraph" w:styleId="Caption">
    <w:name w:val="caption"/>
    <w:basedOn w:val="Normal"/>
    <w:next w:val="Normal"/>
    <w:uiPriority w:val="35"/>
    <w:unhideWhenUsed/>
    <w:qFormat/>
    <w:rsid w:val="004D0AD0"/>
    <w:pPr>
      <w:spacing w:line="240" w:lineRule="auto"/>
    </w:pPr>
    <w:rPr>
      <w:i/>
      <w:iCs/>
      <w:color w:val="1F497D" w:themeColor="text2"/>
      <w:sz w:val="18"/>
      <w:szCs w:val="18"/>
    </w:rPr>
  </w:style>
  <w:style w:type="character" w:customStyle="1" w:styleId="Heading3Char">
    <w:name w:val="Heading 3 Char"/>
    <w:basedOn w:val="DefaultParagraphFont"/>
    <w:link w:val="Heading3"/>
    <w:uiPriority w:val="9"/>
    <w:rsid w:val="00EC4242"/>
    <w:rPr>
      <w:rFonts w:ascii="Arial" w:eastAsiaTheme="majorEastAsia" w:hAnsi="Arial" w:cstheme="majorBidi"/>
      <w:b/>
      <w:sz w:val="24"/>
      <w:szCs w:val="24"/>
    </w:rPr>
  </w:style>
  <w:style w:type="paragraph" w:styleId="Quote">
    <w:name w:val="Quote"/>
    <w:basedOn w:val="Normal"/>
    <w:next w:val="Normal"/>
    <w:link w:val="QuoteChar"/>
    <w:uiPriority w:val="29"/>
    <w:qFormat/>
    <w:rsid w:val="007351D5"/>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7351D5"/>
    <w:rPr>
      <w:iCs/>
      <w:color w:val="595959" w:themeColor="text1" w:themeTint="A6"/>
    </w:rPr>
  </w:style>
  <w:style w:type="paragraph" w:styleId="TOC3">
    <w:name w:val="toc 3"/>
    <w:basedOn w:val="Normal"/>
    <w:next w:val="Normal"/>
    <w:autoRedefine/>
    <w:uiPriority w:val="39"/>
    <w:unhideWhenUsed/>
    <w:rsid w:val="004C24CF"/>
    <w:pPr>
      <w:tabs>
        <w:tab w:val="right" w:leader="dot" w:pos="9016"/>
      </w:tabs>
      <w:spacing w:after="40"/>
      <w:ind w:left="851"/>
    </w:pPr>
  </w:style>
  <w:style w:type="paragraph" w:customStyle="1" w:styleId="Body">
    <w:name w:val="Body"/>
    <w:rsid w:val="00CC32F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NZ"/>
    </w:rPr>
  </w:style>
  <w:style w:type="numbering" w:customStyle="1" w:styleId="Dash">
    <w:name w:val="Dash"/>
    <w:rsid w:val="00CC32F3"/>
    <w:pPr>
      <w:numPr>
        <w:numId w:val="6"/>
      </w:numPr>
    </w:pPr>
  </w:style>
  <w:style w:type="character" w:customStyle="1" w:styleId="Heading4Char">
    <w:name w:val="Heading 4 Char"/>
    <w:basedOn w:val="DefaultParagraphFont"/>
    <w:link w:val="Heading4"/>
    <w:uiPriority w:val="9"/>
    <w:rsid w:val="00980E85"/>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6E1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C2"/>
    <w:rPr>
      <w:rFonts w:ascii="Segoe UI" w:hAnsi="Segoe UI" w:cs="Segoe UI"/>
      <w:sz w:val="18"/>
      <w:szCs w:val="18"/>
    </w:rPr>
  </w:style>
  <w:style w:type="character" w:styleId="CommentReference">
    <w:name w:val="annotation reference"/>
    <w:basedOn w:val="DefaultParagraphFont"/>
    <w:uiPriority w:val="99"/>
    <w:semiHidden/>
    <w:unhideWhenUsed/>
    <w:rsid w:val="00C61DB7"/>
    <w:rPr>
      <w:sz w:val="16"/>
      <w:szCs w:val="16"/>
    </w:rPr>
  </w:style>
  <w:style w:type="paragraph" w:styleId="CommentText">
    <w:name w:val="annotation text"/>
    <w:basedOn w:val="Normal"/>
    <w:link w:val="CommentTextChar"/>
    <w:uiPriority w:val="99"/>
    <w:unhideWhenUsed/>
    <w:rsid w:val="00C61DB7"/>
    <w:pPr>
      <w:spacing w:line="240" w:lineRule="auto"/>
    </w:pPr>
    <w:rPr>
      <w:sz w:val="20"/>
      <w:szCs w:val="20"/>
    </w:rPr>
  </w:style>
  <w:style w:type="character" w:customStyle="1" w:styleId="CommentTextChar">
    <w:name w:val="Comment Text Char"/>
    <w:basedOn w:val="DefaultParagraphFont"/>
    <w:link w:val="CommentText"/>
    <w:uiPriority w:val="99"/>
    <w:rsid w:val="00C61DB7"/>
    <w:rPr>
      <w:sz w:val="20"/>
      <w:szCs w:val="20"/>
    </w:rPr>
  </w:style>
  <w:style w:type="paragraph" w:styleId="CommentSubject">
    <w:name w:val="annotation subject"/>
    <w:basedOn w:val="CommentText"/>
    <w:next w:val="CommentText"/>
    <w:link w:val="CommentSubjectChar"/>
    <w:uiPriority w:val="99"/>
    <w:semiHidden/>
    <w:unhideWhenUsed/>
    <w:rsid w:val="00C61DB7"/>
    <w:rPr>
      <w:b/>
      <w:bCs/>
    </w:rPr>
  </w:style>
  <w:style w:type="character" w:customStyle="1" w:styleId="CommentSubjectChar">
    <w:name w:val="Comment Subject Char"/>
    <w:basedOn w:val="CommentTextChar"/>
    <w:link w:val="CommentSubject"/>
    <w:uiPriority w:val="99"/>
    <w:semiHidden/>
    <w:rsid w:val="00C61DB7"/>
    <w:rPr>
      <w:b/>
      <w:bCs/>
      <w:sz w:val="20"/>
      <w:szCs w:val="20"/>
    </w:rPr>
  </w:style>
  <w:style w:type="character" w:customStyle="1" w:styleId="Heading5Char">
    <w:name w:val="Heading 5 Char"/>
    <w:basedOn w:val="DefaultParagraphFont"/>
    <w:link w:val="Heading5"/>
    <w:uiPriority w:val="9"/>
    <w:rsid w:val="00461A9A"/>
    <w:rPr>
      <w:rFonts w:asciiTheme="majorHAnsi" w:eastAsiaTheme="majorEastAsia" w:hAnsiTheme="majorHAnsi" w:cstheme="majorBidi"/>
      <w:color w:val="365F91" w:themeColor="accent1" w:themeShade="BF"/>
    </w:rPr>
  </w:style>
  <w:style w:type="paragraph" w:styleId="EndnoteText">
    <w:name w:val="endnote text"/>
    <w:basedOn w:val="Normal"/>
    <w:link w:val="EndnoteTextChar"/>
    <w:uiPriority w:val="99"/>
    <w:semiHidden/>
    <w:unhideWhenUsed/>
    <w:rsid w:val="003C45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45E1"/>
    <w:rPr>
      <w:sz w:val="20"/>
      <w:szCs w:val="20"/>
    </w:rPr>
  </w:style>
  <w:style w:type="character" w:styleId="EndnoteReference">
    <w:name w:val="endnote reference"/>
    <w:basedOn w:val="DefaultParagraphFont"/>
    <w:uiPriority w:val="99"/>
    <w:semiHidden/>
    <w:unhideWhenUsed/>
    <w:rsid w:val="003C45E1"/>
    <w:rPr>
      <w:vertAlign w:val="superscript"/>
    </w:rPr>
  </w:style>
  <w:style w:type="paragraph" w:styleId="Header">
    <w:name w:val="header"/>
    <w:basedOn w:val="Normal"/>
    <w:link w:val="HeaderChar"/>
    <w:uiPriority w:val="99"/>
    <w:unhideWhenUsed/>
    <w:rsid w:val="0079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2E7"/>
  </w:style>
  <w:style w:type="paragraph" w:styleId="Footer">
    <w:name w:val="footer"/>
    <w:basedOn w:val="Normal"/>
    <w:link w:val="FooterChar"/>
    <w:uiPriority w:val="99"/>
    <w:unhideWhenUsed/>
    <w:rsid w:val="0079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2E7"/>
  </w:style>
  <w:style w:type="paragraph" w:styleId="Revision">
    <w:name w:val="Revision"/>
    <w:hidden/>
    <w:uiPriority w:val="99"/>
    <w:semiHidden/>
    <w:rsid w:val="00356454"/>
    <w:pPr>
      <w:spacing w:after="0" w:line="240" w:lineRule="auto"/>
    </w:pPr>
  </w:style>
  <w:style w:type="paragraph" w:styleId="NormalIndent">
    <w:name w:val="Normal Indent"/>
    <w:basedOn w:val="Normal"/>
    <w:uiPriority w:val="99"/>
    <w:unhideWhenUsed/>
    <w:rsid w:val="00851905"/>
    <w:pPr>
      <w:ind w:left="720"/>
    </w:pPr>
  </w:style>
  <w:style w:type="paragraph" w:styleId="ListContinue">
    <w:name w:val="List Continue"/>
    <w:basedOn w:val="Normal"/>
    <w:uiPriority w:val="99"/>
    <w:unhideWhenUsed/>
    <w:rsid w:val="002665C5"/>
    <w:pPr>
      <w:ind w:left="283"/>
      <w:contextualSpacing/>
    </w:pPr>
  </w:style>
  <w:style w:type="paragraph" w:styleId="List">
    <w:name w:val="List"/>
    <w:basedOn w:val="Normal"/>
    <w:uiPriority w:val="99"/>
    <w:unhideWhenUsed/>
    <w:rsid w:val="00FD5821"/>
    <w:pPr>
      <w:ind w:left="283" w:hanging="283"/>
      <w:contextualSpacing/>
    </w:pPr>
  </w:style>
  <w:style w:type="paragraph" w:styleId="TOC1">
    <w:name w:val="toc 1"/>
    <w:basedOn w:val="Normal"/>
    <w:next w:val="Normal"/>
    <w:autoRedefine/>
    <w:uiPriority w:val="39"/>
    <w:unhideWhenUsed/>
    <w:rsid w:val="00AA5AF7"/>
    <w:pPr>
      <w:tabs>
        <w:tab w:val="right" w:leader="dot" w:pos="9072"/>
      </w:tabs>
    </w:pPr>
  </w:style>
  <w:style w:type="paragraph" w:styleId="ListBullet">
    <w:name w:val="List Bullet"/>
    <w:basedOn w:val="Normal"/>
    <w:link w:val="ListBulletChar"/>
    <w:uiPriority w:val="99"/>
    <w:unhideWhenUsed/>
    <w:rsid w:val="00205AD6"/>
    <w:pPr>
      <w:contextualSpacing/>
    </w:pPr>
  </w:style>
  <w:style w:type="paragraph" w:styleId="ListNumber">
    <w:name w:val="List Number"/>
    <w:basedOn w:val="Normal"/>
    <w:uiPriority w:val="99"/>
    <w:unhideWhenUsed/>
    <w:rsid w:val="00A54CFC"/>
    <w:pPr>
      <w:numPr>
        <w:numId w:val="17"/>
      </w:numPr>
      <w:contextualSpacing/>
    </w:pPr>
  </w:style>
  <w:style w:type="paragraph" w:styleId="BodyText">
    <w:name w:val="Body Text"/>
    <w:basedOn w:val="Normal"/>
    <w:link w:val="BodyTextChar"/>
    <w:uiPriority w:val="1"/>
    <w:qFormat/>
    <w:rsid w:val="007E0634"/>
    <w:pPr>
      <w:widowControl w:val="0"/>
    </w:pPr>
    <w:rPr>
      <w:rFonts w:eastAsia="Arial" w:cs="Arial"/>
    </w:rPr>
  </w:style>
  <w:style w:type="character" w:customStyle="1" w:styleId="BodyTextChar">
    <w:name w:val="Body Text Char"/>
    <w:basedOn w:val="DefaultParagraphFont"/>
    <w:link w:val="BodyText"/>
    <w:uiPriority w:val="1"/>
    <w:rsid w:val="007E0634"/>
    <w:rPr>
      <w:rFonts w:ascii="Arial" w:eastAsia="Arial" w:hAnsi="Arial" w:cs="Arial"/>
    </w:rPr>
  </w:style>
  <w:style w:type="paragraph" w:customStyle="1" w:styleId="Figuretableheading">
    <w:name w:val="Figure table heading"/>
    <w:basedOn w:val="Normal"/>
    <w:link w:val="FiguretableheadingChar"/>
    <w:qFormat/>
    <w:rsid w:val="006A473A"/>
    <w:rPr>
      <w:rFonts w:cs="Arial"/>
      <w:b/>
    </w:rPr>
  </w:style>
  <w:style w:type="character" w:customStyle="1" w:styleId="FiguretableheadingChar">
    <w:name w:val="Figure table heading Char"/>
    <w:basedOn w:val="DefaultParagraphFont"/>
    <w:link w:val="Figuretableheading"/>
    <w:rsid w:val="006A473A"/>
    <w:rPr>
      <w:rFonts w:ascii="Arial" w:hAnsi="Arial" w:cs="Arial"/>
      <w:b/>
    </w:rPr>
  </w:style>
  <w:style w:type="paragraph" w:customStyle="1" w:styleId="Bullets">
    <w:name w:val="Bullets"/>
    <w:basedOn w:val="ListBullet"/>
    <w:link w:val="BulletsChar"/>
    <w:qFormat/>
    <w:rsid w:val="008D7ACA"/>
    <w:pPr>
      <w:spacing w:after="60"/>
      <w:ind w:left="357" w:hanging="357"/>
      <w:contextualSpacing w:val="0"/>
    </w:pPr>
    <w:rPr>
      <w:rFonts w:cs="Arial"/>
    </w:rPr>
  </w:style>
  <w:style w:type="character" w:customStyle="1" w:styleId="ListBulletChar">
    <w:name w:val="List Bullet Char"/>
    <w:basedOn w:val="DefaultParagraphFont"/>
    <w:link w:val="ListBullet"/>
    <w:uiPriority w:val="99"/>
    <w:rsid w:val="008D7ACA"/>
    <w:rPr>
      <w:rFonts w:ascii="Arial" w:hAnsi="Arial"/>
    </w:rPr>
  </w:style>
  <w:style w:type="character" w:customStyle="1" w:styleId="BulletsChar">
    <w:name w:val="Bullets Char"/>
    <w:basedOn w:val="ListBulletChar"/>
    <w:link w:val="Bullets"/>
    <w:rsid w:val="008D7ACA"/>
    <w:rPr>
      <w:rFonts w:ascii="Arial" w:hAnsi="Arial" w:cs="Arial"/>
    </w:rPr>
  </w:style>
  <w:style w:type="paragraph" w:customStyle="1" w:styleId="TeThHauorahead1">
    <w:name w:val="Te Tāhū Hauora head 1"/>
    <w:basedOn w:val="Heading1"/>
    <w:qFormat/>
    <w:rsid w:val="00A313E6"/>
    <w:rPr>
      <w:rFonts w:cs="Arial"/>
      <w:color w:val="293868"/>
    </w:rPr>
  </w:style>
  <w:style w:type="paragraph" w:customStyle="1" w:styleId="TeThHauorabodytext">
    <w:name w:val="Te Tāhū Hauora body text"/>
    <w:basedOn w:val="Normal"/>
    <w:qFormat/>
    <w:rsid w:val="00681B4C"/>
    <w:rPr>
      <w:rFonts w:cs="Arial"/>
    </w:rPr>
  </w:style>
  <w:style w:type="paragraph" w:customStyle="1" w:styleId="TeThHauorabullets">
    <w:name w:val="Te Tāhū Hauora bullets"/>
    <w:basedOn w:val="Bullets"/>
    <w:qFormat/>
    <w:rsid w:val="00BD5537"/>
    <w:pPr>
      <w:numPr>
        <w:numId w:val="25"/>
      </w:numPr>
    </w:pPr>
  </w:style>
  <w:style w:type="paragraph" w:customStyle="1" w:styleId="TeThHauoraindentedquote">
    <w:name w:val="Te Tāhū Hauora indented quote"/>
    <w:basedOn w:val="Quote"/>
    <w:qFormat/>
    <w:rsid w:val="009B60E1"/>
    <w:rPr>
      <w:rFonts w:cs="Arial"/>
      <w:color w:val="auto"/>
    </w:rPr>
  </w:style>
  <w:style w:type="paragraph" w:customStyle="1" w:styleId="TeThHauorasource">
    <w:name w:val="Te Tāhū Hauora source"/>
    <w:basedOn w:val="NormalIndent"/>
    <w:qFormat/>
    <w:rsid w:val="00792E41"/>
    <w:rPr>
      <w:rFonts w:cs="Arial"/>
    </w:rPr>
  </w:style>
  <w:style w:type="paragraph" w:customStyle="1" w:styleId="TeThHauorahead2">
    <w:name w:val="Te Tāhū Hauora head 2"/>
    <w:basedOn w:val="Heading2"/>
    <w:qFormat/>
    <w:rsid w:val="00A313E6"/>
    <w:rPr>
      <w:rFonts w:cs="Arial"/>
      <w:color w:val="293868"/>
    </w:rPr>
  </w:style>
  <w:style w:type="paragraph" w:customStyle="1" w:styleId="TeThHauorahead3">
    <w:name w:val="Te Tāhū Hauora head 3"/>
    <w:basedOn w:val="Heading3"/>
    <w:qFormat/>
    <w:rsid w:val="00792E41"/>
    <w:rPr>
      <w:rFonts w:cs="Arial"/>
    </w:rPr>
  </w:style>
  <w:style w:type="paragraph" w:customStyle="1" w:styleId="TeThHauoratablefigurecaption">
    <w:name w:val="Te Tāhū Hauora table/figure caption"/>
    <w:basedOn w:val="Figuretableheading"/>
    <w:qFormat/>
    <w:rsid w:val="00792E41"/>
  </w:style>
  <w:style w:type="paragraph" w:customStyle="1" w:styleId="TeThHauoratablecolumnhead">
    <w:name w:val="Te Tāhū Hauora table column head"/>
    <w:basedOn w:val="Normal"/>
    <w:qFormat/>
    <w:rsid w:val="00792E41"/>
    <w:pPr>
      <w:framePr w:hSpace="180" w:wrap="around" w:vAnchor="text" w:hAnchor="margin" w:y="2"/>
      <w:spacing w:before="60" w:after="60" w:line="240" w:lineRule="auto"/>
    </w:pPr>
    <w:rPr>
      <w:rFonts w:cs="Arial"/>
      <w:b/>
    </w:rPr>
  </w:style>
  <w:style w:type="paragraph" w:customStyle="1" w:styleId="TeThHauoratablecontent">
    <w:name w:val="Te Tāhū Hauora table content"/>
    <w:basedOn w:val="Normal"/>
    <w:qFormat/>
    <w:rsid w:val="00792E41"/>
    <w:pPr>
      <w:framePr w:hSpace="180" w:wrap="around" w:vAnchor="text" w:hAnchor="margin" w:y="2"/>
      <w:spacing w:before="60" w:after="60" w:line="240" w:lineRule="auto"/>
    </w:pPr>
    <w:rPr>
      <w:rFonts w:cs="Arial"/>
    </w:rPr>
  </w:style>
  <w:style w:type="character" w:styleId="UnresolvedMention">
    <w:name w:val="Unresolved Mention"/>
    <w:basedOn w:val="DefaultParagraphFont"/>
    <w:uiPriority w:val="99"/>
    <w:semiHidden/>
    <w:unhideWhenUsed/>
    <w:rsid w:val="009B60E1"/>
    <w:rPr>
      <w:color w:val="605E5C"/>
      <w:shd w:val="clear" w:color="auto" w:fill="E1DFDD"/>
    </w:rPr>
  </w:style>
  <w:style w:type="table" w:customStyle="1" w:styleId="TeThHauoratable">
    <w:name w:val="Te Tāhū Hauora table"/>
    <w:basedOn w:val="TableNormal"/>
    <w:uiPriority w:val="99"/>
    <w:rsid w:val="004D6696"/>
    <w:pPr>
      <w:spacing w:after="0" w:line="240" w:lineRule="auto"/>
    </w:pPr>
    <w:rPr>
      <w:rFonts w:ascii="Arial" w:hAnsi="Arial"/>
    </w:rPr>
    <w:tblPr/>
  </w:style>
  <w:style w:type="paragraph" w:styleId="FootnoteText">
    <w:name w:val="footnote text"/>
    <w:basedOn w:val="Normal"/>
    <w:link w:val="FootnoteTextChar"/>
    <w:semiHidden/>
    <w:rsid w:val="00A379FF"/>
    <w:pPr>
      <w:spacing w:after="0"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A379FF"/>
    <w:rPr>
      <w:rFonts w:ascii="Arial" w:eastAsia="Times New Roman" w:hAnsi="Arial" w:cs="Times New Roman"/>
      <w:sz w:val="20"/>
      <w:szCs w:val="20"/>
      <w:lang w:eastAsia="en-GB"/>
    </w:rPr>
  </w:style>
  <w:style w:type="character" w:styleId="FootnoteReference">
    <w:name w:val="footnote reference"/>
    <w:rsid w:val="00A379FF"/>
    <w:rPr>
      <w:vertAlign w:val="superscript"/>
    </w:rPr>
  </w:style>
  <w:style w:type="character" w:styleId="Mention">
    <w:name w:val="Mention"/>
    <w:basedOn w:val="DefaultParagraphFont"/>
    <w:uiPriority w:val="99"/>
    <w:unhideWhenUsed/>
    <w:rsid w:val="00FB2A33"/>
    <w:rPr>
      <w:color w:val="2B579A"/>
      <w:shd w:val="clear" w:color="auto" w:fill="E1DFDD"/>
    </w:rPr>
  </w:style>
  <w:style w:type="paragraph" w:customStyle="1" w:styleId="pf0">
    <w:name w:val="pf0"/>
    <w:basedOn w:val="Normal"/>
    <w:rsid w:val="003762D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3762D6"/>
    <w:rPr>
      <w:rFonts w:ascii="Segoe UI" w:hAnsi="Segoe UI" w:cs="Segoe UI" w:hint="default"/>
      <w:sz w:val="18"/>
      <w:szCs w:val="18"/>
    </w:rPr>
  </w:style>
  <w:style w:type="character" w:styleId="FollowedHyperlink">
    <w:name w:val="FollowedHyperlink"/>
    <w:basedOn w:val="DefaultParagraphFont"/>
    <w:uiPriority w:val="99"/>
    <w:semiHidden/>
    <w:unhideWhenUsed/>
    <w:rsid w:val="00746AEC"/>
    <w:rPr>
      <w:color w:val="800080" w:themeColor="followedHyperlink"/>
      <w:u w:val="single"/>
    </w:rPr>
  </w:style>
  <w:style w:type="paragraph" w:customStyle="1" w:styleId="TTCcontents">
    <w:name w:val="TTC contents"/>
    <w:basedOn w:val="TeThHauorahead1"/>
    <w:qFormat/>
    <w:rsid w:val="00B87F3E"/>
  </w:style>
  <w:style w:type="paragraph" w:customStyle="1" w:styleId="TTHfrontpage">
    <w:name w:val="TTH front page"/>
    <w:basedOn w:val="TeThHauorahead2"/>
    <w:qFormat/>
    <w:rsid w:val="00113305"/>
    <w:pPr>
      <w:jc w:val="center"/>
    </w:pPr>
    <w:rPr>
      <w:i w:val="0"/>
      <w:iCs/>
    </w:rPr>
  </w:style>
  <w:style w:type="character" w:customStyle="1" w:styleId="ListParagraphChar">
    <w:name w:val="List Paragraph Char"/>
    <w:aliases w:val="Bullet Normal Char"/>
    <w:basedOn w:val="DefaultParagraphFont"/>
    <w:link w:val="ListParagraph"/>
    <w:uiPriority w:val="34"/>
    <w:locked/>
    <w:rsid w:val="009B7CC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725690">
      <w:bodyDiv w:val="1"/>
      <w:marLeft w:val="0"/>
      <w:marRight w:val="0"/>
      <w:marTop w:val="0"/>
      <w:marBottom w:val="0"/>
      <w:divBdr>
        <w:top w:val="none" w:sz="0" w:space="0" w:color="auto"/>
        <w:left w:val="none" w:sz="0" w:space="0" w:color="auto"/>
        <w:bottom w:val="none" w:sz="0" w:space="0" w:color="auto"/>
        <w:right w:val="none" w:sz="0" w:space="0" w:color="auto"/>
      </w:divBdr>
    </w:div>
    <w:div w:id="20062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qsc.govt.nz" TargetMode="External"/><Relationship Id="rId18" Type="http://schemas.openxmlformats.org/officeDocument/2006/relationships/hyperlink" Target="mailto:nmrmg@hqsc.govt.n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commons.org/licenses/by-nc-sa/4.0"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hqsc.govt.nz/our-work/mortality-review-committees/data-application-for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hqsc.govt.nz" TargetMode="External"/><Relationship Id="rId22"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www.legislation.govt.nz/act/public/2022/0030/latest/LMS575405.html" TargetMode="External"/><Relationship Id="rId13" Type="http://schemas.openxmlformats.org/officeDocument/2006/relationships/hyperlink" Target="http://www.stats.govt.nz/integrated-data/how-we-keep-integrated-data-safe/" TargetMode="External"/><Relationship Id="rId18" Type="http://schemas.openxmlformats.org/officeDocument/2006/relationships/hyperlink" Target="https://journals.plos.org/plosone/s/data-availability" TargetMode="External"/><Relationship Id="rId3" Type="http://schemas.openxmlformats.org/officeDocument/2006/relationships/hyperlink" Target="http://www.hqsc.govt.nz/our-work/mortality-review-committees/national-mortality-review-committee/terms-of-reference" TargetMode="External"/><Relationship Id="rId7" Type="http://schemas.openxmlformats.org/officeDocument/2006/relationships/hyperlink" Target="http://www.hqsc.govt.nz/assets/Our-work/Mortality-review-committee/Publications-resources/NMRF_Final-Report-March-2022.pdf" TargetMode="External"/><Relationship Id="rId12" Type="http://schemas.openxmlformats.org/officeDocument/2006/relationships/hyperlink" Target="http://www.hqsc.govt.nz/our-work/mortality-review-committees/access-to-national-mortality-review-committee-data" TargetMode="External"/><Relationship Id="rId17" Type="http://schemas.openxmlformats.org/officeDocument/2006/relationships/hyperlink" Target="https://secure-www.otago.ac.nz/nzmrdg/mrams/" TargetMode="External"/><Relationship Id="rId2" Type="http://schemas.openxmlformats.org/officeDocument/2006/relationships/hyperlink" Target="https://pantograph-punch.com/posts/dear-epidemiology" TargetMode="External"/><Relationship Id="rId16" Type="http://schemas.openxmlformats.org/officeDocument/2006/relationships/hyperlink" Target="https://oag.parliament.nz/2020/conflicts" TargetMode="External"/><Relationship Id="rId1" Type="http://schemas.openxmlformats.org/officeDocument/2006/relationships/hyperlink" Target="http://www.hqsc.govt.nz/resources/resource-library/te-mauri-the-life-force-i-rangatahi-suicide-report-i-te-purongo-mo-te-mate-whakamomori-o-te-rangatahi" TargetMode="External"/><Relationship Id="rId6" Type="http://schemas.openxmlformats.org/officeDocument/2006/relationships/hyperlink" Target="http://www.hqsc.govt.nz/resources/resource-library/te-pou-maori-responsive-rubric-and-guidelines" TargetMode="External"/><Relationship Id="rId11" Type="http://schemas.openxmlformats.org/officeDocument/2006/relationships/hyperlink" Target="http://www.data.govt.nz/assets/Uploads/Presentation-Tahu-Kukutai.pdf" TargetMode="External"/><Relationship Id="rId5" Type="http://schemas.openxmlformats.org/officeDocument/2006/relationships/hyperlink" Target="http://www.hqsc.govt.nz/our-work/mortality-review-committees/about-the-national-mortality-review-function" TargetMode="External"/><Relationship Id="rId15" Type="http://schemas.openxmlformats.org/officeDocument/2006/relationships/hyperlink" Target="http://www.stats.govt.nz/assets/Methods/Microdata-Output-Guide-2020-v5-Sept22update.pdf" TargetMode="External"/><Relationship Id="rId10" Type="http://schemas.openxmlformats.org/officeDocument/2006/relationships/hyperlink" Target="http://www.hqsc.govt.nz/our-work/mortality-review-committees/subject-matter-experts/nga-pou-arawhenua" TargetMode="External"/><Relationship Id="rId19" Type="http://schemas.openxmlformats.org/officeDocument/2006/relationships/hyperlink" Target="https://authorservices.taylorandfrancis.com/data-sharing/share-your-data/data-availability-statements/" TargetMode="External"/><Relationship Id="rId4" Type="http://schemas.openxmlformats.org/officeDocument/2006/relationships/hyperlink" Target="http://www.hqsc.govt.nz/our-work/mortality-review-committees/national-mortality-review-committee" TargetMode="External"/><Relationship Id="rId9" Type="http://schemas.openxmlformats.org/officeDocument/2006/relationships/hyperlink" Target="https://doi.org/10.1016/j.lanwpc.2022.100570" TargetMode="External"/><Relationship Id="rId14" Type="http://schemas.openxmlformats.org/officeDocument/2006/relationships/hyperlink" Target="https://doi.org/10.24095%2Fhpcdp.38.3.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ittingham\Desktop\Templates%20for%20new%20logo\FINALS\Comms%20kit%20templates%20final\Templates\Report%20template%20-%20new%20tohu%20on%20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5" ma:contentTypeDescription="Create a new document." ma:contentTypeScope="" ma:versionID="30f13bc92687d36d5ab6a61f3bb8b0ff">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97bf6b177eb481fbaf016602c9db6c34"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Te Raina Gunn</DisplayName>
        <AccountId>74</AccountId>
        <AccountType/>
      </UserInfo>
      <UserInfo>
        <DisplayName>Anna Thomson</DisplayName>
        <AccountId>3435</AccountId>
        <AccountType/>
      </UserInfo>
    </SharedWithUsers>
    <_dlc_DocId xmlns="bef9904b-9bca-4a1b-aca3-78dad2044d15">DOCS-1129490080-85984</_dlc_DocId>
    <_dlc_DocIdUrl xmlns="bef9904b-9bca-4a1b-aca3-78dad2044d15">
      <Url>https://hqsc.sharepoint.com/sites/dms-comms/_layouts/15/DocIdRedir.aspx?ID=DOCS-1129490080-85984</Url>
      <Description>DOCS-1129490080-85984</Description>
    </_dlc_DocIdUrl>
    <TaxCatchAll xmlns="bef9904b-9bca-4a1b-aca3-78dad2044d15" xsi:nil="true"/>
    <lcf76f155ced4ddcb4097134ff3c332f xmlns="83c1f819-1d2e-4aad-8c9d-234667bc50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EA3E01-A735-482A-A783-12E764FDBDA4}">
  <ds:schemaRefs>
    <ds:schemaRef ds:uri="http://schemas.microsoft.com/sharepoint/v3/contenttype/forms"/>
  </ds:schemaRefs>
</ds:datastoreItem>
</file>

<file path=customXml/itemProps2.xml><?xml version="1.0" encoding="utf-8"?>
<ds:datastoreItem xmlns:ds="http://schemas.openxmlformats.org/officeDocument/2006/customXml" ds:itemID="{AFA2A38A-F894-4ED8-BDBD-B0DE763C2972}">
  <ds:schemaRefs>
    <ds:schemaRef ds:uri="http://schemas.microsoft.com/sharepoint/events"/>
  </ds:schemaRefs>
</ds:datastoreItem>
</file>

<file path=customXml/itemProps3.xml><?xml version="1.0" encoding="utf-8"?>
<ds:datastoreItem xmlns:ds="http://schemas.openxmlformats.org/officeDocument/2006/customXml" ds:itemID="{6E9979EB-B2CE-4A21-80E0-97B77D9BD71D}">
  <ds:schemaRefs>
    <ds:schemaRef ds:uri="http://schemas.openxmlformats.org/officeDocument/2006/bibliography"/>
  </ds:schemaRefs>
</ds:datastoreItem>
</file>

<file path=customXml/itemProps4.xml><?xml version="1.0" encoding="utf-8"?>
<ds:datastoreItem xmlns:ds="http://schemas.openxmlformats.org/officeDocument/2006/customXml" ds:itemID="{6A98DB50-3EBB-4571-BED7-CE3ACD4C9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04217C-7EC6-4166-B6FA-B188E2D0B934}">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docProps/app.xml><?xml version="1.0" encoding="utf-8"?>
<Properties xmlns="http://schemas.openxmlformats.org/officeDocument/2006/extended-properties" xmlns:vt="http://schemas.openxmlformats.org/officeDocument/2006/docPropsVTypes">
  <Template>Report template - new tohu on cover.dotx</Template>
  <TotalTime>17</TotalTime>
  <Pages>20</Pages>
  <Words>5360</Words>
  <Characters>31255</Characters>
  <Application>Microsoft Office Word</Application>
  <DocSecurity>0</DocSecurity>
  <Lines>558</Lines>
  <Paragraphs>312</Paragraphs>
  <ScaleCrop>false</ScaleCrop>
  <HeadingPairs>
    <vt:vector size="2" baseType="variant">
      <vt:variant>
        <vt:lpstr>Title</vt:lpstr>
      </vt:variant>
      <vt:variant>
        <vt:i4>1</vt:i4>
      </vt:variant>
    </vt:vector>
  </HeadingPairs>
  <TitlesOfParts>
    <vt:vector size="1" baseType="lpstr">
      <vt:lpstr/>
    </vt:vector>
  </TitlesOfParts>
  <Company>Health Quality &amp; Safety Commission</Company>
  <LinksUpToDate>false</LinksUpToDate>
  <CharactersWithSpaces>36303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Jocasta Whittingham</dc:creator>
  <cp:keywords/>
  <dc:description/>
  <cp:lastModifiedBy>Anna Thomson</cp:lastModifiedBy>
  <cp:revision>7</cp:revision>
  <cp:lastPrinted>2024-02-06T20:07:00Z</cp:lastPrinted>
  <dcterms:created xsi:type="dcterms:W3CDTF">2024-02-18T22:37:00Z</dcterms:created>
  <dcterms:modified xsi:type="dcterms:W3CDTF">2024-02-20T02:39:00Z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de9c6348-200e-4193-ba73-4a13987be872</vt:lpwstr>
  </property>
  <property fmtid="{D5CDD505-2E9C-101B-9397-08002B2CF9AE}" pid="3" name="ContentTypeId">
    <vt:lpwstr>0x010100843E1B8698701A45A5408FB75B1B86C4</vt:lpwstr>
  </property>
  <property fmtid="{D5CDD505-2E9C-101B-9397-08002B2CF9AE}" pid="4" name="AuthorIds_UIVersion_1024">
    <vt:lpwstr>17</vt:lpwstr>
  </property>
  <property fmtid="{D5CDD505-2E9C-101B-9397-08002B2CF9AE}" pid="5" name="MediaServiceImageTags">
    <vt:lpwstr/>
  </property>
</Properties>
</file>