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0D44" w14:textId="77777777" w:rsidR="003569A3" w:rsidRPr="009F63CE" w:rsidRDefault="006D7E40" w:rsidP="00174C87">
      <w:pPr>
        <w:jc w:val="center"/>
        <w:rPr>
          <w:rFonts w:cs="Arial"/>
          <w:color w:val="E31B23" w:themeColor="accent1"/>
        </w:rPr>
      </w:pPr>
      <w:bookmarkStart w:id="0" w:name="_Toc483987178"/>
      <w:bookmarkStart w:id="1" w:name="_Toc480797142"/>
      <w:r>
        <w:rPr>
          <w:rFonts w:cs="Arial"/>
          <w:noProof/>
          <w:color w:val="E31B23" w:themeColor="accent1"/>
          <w:lang w:eastAsia="en-NZ"/>
        </w:rPr>
        <w:drawing>
          <wp:anchor distT="0" distB="0" distL="114300" distR="114300" simplePos="0" relativeHeight="251658240" behindDoc="0" locked="0" layoutInCell="1" allowOverlap="1" wp14:anchorId="56C04FAF" wp14:editId="25E8D79D">
            <wp:simplePos x="0" y="0"/>
            <wp:positionH relativeFrom="margin">
              <wp:align>center</wp:align>
            </wp:positionH>
            <wp:positionV relativeFrom="paragraph">
              <wp:posOffset>-167054</wp:posOffset>
            </wp:positionV>
            <wp:extent cx="1889090" cy="13970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MRC%20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9090" cy="1397014"/>
                    </a:xfrm>
                    <a:prstGeom prst="rect">
                      <a:avLst/>
                    </a:prstGeom>
                  </pic:spPr>
                </pic:pic>
              </a:graphicData>
            </a:graphic>
            <wp14:sizeRelH relativeFrom="margin">
              <wp14:pctWidth>0</wp14:pctWidth>
            </wp14:sizeRelH>
            <wp14:sizeRelV relativeFrom="margin">
              <wp14:pctHeight>0</wp14:pctHeight>
            </wp14:sizeRelV>
          </wp:anchor>
        </w:drawing>
      </w:r>
    </w:p>
    <w:sdt>
      <w:sdtPr>
        <w:rPr>
          <w:rFonts w:cs="Arial"/>
          <w:color w:val="E31B23" w:themeColor="accent1"/>
        </w:rPr>
        <w:id w:val="38396881"/>
        <w:docPartObj>
          <w:docPartGallery w:val="Cover Pages"/>
          <w:docPartUnique/>
        </w:docPartObj>
      </w:sdtPr>
      <w:sdtEndPr>
        <w:rPr>
          <w:color w:val="000000" w:themeColor="text1"/>
        </w:rPr>
      </w:sdtEndPr>
      <w:sdtContent>
        <w:bookmarkStart w:id="2" w:name="_Toc480797236" w:displacedByCustomXml="prev"/>
        <w:p w14:paraId="0235C3FF" w14:textId="77777777" w:rsidR="00960A17" w:rsidRPr="009F63CE" w:rsidRDefault="00960A17" w:rsidP="00174C87">
          <w:pPr>
            <w:jc w:val="center"/>
            <w:rPr>
              <w:rFonts w:cs="Arial"/>
              <w:color w:val="E31B23" w:themeColor="accent1"/>
            </w:rPr>
          </w:pPr>
        </w:p>
        <w:p w14:paraId="63ACBC64" w14:textId="77777777" w:rsidR="00960A17" w:rsidRPr="009F63CE" w:rsidRDefault="00960A17" w:rsidP="00174C87">
          <w:pPr>
            <w:jc w:val="center"/>
            <w:rPr>
              <w:rFonts w:cs="Arial"/>
              <w:color w:val="E31B23" w:themeColor="accent1"/>
            </w:rPr>
          </w:pPr>
        </w:p>
        <w:p w14:paraId="74C42F5B" w14:textId="77777777" w:rsidR="00960A17" w:rsidRPr="009F63CE" w:rsidRDefault="00960A17" w:rsidP="00174C87">
          <w:pPr>
            <w:jc w:val="center"/>
            <w:rPr>
              <w:rFonts w:cs="Arial"/>
              <w:color w:val="E31B23" w:themeColor="accent1"/>
            </w:rPr>
          </w:pPr>
        </w:p>
        <w:p w14:paraId="25599D89" w14:textId="77777777" w:rsidR="00960A17" w:rsidRPr="009F63CE" w:rsidRDefault="00960A17" w:rsidP="00174C87">
          <w:pPr>
            <w:jc w:val="center"/>
            <w:rPr>
              <w:rFonts w:cs="Arial"/>
              <w:color w:val="E31B23" w:themeColor="accent1"/>
            </w:rPr>
          </w:pPr>
        </w:p>
        <w:p w14:paraId="79FD64C3" w14:textId="77777777" w:rsidR="00960A17" w:rsidRPr="009F63CE" w:rsidRDefault="00960A17" w:rsidP="00174C87">
          <w:pPr>
            <w:jc w:val="center"/>
            <w:rPr>
              <w:rFonts w:cs="Arial"/>
              <w:color w:val="E31B23" w:themeColor="accent1"/>
            </w:rPr>
          </w:pPr>
        </w:p>
        <w:p w14:paraId="2EEAA56F" w14:textId="55E3B065" w:rsidR="00960A17" w:rsidRPr="009F63CE" w:rsidRDefault="000F19A5" w:rsidP="00174C87">
          <w:pPr>
            <w:jc w:val="center"/>
            <w:rPr>
              <w:rFonts w:cs="Arial"/>
            </w:rPr>
          </w:pPr>
          <w:r w:rsidRPr="009F63CE">
            <w:rPr>
              <w:rFonts w:cs="Arial"/>
              <w:b/>
              <w:sz w:val="52"/>
              <w:szCs w:val="52"/>
            </w:rPr>
            <w:t>Methods</w:t>
          </w:r>
          <w:r w:rsidR="00174C87" w:rsidRPr="009F63CE">
            <w:rPr>
              <w:rFonts w:cs="Arial"/>
              <w:b/>
              <w:sz w:val="52"/>
              <w:szCs w:val="52"/>
            </w:rPr>
            <w:t xml:space="preserve"> and </w:t>
          </w:r>
          <w:r w:rsidR="009C3617" w:rsidRPr="009F63CE">
            <w:rPr>
              <w:rFonts w:cs="Arial"/>
              <w:b/>
              <w:sz w:val="52"/>
              <w:szCs w:val="52"/>
            </w:rPr>
            <w:t xml:space="preserve">Definitions </w:t>
          </w:r>
          <w:r w:rsidR="00174C87" w:rsidRPr="009F63CE">
            <w:rPr>
              <w:rFonts w:cs="Arial"/>
              <w:b/>
              <w:sz w:val="52"/>
              <w:szCs w:val="52"/>
            </w:rPr>
            <w:t>for Perinatal and Maternal Mortality Review Committee</w:t>
          </w:r>
          <w:bookmarkEnd w:id="2"/>
          <w:r w:rsidR="00ED5025" w:rsidRPr="009F63CE">
            <w:rPr>
              <w:rFonts w:cs="Arial"/>
              <w:b/>
              <w:sz w:val="52"/>
              <w:szCs w:val="52"/>
            </w:rPr>
            <w:t xml:space="preserve"> </w:t>
          </w:r>
          <w:r w:rsidR="009C3617" w:rsidRPr="009F63CE">
            <w:rPr>
              <w:rFonts w:cs="Arial"/>
              <w:b/>
              <w:sz w:val="52"/>
              <w:szCs w:val="52"/>
            </w:rPr>
            <w:t>Reporting</w:t>
          </w:r>
          <w:r w:rsidR="00AD5663">
            <w:rPr>
              <w:rFonts w:cs="Arial"/>
              <w:b/>
              <w:sz w:val="52"/>
              <w:szCs w:val="52"/>
            </w:rPr>
            <w:t xml:space="preserve"> |</w:t>
          </w:r>
          <w:r w:rsidR="001C483D">
            <w:rPr>
              <w:rFonts w:cs="Arial"/>
              <w:b/>
              <w:sz w:val="52"/>
              <w:szCs w:val="52"/>
            </w:rPr>
            <w:t xml:space="preserve"> </w:t>
          </w:r>
          <w:r w:rsidR="001C483D">
            <w:rPr>
              <w:rFonts w:cs="Arial"/>
              <w:b/>
              <w:sz w:val="52"/>
              <w:szCs w:val="52"/>
            </w:rPr>
            <w:br/>
          </w:r>
          <w:r w:rsidR="001C483D" w:rsidRPr="001C483D">
            <w:rPr>
              <w:rFonts w:cs="Arial"/>
              <w:b/>
              <w:sz w:val="52"/>
              <w:szCs w:val="52"/>
            </w:rPr>
            <w:t>Ngā Tikanga me ngā Kupu Whakamārama mō te Tuku Pūrongo a te Komiti Arotake Ira Tangata</w:t>
          </w:r>
          <w:r w:rsidR="00AD5663">
            <w:rPr>
              <w:rFonts w:cs="Arial"/>
              <w:b/>
              <w:sz w:val="52"/>
              <w:szCs w:val="52"/>
            </w:rPr>
            <w:br/>
          </w:r>
        </w:p>
        <w:p w14:paraId="7AD96033" w14:textId="7051344C" w:rsidR="00960A17" w:rsidRPr="009F63CE" w:rsidRDefault="00960A17" w:rsidP="00174C87">
          <w:pPr>
            <w:jc w:val="center"/>
            <w:rPr>
              <w:rFonts w:cs="Arial"/>
            </w:rPr>
          </w:pPr>
        </w:p>
        <w:p w14:paraId="004C6C4F" w14:textId="77777777" w:rsidR="00960A17" w:rsidRPr="009F63CE" w:rsidRDefault="00960A17" w:rsidP="00174C87">
          <w:pPr>
            <w:jc w:val="center"/>
            <w:rPr>
              <w:rFonts w:cs="Arial"/>
            </w:rPr>
          </w:pPr>
        </w:p>
        <w:p w14:paraId="0EE3B5D8" w14:textId="65A15096" w:rsidR="00960A17" w:rsidRDefault="00960A17" w:rsidP="00174C87">
          <w:pPr>
            <w:jc w:val="center"/>
            <w:rPr>
              <w:rFonts w:cs="Arial"/>
            </w:rPr>
          </w:pPr>
        </w:p>
        <w:p w14:paraId="50C3DA37" w14:textId="77777777" w:rsidR="006D7E40" w:rsidRDefault="006D7E40" w:rsidP="00174C87">
          <w:pPr>
            <w:jc w:val="center"/>
            <w:rPr>
              <w:rFonts w:cs="Arial"/>
            </w:rPr>
          </w:pPr>
        </w:p>
        <w:p w14:paraId="0497416A" w14:textId="3022F63B" w:rsidR="006D7E40" w:rsidRDefault="006D7E40" w:rsidP="00174C87">
          <w:pPr>
            <w:jc w:val="center"/>
            <w:rPr>
              <w:rFonts w:cs="Arial"/>
            </w:rPr>
          </w:pPr>
        </w:p>
        <w:p w14:paraId="39B5257F" w14:textId="60CBF38A" w:rsidR="006D7E40" w:rsidRPr="009F63CE" w:rsidRDefault="006D7E40" w:rsidP="00174C87">
          <w:pPr>
            <w:jc w:val="center"/>
            <w:rPr>
              <w:rFonts w:cs="Arial"/>
            </w:rPr>
          </w:pPr>
        </w:p>
        <w:p w14:paraId="756C567F" w14:textId="77777777" w:rsidR="00960A17" w:rsidRPr="009F63CE" w:rsidRDefault="00960A17" w:rsidP="00174C87">
          <w:pPr>
            <w:jc w:val="center"/>
            <w:rPr>
              <w:rFonts w:cs="Arial"/>
            </w:rPr>
          </w:pPr>
        </w:p>
        <w:p w14:paraId="583F2C6A" w14:textId="77777777" w:rsidR="00960A17" w:rsidRPr="009F63CE" w:rsidRDefault="00960A17" w:rsidP="00174C87">
          <w:pPr>
            <w:jc w:val="center"/>
            <w:rPr>
              <w:rFonts w:cs="Arial"/>
            </w:rPr>
          </w:pPr>
        </w:p>
        <w:p w14:paraId="0A97B61A" w14:textId="77777777" w:rsidR="00960A17" w:rsidRPr="009F63CE" w:rsidRDefault="00960A17" w:rsidP="00174C87">
          <w:pPr>
            <w:jc w:val="center"/>
            <w:rPr>
              <w:rFonts w:cs="Arial"/>
            </w:rPr>
          </w:pPr>
        </w:p>
        <w:p w14:paraId="00740009" w14:textId="7E3D17A1" w:rsidR="00FA29F5" w:rsidRDefault="00851CF9" w:rsidP="00FA29F5">
          <w:pPr>
            <w:jc w:val="center"/>
            <w:rPr>
              <w:rFonts w:cs="Arial"/>
            </w:rPr>
          </w:pPr>
          <w:r w:rsidRPr="000B5AF8">
            <w:rPr>
              <w:rFonts w:cs="Arial"/>
              <w:noProof/>
            </w:rPr>
            <w:drawing>
              <wp:anchor distT="0" distB="0" distL="114300" distR="114300" simplePos="0" relativeHeight="251658242" behindDoc="0" locked="0" layoutInCell="1" allowOverlap="1" wp14:anchorId="68D0F06E" wp14:editId="6ACCF2E9">
                <wp:simplePos x="0" y="0"/>
                <wp:positionH relativeFrom="margin">
                  <wp:align>left</wp:align>
                </wp:positionH>
                <wp:positionV relativeFrom="paragraph">
                  <wp:posOffset>938784</wp:posOffset>
                </wp:positionV>
                <wp:extent cx="1716131" cy="64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6131" cy="648000"/>
                        </a:xfrm>
                        <a:prstGeom prst="rect">
                          <a:avLst/>
                        </a:prstGeom>
                      </pic:spPr>
                    </pic:pic>
                  </a:graphicData>
                </a:graphic>
                <wp14:sizeRelH relativeFrom="margin">
                  <wp14:pctWidth>0</wp14:pctWidth>
                </wp14:sizeRelH>
                <wp14:sizeRelV relativeFrom="margin">
                  <wp14:pctHeight>0</wp14:pctHeight>
                </wp14:sizeRelV>
              </wp:anchor>
            </w:drawing>
          </w:r>
          <w:r w:rsidR="006D7E40" w:rsidRPr="008B6072">
            <w:rPr>
              <w:rFonts w:cs="Arial"/>
              <w:noProof/>
            </w:rPr>
            <w:drawing>
              <wp:anchor distT="0" distB="0" distL="114300" distR="114300" simplePos="0" relativeHeight="251658241" behindDoc="0" locked="0" layoutInCell="1" allowOverlap="1" wp14:anchorId="4DE49D02" wp14:editId="46079156">
                <wp:simplePos x="0" y="0"/>
                <wp:positionH relativeFrom="margin">
                  <wp:align>right</wp:align>
                </wp:positionH>
                <wp:positionV relativeFrom="paragraph">
                  <wp:posOffset>901797</wp:posOffset>
                </wp:positionV>
                <wp:extent cx="2219325" cy="6559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QSC%20Logo%20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9325" cy="655955"/>
                        </a:xfrm>
                        <a:prstGeom prst="rect">
                          <a:avLst/>
                        </a:prstGeom>
                      </pic:spPr>
                    </pic:pic>
                  </a:graphicData>
                </a:graphic>
                <wp14:sizeRelH relativeFrom="margin">
                  <wp14:pctWidth>0</wp14:pctWidth>
                </wp14:sizeRelH>
                <wp14:sizeRelV relativeFrom="margin">
                  <wp14:pctHeight>0</wp14:pctHeight>
                </wp14:sizeRelV>
              </wp:anchor>
            </w:drawing>
          </w:r>
          <w:r w:rsidR="002D24D2">
            <w:rPr>
              <w:rFonts w:cs="Arial"/>
            </w:rPr>
            <w:t>December</w:t>
          </w:r>
          <w:r w:rsidR="008B6072" w:rsidRPr="008B6072">
            <w:rPr>
              <w:rFonts w:cs="Arial"/>
            </w:rPr>
            <w:t xml:space="preserve"> </w:t>
          </w:r>
          <w:r w:rsidR="004773DF" w:rsidRPr="008B6072">
            <w:rPr>
              <w:rFonts w:cs="Arial"/>
            </w:rPr>
            <w:t>202</w:t>
          </w:r>
          <w:r w:rsidR="008B6072" w:rsidRPr="008B6072">
            <w:rPr>
              <w:rFonts w:cs="Arial"/>
            </w:rPr>
            <w:t>2</w:t>
          </w:r>
          <w:r w:rsidR="00A9269F">
            <w:rPr>
              <w:rFonts w:cs="Arial"/>
            </w:rPr>
            <w:t xml:space="preserve"> | Hakihea 2022</w:t>
          </w:r>
        </w:p>
        <w:p w14:paraId="7931C3E1" w14:textId="65B233A4" w:rsidR="00174C87" w:rsidRPr="000B5AF8" w:rsidRDefault="00174C87" w:rsidP="00F87FA1">
          <w:pPr>
            <w:jc w:val="center"/>
            <w:rPr>
              <w:rFonts w:cs="Arial"/>
            </w:rPr>
          </w:pPr>
          <w:r w:rsidRPr="009F63CE">
            <w:rPr>
              <w:rFonts w:cs="Arial"/>
            </w:rPr>
            <w:br w:type="page"/>
          </w:r>
        </w:p>
      </w:sdtContent>
    </w:sdt>
    <w:bookmarkEnd w:id="1" w:displacedByCustomXml="next"/>
    <w:bookmarkEnd w:id="0" w:displacedByCustomXml="next"/>
    <w:bookmarkStart w:id="3" w:name="_Toc119407113" w:displacedByCustomXml="next"/>
    <w:bookmarkStart w:id="4" w:name="_Toc119317887" w:displacedByCustomXml="next"/>
    <w:bookmarkStart w:id="5" w:name="_Toc480797143" w:displacedByCustomXml="next"/>
    <w:bookmarkStart w:id="6" w:name="_Toc483987179" w:displacedByCustomXml="next"/>
    <w:sdt>
      <w:sdtPr>
        <w:rPr>
          <w:rFonts w:eastAsiaTheme="minorHAnsi" w:cstheme="minorBidi"/>
          <w:b w:val="0"/>
          <w:color w:val="000000" w:themeColor="text1"/>
          <w:sz w:val="22"/>
          <w:szCs w:val="22"/>
        </w:rPr>
        <w:id w:val="833957327"/>
        <w:docPartObj>
          <w:docPartGallery w:val="Table of Contents"/>
          <w:docPartUnique/>
        </w:docPartObj>
      </w:sdtPr>
      <w:sdtEndPr>
        <w:rPr>
          <w:bCs/>
          <w:noProof/>
        </w:rPr>
      </w:sdtEndPr>
      <w:sdtContent>
        <w:p w14:paraId="1CD0B28B" w14:textId="1F712C9F" w:rsidR="00E13E3A" w:rsidRDefault="00E13E3A" w:rsidP="00E13E3A">
          <w:pPr>
            <w:pStyle w:val="Heading1"/>
          </w:pPr>
          <w:r>
            <w:t>Contents</w:t>
          </w:r>
          <w:bookmarkEnd w:id="4"/>
          <w:bookmarkEnd w:id="3"/>
          <w:r w:rsidR="0073222C">
            <w:t xml:space="preserve"> | </w:t>
          </w:r>
          <w:r w:rsidR="0073222C" w:rsidRPr="0073222C">
            <w:t xml:space="preserve">Ngā </w:t>
          </w:r>
          <w:r w:rsidR="00D37774">
            <w:t>K</w:t>
          </w:r>
          <w:r w:rsidR="0073222C" w:rsidRPr="0073222C">
            <w:t>ōrero</w:t>
          </w:r>
        </w:p>
        <w:p w14:paraId="78CE7FD2" w14:textId="238209C2" w:rsidR="006F1BB7" w:rsidRDefault="00E13E3A">
          <w:pPr>
            <w:pStyle w:val="TOC1"/>
            <w:tabs>
              <w:tab w:val="right" w:leader="dot" w:pos="9016"/>
            </w:tabs>
            <w:rPr>
              <w:rFonts w:asciiTheme="minorHAnsi" w:eastAsiaTheme="minorEastAsia" w:hAnsiTheme="minorHAnsi"/>
              <w:noProof/>
              <w:color w:val="auto"/>
              <w:lang w:eastAsia="en-NZ"/>
            </w:rPr>
          </w:pPr>
          <w:r>
            <w:fldChar w:fldCharType="begin"/>
          </w:r>
          <w:r>
            <w:instrText xml:space="preserve"> TOC \o "1-3" \h \z \u </w:instrText>
          </w:r>
          <w:r>
            <w:fldChar w:fldCharType="separate"/>
          </w:r>
          <w:hyperlink w:anchor="_Toc119407114" w:history="1">
            <w:r w:rsidR="006F1BB7" w:rsidRPr="00244C76">
              <w:rPr>
                <w:rStyle w:val="Hyperlink"/>
                <w:noProof/>
              </w:rPr>
              <w:t>Definitions | Kupu Whakamārama</w:t>
            </w:r>
            <w:r w:rsidR="006F1BB7">
              <w:rPr>
                <w:noProof/>
                <w:webHidden/>
              </w:rPr>
              <w:tab/>
            </w:r>
            <w:r w:rsidR="006F1BB7">
              <w:rPr>
                <w:noProof/>
                <w:webHidden/>
              </w:rPr>
              <w:fldChar w:fldCharType="begin"/>
            </w:r>
            <w:r w:rsidR="006F1BB7">
              <w:rPr>
                <w:noProof/>
                <w:webHidden/>
              </w:rPr>
              <w:instrText xml:space="preserve"> PAGEREF _Toc119407114 \h </w:instrText>
            </w:r>
            <w:r w:rsidR="006F1BB7">
              <w:rPr>
                <w:noProof/>
                <w:webHidden/>
              </w:rPr>
            </w:r>
            <w:r w:rsidR="006F1BB7">
              <w:rPr>
                <w:noProof/>
                <w:webHidden/>
              </w:rPr>
              <w:fldChar w:fldCharType="separate"/>
            </w:r>
            <w:r w:rsidR="00025586">
              <w:rPr>
                <w:noProof/>
                <w:webHidden/>
              </w:rPr>
              <w:t>3</w:t>
            </w:r>
            <w:r w:rsidR="006F1BB7">
              <w:rPr>
                <w:noProof/>
                <w:webHidden/>
              </w:rPr>
              <w:fldChar w:fldCharType="end"/>
            </w:r>
          </w:hyperlink>
        </w:p>
        <w:p w14:paraId="250A95CC" w14:textId="0176748E" w:rsidR="006F1BB7" w:rsidRDefault="00381107">
          <w:pPr>
            <w:pStyle w:val="TOC2"/>
            <w:rPr>
              <w:rFonts w:asciiTheme="minorHAnsi" w:eastAsiaTheme="minorEastAsia" w:hAnsiTheme="minorHAnsi"/>
              <w:noProof/>
              <w:color w:val="auto"/>
              <w:lang w:eastAsia="en-NZ"/>
            </w:rPr>
          </w:pPr>
          <w:hyperlink w:anchor="_Toc119407115" w:history="1">
            <w:r w:rsidR="006F1BB7" w:rsidRPr="00244C76">
              <w:rPr>
                <w:rStyle w:val="Hyperlink"/>
                <w:noProof/>
              </w:rPr>
              <w:t>Mortality Definitions</w:t>
            </w:r>
            <w:r w:rsidR="006F1BB7">
              <w:rPr>
                <w:noProof/>
                <w:webHidden/>
              </w:rPr>
              <w:tab/>
            </w:r>
            <w:r w:rsidR="006F1BB7">
              <w:rPr>
                <w:noProof/>
                <w:webHidden/>
              </w:rPr>
              <w:fldChar w:fldCharType="begin"/>
            </w:r>
            <w:r w:rsidR="006F1BB7">
              <w:rPr>
                <w:noProof/>
                <w:webHidden/>
              </w:rPr>
              <w:instrText xml:space="preserve"> PAGEREF _Toc119407115 \h </w:instrText>
            </w:r>
            <w:r w:rsidR="006F1BB7">
              <w:rPr>
                <w:noProof/>
                <w:webHidden/>
              </w:rPr>
            </w:r>
            <w:r w:rsidR="006F1BB7">
              <w:rPr>
                <w:noProof/>
                <w:webHidden/>
              </w:rPr>
              <w:fldChar w:fldCharType="separate"/>
            </w:r>
            <w:r w:rsidR="00025586">
              <w:rPr>
                <w:noProof/>
                <w:webHidden/>
              </w:rPr>
              <w:t>3</w:t>
            </w:r>
            <w:r w:rsidR="006F1BB7">
              <w:rPr>
                <w:noProof/>
                <w:webHidden/>
              </w:rPr>
              <w:fldChar w:fldCharType="end"/>
            </w:r>
          </w:hyperlink>
        </w:p>
        <w:p w14:paraId="4D41FF87" w14:textId="2665BBF5" w:rsidR="006F1BB7" w:rsidRDefault="00381107">
          <w:pPr>
            <w:pStyle w:val="TOC2"/>
            <w:rPr>
              <w:rFonts w:asciiTheme="minorHAnsi" w:eastAsiaTheme="minorEastAsia" w:hAnsiTheme="minorHAnsi"/>
              <w:noProof/>
              <w:color w:val="auto"/>
              <w:lang w:eastAsia="en-NZ"/>
            </w:rPr>
          </w:pPr>
          <w:hyperlink w:anchor="_Toc119407131" w:history="1">
            <w:r w:rsidR="006F1BB7" w:rsidRPr="00244C76">
              <w:rPr>
                <w:rStyle w:val="Hyperlink"/>
                <w:noProof/>
              </w:rPr>
              <w:t>Other Definitions</w:t>
            </w:r>
            <w:r w:rsidR="006F1BB7">
              <w:rPr>
                <w:noProof/>
                <w:webHidden/>
              </w:rPr>
              <w:tab/>
            </w:r>
            <w:r w:rsidR="006F1BB7">
              <w:rPr>
                <w:noProof/>
                <w:webHidden/>
              </w:rPr>
              <w:fldChar w:fldCharType="begin"/>
            </w:r>
            <w:r w:rsidR="006F1BB7">
              <w:rPr>
                <w:noProof/>
                <w:webHidden/>
              </w:rPr>
              <w:instrText xml:space="preserve"> PAGEREF _Toc119407131 \h </w:instrText>
            </w:r>
            <w:r w:rsidR="006F1BB7">
              <w:rPr>
                <w:noProof/>
                <w:webHidden/>
              </w:rPr>
            </w:r>
            <w:r w:rsidR="006F1BB7">
              <w:rPr>
                <w:noProof/>
                <w:webHidden/>
              </w:rPr>
              <w:fldChar w:fldCharType="separate"/>
            </w:r>
            <w:r w:rsidR="00025586">
              <w:rPr>
                <w:noProof/>
                <w:webHidden/>
              </w:rPr>
              <w:t>6</w:t>
            </w:r>
            <w:r w:rsidR="006F1BB7">
              <w:rPr>
                <w:noProof/>
                <w:webHidden/>
              </w:rPr>
              <w:fldChar w:fldCharType="end"/>
            </w:r>
          </w:hyperlink>
        </w:p>
        <w:p w14:paraId="69FFAE0E" w14:textId="1D3B361E" w:rsidR="006F1BB7" w:rsidRDefault="00381107">
          <w:pPr>
            <w:pStyle w:val="TOC1"/>
            <w:tabs>
              <w:tab w:val="right" w:leader="dot" w:pos="9016"/>
            </w:tabs>
            <w:rPr>
              <w:rFonts w:asciiTheme="minorHAnsi" w:eastAsiaTheme="minorEastAsia" w:hAnsiTheme="minorHAnsi"/>
              <w:noProof/>
              <w:color w:val="auto"/>
              <w:lang w:eastAsia="en-NZ"/>
            </w:rPr>
          </w:pPr>
          <w:hyperlink w:anchor="_Toc119407143" w:history="1">
            <w:r w:rsidR="006F1BB7" w:rsidRPr="00244C76">
              <w:rPr>
                <w:rStyle w:val="Hyperlink"/>
                <w:noProof/>
              </w:rPr>
              <w:t>Numerator Data | Raraunga Taurunga</w:t>
            </w:r>
            <w:r w:rsidR="006F1BB7">
              <w:rPr>
                <w:noProof/>
                <w:webHidden/>
              </w:rPr>
              <w:tab/>
            </w:r>
            <w:r w:rsidR="006F1BB7">
              <w:rPr>
                <w:noProof/>
                <w:webHidden/>
              </w:rPr>
              <w:fldChar w:fldCharType="begin"/>
            </w:r>
            <w:r w:rsidR="006F1BB7">
              <w:rPr>
                <w:noProof/>
                <w:webHidden/>
              </w:rPr>
              <w:instrText xml:space="preserve"> PAGEREF _Toc119407143 \h </w:instrText>
            </w:r>
            <w:r w:rsidR="006F1BB7">
              <w:rPr>
                <w:noProof/>
                <w:webHidden/>
              </w:rPr>
            </w:r>
            <w:r w:rsidR="006F1BB7">
              <w:rPr>
                <w:noProof/>
                <w:webHidden/>
              </w:rPr>
              <w:fldChar w:fldCharType="separate"/>
            </w:r>
            <w:r w:rsidR="00025586">
              <w:rPr>
                <w:noProof/>
                <w:webHidden/>
              </w:rPr>
              <w:t>11</w:t>
            </w:r>
            <w:r w:rsidR="006F1BB7">
              <w:rPr>
                <w:noProof/>
                <w:webHidden/>
              </w:rPr>
              <w:fldChar w:fldCharType="end"/>
            </w:r>
          </w:hyperlink>
        </w:p>
        <w:p w14:paraId="10C536A4" w14:textId="74C54627" w:rsidR="006F1BB7" w:rsidRDefault="00381107">
          <w:pPr>
            <w:pStyle w:val="TOC2"/>
            <w:rPr>
              <w:rFonts w:asciiTheme="minorHAnsi" w:eastAsiaTheme="minorEastAsia" w:hAnsiTheme="minorHAnsi"/>
              <w:noProof/>
              <w:color w:val="auto"/>
              <w:lang w:eastAsia="en-NZ"/>
            </w:rPr>
          </w:pPr>
          <w:hyperlink w:anchor="_Toc119407144" w:history="1">
            <w:r w:rsidR="006F1BB7" w:rsidRPr="00244C76">
              <w:rPr>
                <w:rStyle w:val="Hyperlink"/>
                <w:noProof/>
              </w:rPr>
              <w:t>Case Ascertainment and Data Collection</w:t>
            </w:r>
            <w:r w:rsidR="006F1BB7">
              <w:rPr>
                <w:noProof/>
                <w:webHidden/>
              </w:rPr>
              <w:tab/>
            </w:r>
            <w:r w:rsidR="006F1BB7">
              <w:rPr>
                <w:noProof/>
                <w:webHidden/>
              </w:rPr>
              <w:fldChar w:fldCharType="begin"/>
            </w:r>
            <w:r w:rsidR="006F1BB7">
              <w:rPr>
                <w:noProof/>
                <w:webHidden/>
              </w:rPr>
              <w:instrText xml:space="preserve"> PAGEREF _Toc119407144 \h </w:instrText>
            </w:r>
            <w:r w:rsidR="006F1BB7">
              <w:rPr>
                <w:noProof/>
                <w:webHidden/>
              </w:rPr>
            </w:r>
            <w:r w:rsidR="006F1BB7">
              <w:rPr>
                <w:noProof/>
                <w:webHidden/>
              </w:rPr>
              <w:fldChar w:fldCharType="separate"/>
            </w:r>
            <w:r w:rsidR="00025586">
              <w:rPr>
                <w:noProof/>
                <w:webHidden/>
              </w:rPr>
              <w:t>11</w:t>
            </w:r>
            <w:r w:rsidR="006F1BB7">
              <w:rPr>
                <w:noProof/>
                <w:webHidden/>
              </w:rPr>
              <w:fldChar w:fldCharType="end"/>
            </w:r>
          </w:hyperlink>
        </w:p>
        <w:p w14:paraId="6D20B84A" w14:textId="491CED20" w:rsidR="006F1BB7" w:rsidRDefault="00381107">
          <w:pPr>
            <w:pStyle w:val="TOC1"/>
            <w:tabs>
              <w:tab w:val="right" w:leader="dot" w:pos="9016"/>
            </w:tabs>
            <w:rPr>
              <w:rFonts w:asciiTheme="minorHAnsi" w:eastAsiaTheme="minorEastAsia" w:hAnsiTheme="minorHAnsi"/>
              <w:noProof/>
              <w:color w:val="auto"/>
              <w:lang w:eastAsia="en-NZ"/>
            </w:rPr>
          </w:pPr>
          <w:hyperlink w:anchor="_Toc119407149" w:history="1">
            <w:r w:rsidR="006F1BB7" w:rsidRPr="00244C76">
              <w:rPr>
                <w:rStyle w:val="Hyperlink"/>
                <w:noProof/>
              </w:rPr>
              <w:t>Denominator Data | Raraunga Tauraro</w:t>
            </w:r>
            <w:r w:rsidR="006F1BB7">
              <w:rPr>
                <w:noProof/>
                <w:webHidden/>
              </w:rPr>
              <w:tab/>
            </w:r>
            <w:r w:rsidR="006F1BB7">
              <w:rPr>
                <w:noProof/>
                <w:webHidden/>
              </w:rPr>
              <w:fldChar w:fldCharType="begin"/>
            </w:r>
            <w:r w:rsidR="006F1BB7">
              <w:rPr>
                <w:noProof/>
                <w:webHidden/>
              </w:rPr>
              <w:instrText xml:space="preserve"> PAGEREF _Toc119407149 \h </w:instrText>
            </w:r>
            <w:r w:rsidR="006F1BB7">
              <w:rPr>
                <w:noProof/>
                <w:webHidden/>
              </w:rPr>
            </w:r>
            <w:r w:rsidR="006F1BB7">
              <w:rPr>
                <w:noProof/>
                <w:webHidden/>
              </w:rPr>
              <w:fldChar w:fldCharType="separate"/>
            </w:r>
            <w:r w:rsidR="00025586">
              <w:rPr>
                <w:noProof/>
                <w:webHidden/>
              </w:rPr>
              <w:t>15</w:t>
            </w:r>
            <w:r w:rsidR="006F1BB7">
              <w:rPr>
                <w:noProof/>
                <w:webHidden/>
              </w:rPr>
              <w:fldChar w:fldCharType="end"/>
            </w:r>
          </w:hyperlink>
        </w:p>
        <w:p w14:paraId="1B4AF3A9" w14:textId="250DC8E5" w:rsidR="006F1BB7" w:rsidRDefault="00381107">
          <w:pPr>
            <w:pStyle w:val="TOC2"/>
            <w:rPr>
              <w:rFonts w:asciiTheme="minorHAnsi" w:eastAsiaTheme="minorEastAsia" w:hAnsiTheme="minorHAnsi"/>
              <w:noProof/>
              <w:color w:val="auto"/>
              <w:lang w:eastAsia="en-NZ"/>
            </w:rPr>
          </w:pPr>
          <w:hyperlink w:anchor="_Toc119407150" w:history="1">
            <w:r w:rsidR="006F1BB7" w:rsidRPr="00244C76">
              <w:rPr>
                <w:rStyle w:val="Hyperlink"/>
                <w:noProof/>
              </w:rPr>
              <w:t>MAT</w:t>
            </w:r>
            <w:r w:rsidR="006F1BB7">
              <w:rPr>
                <w:noProof/>
                <w:webHidden/>
              </w:rPr>
              <w:tab/>
            </w:r>
            <w:r w:rsidR="006F1BB7">
              <w:rPr>
                <w:noProof/>
                <w:webHidden/>
              </w:rPr>
              <w:tab/>
            </w:r>
            <w:r w:rsidR="006F1BB7">
              <w:rPr>
                <w:noProof/>
                <w:webHidden/>
              </w:rPr>
              <w:fldChar w:fldCharType="begin"/>
            </w:r>
            <w:r w:rsidR="006F1BB7">
              <w:rPr>
                <w:noProof/>
                <w:webHidden/>
              </w:rPr>
              <w:instrText xml:space="preserve"> PAGEREF _Toc119407150 \h </w:instrText>
            </w:r>
            <w:r w:rsidR="006F1BB7">
              <w:rPr>
                <w:noProof/>
                <w:webHidden/>
              </w:rPr>
            </w:r>
            <w:r w:rsidR="006F1BB7">
              <w:rPr>
                <w:noProof/>
                <w:webHidden/>
              </w:rPr>
              <w:fldChar w:fldCharType="separate"/>
            </w:r>
            <w:r w:rsidR="00025586">
              <w:rPr>
                <w:noProof/>
                <w:webHidden/>
              </w:rPr>
              <w:t>15</w:t>
            </w:r>
            <w:r w:rsidR="006F1BB7">
              <w:rPr>
                <w:noProof/>
                <w:webHidden/>
              </w:rPr>
              <w:fldChar w:fldCharType="end"/>
            </w:r>
          </w:hyperlink>
        </w:p>
        <w:p w14:paraId="49BE3366" w14:textId="76188214" w:rsidR="006F1BB7" w:rsidRDefault="00381107">
          <w:pPr>
            <w:pStyle w:val="TOC2"/>
            <w:rPr>
              <w:rFonts w:asciiTheme="minorHAnsi" w:eastAsiaTheme="minorEastAsia" w:hAnsiTheme="minorHAnsi"/>
              <w:noProof/>
              <w:color w:val="auto"/>
              <w:lang w:eastAsia="en-NZ"/>
            </w:rPr>
          </w:pPr>
          <w:hyperlink w:anchor="_Toc119407153" w:history="1">
            <w:r w:rsidR="006F1BB7" w:rsidRPr="00244C76">
              <w:rPr>
                <w:rStyle w:val="Hyperlink"/>
                <w:noProof/>
              </w:rPr>
              <w:t>Data Analysis</w:t>
            </w:r>
            <w:r w:rsidR="006F1BB7">
              <w:rPr>
                <w:noProof/>
                <w:webHidden/>
              </w:rPr>
              <w:tab/>
            </w:r>
            <w:r w:rsidR="006F1BB7">
              <w:rPr>
                <w:noProof/>
                <w:webHidden/>
              </w:rPr>
              <w:fldChar w:fldCharType="begin"/>
            </w:r>
            <w:r w:rsidR="006F1BB7">
              <w:rPr>
                <w:noProof/>
                <w:webHidden/>
              </w:rPr>
              <w:instrText xml:space="preserve"> PAGEREF _Toc119407153 \h </w:instrText>
            </w:r>
            <w:r w:rsidR="006F1BB7">
              <w:rPr>
                <w:noProof/>
                <w:webHidden/>
              </w:rPr>
            </w:r>
            <w:r w:rsidR="006F1BB7">
              <w:rPr>
                <w:noProof/>
                <w:webHidden/>
              </w:rPr>
              <w:fldChar w:fldCharType="separate"/>
            </w:r>
            <w:r w:rsidR="00025586">
              <w:rPr>
                <w:noProof/>
                <w:webHidden/>
              </w:rPr>
              <w:t>18</w:t>
            </w:r>
            <w:r w:rsidR="006F1BB7">
              <w:rPr>
                <w:noProof/>
                <w:webHidden/>
              </w:rPr>
              <w:fldChar w:fldCharType="end"/>
            </w:r>
          </w:hyperlink>
        </w:p>
        <w:p w14:paraId="0A3DCF78" w14:textId="1D29178D" w:rsidR="006F1BB7" w:rsidRDefault="00381107">
          <w:pPr>
            <w:pStyle w:val="TOC1"/>
            <w:tabs>
              <w:tab w:val="right" w:leader="dot" w:pos="9016"/>
            </w:tabs>
            <w:rPr>
              <w:rFonts w:asciiTheme="minorHAnsi" w:eastAsiaTheme="minorEastAsia" w:hAnsiTheme="minorHAnsi"/>
              <w:noProof/>
              <w:color w:val="auto"/>
              <w:lang w:eastAsia="en-NZ"/>
            </w:rPr>
          </w:pPr>
          <w:hyperlink w:anchor="_Toc119407162" w:history="1">
            <w:r w:rsidR="006F1BB7" w:rsidRPr="00244C76">
              <w:rPr>
                <w:rStyle w:val="Hyperlink"/>
                <w:noProof/>
              </w:rPr>
              <w:t xml:space="preserve">List of Abbreviations | Rārangi </w:t>
            </w:r>
            <w:r w:rsidR="0045739C">
              <w:rPr>
                <w:rStyle w:val="Hyperlink"/>
                <w:noProof/>
              </w:rPr>
              <w:t>W</w:t>
            </w:r>
            <w:r w:rsidR="006F1BB7" w:rsidRPr="00244C76">
              <w:rPr>
                <w:rStyle w:val="Hyperlink"/>
                <w:noProof/>
              </w:rPr>
              <w:t>hakapotonga</w:t>
            </w:r>
            <w:r w:rsidR="006F1BB7">
              <w:rPr>
                <w:noProof/>
                <w:webHidden/>
              </w:rPr>
              <w:tab/>
            </w:r>
            <w:r w:rsidR="006F1BB7">
              <w:rPr>
                <w:noProof/>
                <w:webHidden/>
              </w:rPr>
              <w:fldChar w:fldCharType="begin"/>
            </w:r>
            <w:r w:rsidR="006F1BB7">
              <w:rPr>
                <w:noProof/>
                <w:webHidden/>
              </w:rPr>
              <w:instrText xml:space="preserve"> PAGEREF _Toc119407162 \h </w:instrText>
            </w:r>
            <w:r w:rsidR="006F1BB7">
              <w:rPr>
                <w:noProof/>
                <w:webHidden/>
              </w:rPr>
            </w:r>
            <w:r w:rsidR="006F1BB7">
              <w:rPr>
                <w:noProof/>
                <w:webHidden/>
              </w:rPr>
              <w:fldChar w:fldCharType="separate"/>
            </w:r>
            <w:r w:rsidR="00025586">
              <w:rPr>
                <w:noProof/>
                <w:webHidden/>
              </w:rPr>
              <w:t>21</w:t>
            </w:r>
            <w:r w:rsidR="006F1BB7">
              <w:rPr>
                <w:noProof/>
                <w:webHidden/>
              </w:rPr>
              <w:fldChar w:fldCharType="end"/>
            </w:r>
          </w:hyperlink>
        </w:p>
        <w:p w14:paraId="004CD257" w14:textId="64AE2394" w:rsidR="006F1BB7" w:rsidRDefault="00381107">
          <w:pPr>
            <w:pStyle w:val="TOC1"/>
            <w:tabs>
              <w:tab w:val="right" w:leader="dot" w:pos="9016"/>
            </w:tabs>
            <w:rPr>
              <w:rFonts w:asciiTheme="minorHAnsi" w:eastAsiaTheme="minorEastAsia" w:hAnsiTheme="minorHAnsi"/>
              <w:noProof/>
              <w:color w:val="auto"/>
              <w:lang w:eastAsia="en-NZ"/>
            </w:rPr>
          </w:pPr>
          <w:hyperlink w:anchor="_Toc119407163" w:history="1">
            <w:r w:rsidR="006F1BB7" w:rsidRPr="00244C76">
              <w:rPr>
                <w:rStyle w:val="Hyperlink"/>
                <w:noProof/>
              </w:rPr>
              <w:t>References | Tohutoro</w:t>
            </w:r>
            <w:r w:rsidR="006F1BB7">
              <w:rPr>
                <w:noProof/>
                <w:webHidden/>
              </w:rPr>
              <w:tab/>
            </w:r>
            <w:r w:rsidR="006F1BB7">
              <w:rPr>
                <w:noProof/>
                <w:webHidden/>
              </w:rPr>
              <w:fldChar w:fldCharType="begin"/>
            </w:r>
            <w:r w:rsidR="006F1BB7">
              <w:rPr>
                <w:noProof/>
                <w:webHidden/>
              </w:rPr>
              <w:instrText xml:space="preserve"> PAGEREF _Toc119407163 \h </w:instrText>
            </w:r>
            <w:r w:rsidR="006F1BB7">
              <w:rPr>
                <w:noProof/>
                <w:webHidden/>
              </w:rPr>
            </w:r>
            <w:r w:rsidR="006F1BB7">
              <w:rPr>
                <w:noProof/>
                <w:webHidden/>
              </w:rPr>
              <w:fldChar w:fldCharType="separate"/>
            </w:r>
            <w:r w:rsidR="00025586">
              <w:rPr>
                <w:noProof/>
                <w:webHidden/>
              </w:rPr>
              <w:t>22</w:t>
            </w:r>
            <w:r w:rsidR="006F1BB7">
              <w:rPr>
                <w:noProof/>
                <w:webHidden/>
              </w:rPr>
              <w:fldChar w:fldCharType="end"/>
            </w:r>
          </w:hyperlink>
        </w:p>
        <w:p w14:paraId="0D5E50FF" w14:textId="1E2DF95F" w:rsidR="00E13E3A" w:rsidRDefault="00E13E3A">
          <w:pPr>
            <w:rPr>
              <w:b/>
              <w:bCs/>
              <w:noProof/>
            </w:rPr>
          </w:pPr>
          <w:r>
            <w:rPr>
              <w:b/>
              <w:bCs/>
              <w:noProof/>
            </w:rPr>
            <w:fldChar w:fldCharType="end"/>
          </w:r>
        </w:p>
      </w:sdtContent>
    </w:sdt>
    <w:p w14:paraId="5572240F" w14:textId="4C05AD70" w:rsidR="00DF54BD" w:rsidRDefault="00DF54BD" w:rsidP="00DF54BD">
      <w:r>
        <w:t xml:space="preserve">Published in December 2022 by the Perinatal and Maternal Mortality Review Committee, </w:t>
      </w:r>
      <w:r w:rsidR="00CE269B">
        <w:br/>
      </w:r>
      <w:r>
        <w:t>PO Box 25496, Wellington 6146, New Zealand</w:t>
      </w:r>
    </w:p>
    <w:p w14:paraId="72426D51" w14:textId="40EB6BE4" w:rsidR="00CE269B" w:rsidRDefault="00DF54BD" w:rsidP="00CE269B">
      <w:r>
        <w:t xml:space="preserve">The document is </w:t>
      </w:r>
      <w:r w:rsidR="00CE269B">
        <w:t xml:space="preserve">a companion piece to: Perinatal and Maternal Mortality Review Committee. 2022. </w:t>
      </w:r>
      <w:r w:rsidR="00CE269B" w:rsidRPr="00CE269B">
        <w:rPr>
          <w:i/>
          <w:iCs/>
        </w:rPr>
        <w:t>Fifteenth Annual Report of the Perinatal and Maternal Mortality Review Committee | Te Pūrongo ā-Tau Tekau mā Rima o te Komiti Arotake Mate Pēpi, Mate Whaea Hoki: Reporting Mortality and Morbidity 2020</w:t>
      </w:r>
      <w:r w:rsidR="00CE269B">
        <w:t xml:space="preserve"> | Te Tuku Pūrongo mō te Mate me te Whakamate 2020. Wellington: Health Quality &amp; Safety Commission.</w:t>
      </w:r>
    </w:p>
    <w:p w14:paraId="4D005EE1" w14:textId="729AAABF" w:rsidR="00DF54BD" w:rsidRDefault="00CE269B" w:rsidP="00DF54BD">
      <w:r>
        <w:t xml:space="preserve">It is </w:t>
      </w:r>
      <w:r w:rsidR="00DF54BD">
        <w:t xml:space="preserve">available online at: </w:t>
      </w:r>
      <w:hyperlink r:id="rId16" w:history="1">
        <w:r w:rsidR="0045739C" w:rsidRPr="00805A28">
          <w:rPr>
            <w:rStyle w:val="Hyperlink"/>
          </w:rPr>
          <w:t>www.hqsc.govt.nz/our-programmes/mrc/pmmrc</w:t>
        </w:r>
      </w:hyperlink>
      <w:r w:rsidR="0045739C">
        <w:t xml:space="preserve"> </w:t>
      </w:r>
    </w:p>
    <w:p w14:paraId="2EC03274" w14:textId="77777777" w:rsidR="00450201" w:rsidRPr="009F63CE" w:rsidRDefault="00450201" w:rsidP="002D24D2">
      <w:pPr>
        <w:pStyle w:val="Heading2"/>
      </w:pPr>
      <w:r w:rsidRPr="009F63CE">
        <w:br w:type="page"/>
      </w:r>
    </w:p>
    <w:p w14:paraId="58A1ACC9" w14:textId="5EFA67F5" w:rsidR="009327A9" w:rsidRPr="009F63CE" w:rsidRDefault="009327A9" w:rsidP="002D24D2">
      <w:pPr>
        <w:pStyle w:val="Heading1"/>
      </w:pPr>
      <w:bookmarkStart w:id="7" w:name="_Methodology"/>
      <w:bookmarkStart w:id="8" w:name="_Toc119407114"/>
      <w:bookmarkStart w:id="9" w:name="_Toc480971552"/>
      <w:bookmarkStart w:id="10" w:name="_Toc483987182"/>
      <w:bookmarkEnd w:id="6"/>
      <w:bookmarkEnd w:id="5"/>
      <w:bookmarkEnd w:id="7"/>
      <w:r w:rsidRPr="002D24D2">
        <w:lastRenderedPageBreak/>
        <w:t>Definitions</w:t>
      </w:r>
      <w:r w:rsidR="00C25070">
        <w:t xml:space="preserve"> | </w:t>
      </w:r>
      <w:r w:rsidR="00C25070" w:rsidRPr="00C25070">
        <w:t xml:space="preserve">Kupu </w:t>
      </w:r>
      <w:r w:rsidR="00AE5360">
        <w:t>W</w:t>
      </w:r>
      <w:r w:rsidR="00C25070" w:rsidRPr="00C25070">
        <w:t>hakamārama</w:t>
      </w:r>
      <w:bookmarkEnd w:id="8"/>
    </w:p>
    <w:p w14:paraId="4D6E90E2" w14:textId="483E5E23" w:rsidR="009327A9" w:rsidRPr="009F63CE" w:rsidRDefault="008C4ED4" w:rsidP="002D24D2">
      <w:pPr>
        <w:pStyle w:val="Heading2"/>
      </w:pPr>
      <w:bookmarkStart w:id="11" w:name="_Toc119317625"/>
      <w:bookmarkStart w:id="12" w:name="_Toc119407115"/>
      <w:r w:rsidRPr="009F63CE">
        <w:t>M</w:t>
      </w:r>
      <w:r w:rsidR="009327A9" w:rsidRPr="009F63CE">
        <w:t>ortality</w:t>
      </w:r>
      <w:r w:rsidRPr="009F63CE">
        <w:t xml:space="preserve"> </w:t>
      </w:r>
      <w:r w:rsidR="00AC3547" w:rsidRPr="002D24D2">
        <w:t>Definitions</w:t>
      </w:r>
      <w:bookmarkEnd w:id="11"/>
      <w:bookmarkEnd w:id="12"/>
    </w:p>
    <w:p w14:paraId="25B8FD3A" w14:textId="06319504" w:rsidR="00BA68F7" w:rsidRDefault="00BA68F7" w:rsidP="002D24D2">
      <w:pPr>
        <w:pStyle w:val="H3"/>
      </w:pPr>
      <w:bookmarkStart w:id="13" w:name="_Toc119317814"/>
      <w:bookmarkStart w:id="14" w:name="_Toc119317890"/>
      <w:bookmarkStart w:id="15" w:name="_Toc119407116"/>
      <w:r w:rsidRPr="009F63CE">
        <w:t>Perinatal and infant mortality</w:t>
      </w:r>
      <w:bookmarkEnd w:id="13"/>
      <w:bookmarkEnd w:id="14"/>
      <w:bookmarkEnd w:id="15"/>
    </w:p>
    <w:p w14:paraId="16C9AB13" w14:textId="77777777" w:rsidR="006950D8" w:rsidRDefault="006950D8" w:rsidP="006950D8">
      <w:pPr>
        <w:pStyle w:val="BodyText"/>
        <w:jc w:val="center"/>
      </w:pPr>
      <w:r w:rsidRPr="009F63CE">
        <w:rPr>
          <w:rFonts w:cs="Arial"/>
          <w:noProof/>
          <w:lang w:eastAsia="en-NZ"/>
        </w:rPr>
        <mc:AlternateContent>
          <mc:Choice Requires="wpg">
            <w:drawing>
              <wp:inline distT="0" distB="0" distL="0" distR="0" wp14:anchorId="51B4A768" wp14:editId="1A8720C4">
                <wp:extent cx="5233035" cy="2223770"/>
                <wp:effectExtent l="38100" t="0" r="5715" b="4318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3035" cy="2223770"/>
                          <a:chOff x="1770" y="5697"/>
                          <a:chExt cx="8241" cy="3502"/>
                        </a:xfrm>
                      </wpg:grpSpPr>
                      <wps:wsp>
                        <wps:cNvPr id="35" name="Text Box 56"/>
                        <wps:cNvSpPr txBox="1">
                          <a:spLocks noChangeArrowheads="1"/>
                        </wps:cNvSpPr>
                        <wps:spPr bwMode="auto">
                          <a:xfrm>
                            <a:off x="2081" y="5697"/>
                            <a:ext cx="7930"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BF7C8" w14:textId="77777777" w:rsidR="00384455" w:rsidRPr="006950D8" w:rsidRDefault="00384455" w:rsidP="006950D8">
                              <w:pPr>
                                <w:tabs>
                                  <w:tab w:val="left" w:pos="1276"/>
                                  <w:tab w:val="left" w:pos="3119"/>
                                  <w:tab w:val="left" w:pos="5103"/>
                                  <w:tab w:val="left" w:pos="6946"/>
                                </w:tabs>
                                <w:rPr>
                                  <w:b/>
                                  <w:bCs/>
                                  <w:color w:val="FF0000"/>
                                  <w:sz w:val="18"/>
                                  <w:szCs w:val="18"/>
                                </w:rPr>
                              </w:pPr>
                              <w:r w:rsidRPr="006950D8">
                                <w:rPr>
                                  <w:b/>
                                  <w:bCs/>
                                  <w:color w:val="FF0000"/>
                                  <w:sz w:val="18"/>
                                  <w:szCs w:val="18"/>
                                </w:rPr>
                                <w:t>Gestation</w:t>
                              </w:r>
                              <w:r w:rsidRPr="006950D8">
                                <w:rPr>
                                  <w:b/>
                                  <w:bCs/>
                                  <w:color w:val="FF0000"/>
                                  <w:sz w:val="18"/>
                                  <w:szCs w:val="18"/>
                                </w:rPr>
                                <w:tab/>
                                <w:t>Birth</w:t>
                              </w:r>
                              <w:r w:rsidRPr="006950D8">
                                <w:rPr>
                                  <w:b/>
                                  <w:bCs/>
                                  <w:color w:val="FF0000"/>
                                  <w:sz w:val="18"/>
                                  <w:szCs w:val="18"/>
                                </w:rPr>
                                <w:tab/>
                                <w:t>7 days</w:t>
                              </w:r>
                              <w:r w:rsidRPr="006950D8">
                                <w:rPr>
                                  <w:b/>
                                  <w:bCs/>
                                  <w:color w:val="FF0000"/>
                                  <w:sz w:val="18"/>
                                  <w:szCs w:val="18"/>
                                </w:rPr>
                                <w:tab/>
                                <w:t>28 days</w:t>
                              </w:r>
                              <w:r w:rsidRPr="006950D8">
                                <w:rPr>
                                  <w:b/>
                                  <w:bCs/>
                                  <w:color w:val="FF0000"/>
                                  <w:sz w:val="18"/>
                                  <w:szCs w:val="18"/>
                                </w:rPr>
                                <w:tab/>
                                <w:t>1 year</w:t>
                              </w:r>
                            </w:p>
                          </w:txbxContent>
                        </wps:txbx>
                        <wps:bodyPr rot="0" vert="horz" wrap="square" lIns="91440" tIns="45720" rIns="91440" bIns="45720" anchor="t" anchorCtr="0" upright="1">
                          <a:noAutofit/>
                        </wps:bodyPr>
                      </wps:wsp>
                      <wps:wsp>
                        <wps:cNvPr id="36" name="AutoShape 57"/>
                        <wps:cNvCnPr>
                          <a:cxnSpLocks noChangeShapeType="1"/>
                        </wps:cNvCnPr>
                        <wps:spPr bwMode="auto">
                          <a:xfrm>
                            <a:off x="1770" y="6033"/>
                            <a:ext cx="77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58"/>
                        <wps:cNvCnPr>
                          <a:cxnSpLocks noChangeShapeType="1"/>
                        </wps:cNvCnPr>
                        <wps:spPr bwMode="auto">
                          <a:xfrm>
                            <a:off x="3702" y="6017"/>
                            <a:ext cx="1" cy="316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59"/>
                        <wps:cNvCnPr>
                          <a:cxnSpLocks noChangeShapeType="1"/>
                        </wps:cNvCnPr>
                        <wps:spPr bwMode="auto">
                          <a:xfrm>
                            <a:off x="1770" y="6017"/>
                            <a:ext cx="1" cy="316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60"/>
                        <wps:cNvCnPr>
                          <a:cxnSpLocks noChangeShapeType="1"/>
                        </wps:cNvCnPr>
                        <wps:spPr bwMode="auto">
                          <a:xfrm>
                            <a:off x="5625" y="6033"/>
                            <a:ext cx="1" cy="3151"/>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61"/>
                        <wps:cNvCnPr>
                          <a:cxnSpLocks noChangeShapeType="1"/>
                        </wps:cNvCnPr>
                        <wps:spPr bwMode="auto">
                          <a:xfrm>
                            <a:off x="7620" y="6017"/>
                            <a:ext cx="1" cy="316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2"/>
                        <wps:cNvCnPr>
                          <a:cxnSpLocks noChangeShapeType="1"/>
                        </wps:cNvCnPr>
                        <wps:spPr bwMode="auto">
                          <a:xfrm>
                            <a:off x="9465" y="6017"/>
                            <a:ext cx="1" cy="3182"/>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Text Box 63"/>
                        <wps:cNvSpPr txBox="1">
                          <a:spLocks noChangeArrowheads="1"/>
                        </wps:cNvSpPr>
                        <wps:spPr bwMode="auto">
                          <a:xfrm>
                            <a:off x="1826" y="6122"/>
                            <a:ext cx="1834"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D76A4" w14:textId="77777777" w:rsidR="00384455" w:rsidRDefault="00384455" w:rsidP="006950D8">
                              <w:pPr>
                                <w:spacing w:after="80"/>
                                <w:jc w:val="center"/>
                                <w:rPr>
                                  <w:b/>
                                  <w:bCs/>
                                  <w:sz w:val="16"/>
                                  <w:szCs w:val="16"/>
                                </w:rPr>
                              </w:pPr>
                              <w:r>
                                <w:rPr>
                                  <w:b/>
                                  <w:bCs/>
                                  <w:sz w:val="16"/>
                                  <w:szCs w:val="16"/>
                                </w:rPr>
                                <w:t>20 weeks or more</w:t>
                              </w:r>
                            </w:p>
                            <w:p w14:paraId="22FD5A41" w14:textId="77777777" w:rsidR="00384455" w:rsidRDefault="00384455" w:rsidP="006950D8">
                              <w:pPr>
                                <w:spacing w:after="80"/>
                                <w:jc w:val="center"/>
                                <w:rPr>
                                  <w:b/>
                                  <w:bCs/>
                                  <w:sz w:val="16"/>
                                  <w:szCs w:val="16"/>
                                </w:rPr>
                              </w:pPr>
                              <w:r>
                                <w:rPr>
                                  <w:b/>
                                  <w:bCs/>
                                  <w:sz w:val="16"/>
                                  <w:szCs w:val="16"/>
                                </w:rPr>
                                <w:t>or</w:t>
                              </w:r>
                            </w:p>
                            <w:p w14:paraId="6C7C4002" w14:textId="77777777" w:rsidR="00384455" w:rsidRDefault="00384455" w:rsidP="006950D8">
                              <w:pPr>
                                <w:spacing w:after="80"/>
                                <w:jc w:val="center"/>
                                <w:rPr>
                                  <w:b/>
                                  <w:bCs/>
                                  <w:sz w:val="16"/>
                                  <w:szCs w:val="16"/>
                                </w:rPr>
                              </w:pPr>
                              <w:r>
                                <w:rPr>
                                  <w:b/>
                                  <w:bCs/>
                                  <w:sz w:val="16"/>
                                  <w:szCs w:val="16"/>
                                </w:rPr>
                                <w:t>≥400 grams birthweight</w:t>
                              </w:r>
                            </w:p>
                          </w:txbxContent>
                        </wps:txbx>
                        <wps:bodyPr rot="0" vert="horz" wrap="square" lIns="36000" tIns="45720" rIns="36000" bIns="36000" anchor="t" anchorCtr="0" upright="1">
                          <a:noAutofit/>
                        </wps:bodyPr>
                      </wps:wsp>
                      <wps:wsp>
                        <wps:cNvPr id="43" name="Text Box 64"/>
                        <wps:cNvSpPr txBox="1">
                          <a:spLocks noChangeArrowheads="1"/>
                        </wps:cNvSpPr>
                        <wps:spPr bwMode="auto">
                          <a:xfrm>
                            <a:off x="3859" y="6391"/>
                            <a:ext cx="1474"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0891B" w14:textId="77777777" w:rsidR="00384455" w:rsidRDefault="00384455" w:rsidP="006950D8">
                              <w:pPr>
                                <w:spacing w:after="80"/>
                                <w:jc w:val="center"/>
                                <w:rPr>
                                  <w:b/>
                                  <w:bCs/>
                                  <w:sz w:val="16"/>
                                  <w:szCs w:val="16"/>
                                </w:rPr>
                              </w:pPr>
                              <w:r>
                                <w:rPr>
                                  <w:b/>
                                  <w:bCs/>
                                  <w:sz w:val="16"/>
                                  <w:szCs w:val="16"/>
                                </w:rPr>
                                <w:t>0–&lt;7 days</w:t>
                              </w:r>
                            </w:p>
                          </w:txbxContent>
                        </wps:txbx>
                        <wps:bodyPr rot="0" vert="horz" wrap="square" lIns="91440" tIns="45720" rIns="91440" bIns="45720" anchor="t" anchorCtr="0" upright="1">
                          <a:noAutofit/>
                        </wps:bodyPr>
                      </wps:wsp>
                      <wps:wsp>
                        <wps:cNvPr id="44" name="Text Box 65"/>
                        <wps:cNvSpPr txBox="1">
                          <a:spLocks noChangeArrowheads="1"/>
                        </wps:cNvSpPr>
                        <wps:spPr bwMode="auto">
                          <a:xfrm>
                            <a:off x="5897" y="6415"/>
                            <a:ext cx="1474" cy="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8BEBB" w14:textId="77777777" w:rsidR="00384455" w:rsidRDefault="00384455" w:rsidP="006950D8">
                              <w:pPr>
                                <w:spacing w:after="80"/>
                                <w:jc w:val="center"/>
                                <w:rPr>
                                  <w:b/>
                                  <w:bCs/>
                                  <w:sz w:val="16"/>
                                  <w:szCs w:val="16"/>
                                </w:rPr>
                              </w:pPr>
                              <w:r>
                                <w:rPr>
                                  <w:b/>
                                  <w:bCs/>
                                  <w:sz w:val="16"/>
                                  <w:szCs w:val="16"/>
                                </w:rPr>
                                <w:t>7–27 days</w:t>
                              </w:r>
                            </w:p>
                          </w:txbxContent>
                        </wps:txbx>
                        <wps:bodyPr rot="0" vert="horz" wrap="square" lIns="91440" tIns="45720" rIns="91440" bIns="45720" anchor="t" anchorCtr="0" upright="1">
                          <a:noAutofit/>
                        </wps:bodyPr>
                      </wps:wsp>
                      <wps:wsp>
                        <wps:cNvPr id="45" name="Text Box 66"/>
                        <wps:cNvSpPr txBox="1">
                          <a:spLocks noChangeArrowheads="1"/>
                        </wps:cNvSpPr>
                        <wps:spPr bwMode="auto">
                          <a:xfrm>
                            <a:off x="7658" y="6415"/>
                            <a:ext cx="1762" cy="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9D164" w14:textId="77777777" w:rsidR="00384455" w:rsidRDefault="00384455" w:rsidP="006950D8">
                              <w:pPr>
                                <w:spacing w:after="80"/>
                                <w:jc w:val="center"/>
                                <w:rPr>
                                  <w:b/>
                                  <w:bCs/>
                                  <w:sz w:val="16"/>
                                  <w:szCs w:val="16"/>
                                </w:rPr>
                              </w:pPr>
                              <w:r>
                                <w:rPr>
                                  <w:b/>
                                  <w:bCs/>
                                  <w:sz w:val="16"/>
                                  <w:szCs w:val="16"/>
                                </w:rPr>
                                <w:t>28 days–&lt;1 year</w:t>
                              </w:r>
                            </w:p>
                          </w:txbxContent>
                        </wps:txbx>
                        <wps:bodyPr rot="0" vert="horz" wrap="square" lIns="91440" tIns="45720" rIns="91440" bIns="45720" anchor="t" anchorCtr="0" upright="1">
                          <a:spAutoFit/>
                        </wps:bodyPr>
                      </wps:wsp>
                      <wps:wsp>
                        <wps:cNvPr id="46" name="AutoShape 68"/>
                        <wps:cNvCnPr>
                          <a:cxnSpLocks noChangeShapeType="1"/>
                        </wps:cNvCnPr>
                        <wps:spPr bwMode="auto">
                          <a:xfrm>
                            <a:off x="1826" y="7500"/>
                            <a:ext cx="1834"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47" name="AutoShape 69"/>
                        <wps:cNvCnPr>
                          <a:cxnSpLocks noChangeShapeType="1"/>
                        </wps:cNvCnPr>
                        <wps:spPr bwMode="auto">
                          <a:xfrm flipH="1" flipV="1">
                            <a:off x="3765" y="7499"/>
                            <a:ext cx="1815" cy="1"/>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48" name="AutoShape 72"/>
                        <wps:cNvCnPr>
                          <a:cxnSpLocks noChangeShapeType="1"/>
                        </wps:cNvCnPr>
                        <wps:spPr bwMode="auto">
                          <a:xfrm>
                            <a:off x="5645" y="7499"/>
                            <a:ext cx="1923" cy="1"/>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49" name="AutoShape 73"/>
                        <wps:cNvCnPr>
                          <a:cxnSpLocks noChangeShapeType="1"/>
                        </wps:cNvCnPr>
                        <wps:spPr bwMode="auto">
                          <a:xfrm flipH="1">
                            <a:off x="7658" y="7499"/>
                            <a:ext cx="1762" cy="1"/>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0" name="AutoShape 76"/>
                        <wps:cNvCnPr>
                          <a:cxnSpLocks noChangeShapeType="1"/>
                        </wps:cNvCnPr>
                        <wps:spPr bwMode="auto">
                          <a:xfrm flipH="1">
                            <a:off x="1826" y="8046"/>
                            <a:ext cx="3754"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1" name="AutoShape 78"/>
                        <wps:cNvCnPr>
                          <a:cxnSpLocks noChangeShapeType="1"/>
                        </wps:cNvCnPr>
                        <wps:spPr bwMode="auto">
                          <a:xfrm flipH="1">
                            <a:off x="1826" y="8376"/>
                            <a:ext cx="5742"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2" name="AutoShape 81"/>
                        <wps:cNvCnPr>
                          <a:cxnSpLocks noChangeShapeType="1"/>
                        </wps:cNvCnPr>
                        <wps:spPr bwMode="auto">
                          <a:xfrm flipH="1">
                            <a:off x="3765" y="8993"/>
                            <a:ext cx="5655"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3" name="AutoShape 84"/>
                        <wps:cNvCnPr>
                          <a:cxnSpLocks noChangeShapeType="1"/>
                        </wps:cNvCnPr>
                        <wps:spPr bwMode="auto">
                          <a:xfrm flipH="1">
                            <a:off x="3765" y="8698"/>
                            <a:ext cx="3803"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4" name="Text Box 55"/>
                        <wps:cNvSpPr txBox="1">
                          <a:spLocks noChangeArrowheads="1"/>
                        </wps:cNvSpPr>
                        <wps:spPr bwMode="auto">
                          <a:xfrm>
                            <a:off x="6165" y="7132"/>
                            <a:ext cx="945" cy="81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E3151" w14:textId="065B3046" w:rsidR="00384455" w:rsidRDefault="00384455" w:rsidP="006950D8">
                              <w:pPr>
                                <w:jc w:val="center"/>
                                <w:rPr>
                                  <w:b/>
                                  <w:bCs/>
                                  <w:sz w:val="16"/>
                                  <w:szCs w:val="16"/>
                                </w:rPr>
                              </w:pPr>
                              <w:r>
                                <w:rPr>
                                  <w:b/>
                                  <w:bCs/>
                                  <w:sz w:val="16"/>
                                  <w:szCs w:val="16"/>
                                </w:rPr>
                                <w:t>Late</w:t>
                              </w:r>
                              <w:r>
                                <w:rPr>
                                  <w:b/>
                                  <w:bCs/>
                                  <w:sz w:val="16"/>
                                  <w:szCs w:val="16"/>
                                </w:rPr>
                                <w:br/>
                                <w:t>Neonatal</w:t>
                              </w:r>
                              <w:r>
                                <w:rPr>
                                  <w:b/>
                                  <w:bCs/>
                                  <w:sz w:val="16"/>
                                  <w:szCs w:val="16"/>
                                </w:rPr>
                                <w:br/>
                                <w:t>deaths</w:t>
                              </w:r>
                            </w:p>
                          </w:txbxContent>
                        </wps:txbx>
                        <wps:bodyPr rot="0" vert="horz" wrap="square" lIns="36000" tIns="45720" rIns="36000" bIns="45720" anchor="t" anchorCtr="0" upright="1">
                          <a:noAutofit/>
                        </wps:bodyPr>
                      </wps:wsp>
                      <wps:wsp>
                        <wps:cNvPr id="55" name="Text Box 53"/>
                        <wps:cNvSpPr txBox="1">
                          <a:spLocks noChangeArrowheads="1"/>
                        </wps:cNvSpPr>
                        <wps:spPr bwMode="auto">
                          <a:xfrm>
                            <a:off x="4245" y="7102"/>
                            <a:ext cx="930" cy="779"/>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D2EB8" w14:textId="689D5C8D" w:rsidR="00384455" w:rsidRDefault="00384455" w:rsidP="006950D8">
                              <w:pPr>
                                <w:jc w:val="center"/>
                                <w:rPr>
                                  <w:b/>
                                  <w:bCs/>
                                  <w:sz w:val="16"/>
                                  <w:szCs w:val="16"/>
                                </w:rPr>
                              </w:pPr>
                              <w:r>
                                <w:rPr>
                                  <w:b/>
                                  <w:bCs/>
                                  <w:sz w:val="16"/>
                                  <w:szCs w:val="16"/>
                                </w:rPr>
                                <w:t>Early</w:t>
                              </w:r>
                              <w:r>
                                <w:rPr>
                                  <w:b/>
                                  <w:bCs/>
                                  <w:sz w:val="16"/>
                                  <w:szCs w:val="16"/>
                                </w:rPr>
                                <w:br/>
                                <w:t>Neonatal</w:t>
                              </w:r>
                              <w:r>
                                <w:rPr>
                                  <w:b/>
                                  <w:bCs/>
                                  <w:sz w:val="16"/>
                                  <w:szCs w:val="16"/>
                                </w:rPr>
                                <w:br/>
                                <w:t>deaths</w:t>
                              </w:r>
                            </w:p>
                          </w:txbxContent>
                        </wps:txbx>
                        <wps:bodyPr rot="0" vert="horz" wrap="square" lIns="36000" tIns="45720" rIns="36000" bIns="45720" anchor="t" anchorCtr="0" upright="1">
                          <a:noAutofit/>
                        </wps:bodyPr>
                      </wps:wsp>
                      <wps:wsp>
                        <wps:cNvPr id="56" name="Text Box 54"/>
                        <wps:cNvSpPr txBox="1">
                          <a:spLocks noChangeArrowheads="1"/>
                        </wps:cNvSpPr>
                        <wps:spPr bwMode="auto">
                          <a:xfrm>
                            <a:off x="8100" y="7132"/>
                            <a:ext cx="885" cy="78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200B9" w14:textId="60BB94D4" w:rsidR="00384455" w:rsidRDefault="00384455" w:rsidP="006950D8">
                              <w:pPr>
                                <w:jc w:val="center"/>
                                <w:rPr>
                                  <w:b/>
                                  <w:bCs/>
                                  <w:sz w:val="16"/>
                                  <w:szCs w:val="16"/>
                                </w:rPr>
                              </w:pPr>
                              <w:r>
                                <w:rPr>
                                  <w:b/>
                                  <w:bCs/>
                                  <w:sz w:val="16"/>
                                  <w:szCs w:val="16"/>
                                </w:rPr>
                                <w:t>Post-neonatal</w:t>
                              </w:r>
                              <w:r>
                                <w:rPr>
                                  <w:b/>
                                  <w:bCs/>
                                  <w:sz w:val="16"/>
                                  <w:szCs w:val="16"/>
                                </w:rPr>
                                <w:br/>
                                <w:t>deaths</w:t>
                              </w:r>
                            </w:p>
                          </w:txbxContent>
                        </wps:txbx>
                        <wps:bodyPr rot="0" vert="horz" wrap="square" lIns="36000" tIns="45720" rIns="36000" bIns="45720" anchor="t" anchorCtr="0" upright="1">
                          <a:noAutofit/>
                        </wps:bodyPr>
                      </wps:wsp>
                      <wps:wsp>
                        <wps:cNvPr id="57" name="Text Box 52"/>
                        <wps:cNvSpPr txBox="1">
                          <a:spLocks noChangeArrowheads="1"/>
                        </wps:cNvSpPr>
                        <wps:spPr bwMode="auto">
                          <a:xfrm>
                            <a:off x="2430" y="7252"/>
                            <a:ext cx="765" cy="56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27574" w14:textId="77777777" w:rsidR="00384455" w:rsidRDefault="00384455" w:rsidP="006950D8">
                              <w:pPr>
                                <w:spacing w:after="80"/>
                                <w:jc w:val="center"/>
                                <w:rPr>
                                  <w:b/>
                                  <w:bCs/>
                                  <w:sz w:val="16"/>
                                  <w:szCs w:val="16"/>
                                </w:rPr>
                              </w:pPr>
                              <w:r>
                                <w:rPr>
                                  <w:b/>
                                  <w:bCs/>
                                  <w:sz w:val="16"/>
                                  <w:szCs w:val="16"/>
                                </w:rPr>
                                <w:t>Fetal deaths</w:t>
                              </w:r>
                            </w:p>
                          </w:txbxContent>
                        </wps:txbx>
                        <wps:bodyPr rot="0" vert="horz" wrap="square" lIns="36000" tIns="45720" rIns="36000" bIns="45720" anchor="t" anchorCtr="0" upright="1">
                          <a:noAutofit/>
                        </wps:bodyPr>
                      </wps:wsp>
                      <wps:wsp>
                        <wps:cNvPr id="58" name="Text Box 75"/>
                        <wps:cNvSpPr txBox="1">
                          <a:spLocks noChangeArrowheads="1"/>
                        </wps:cNvSpPr>
                        <wps:spPr bwMode="auto">
                          <a:xfrm>
                            <a:off x="2887" y="7881"/>
                            <a:ext cx="1583" cy="33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0981E" w14:textId="77777777" w:rsidR="00384455" w:rsidRDefault="00384455" w:rsidP="006950D8">
                              <w:pPr>
                                <w:rPr>
                                  <w:b/>
                                  <w:bCs/>
                                  <w:sz w:val="16"/>
                                  <w:szCs w:val="16"/>
                                </w:rPr>
                              </w:pPr>
                              <w:r>
                                <w:rPr>
                                  <w:b/>
                                  <w:bCs/>
                                  <w:sz w:val="16"/>
                                  <w:szCs w:val="16"/>
                                </w:rPr>
                                <w:t>Perinatal deaths</w:t>
                              </w:r>
                            </w:p>
                          </w:txbxContent>
                        </wps:txbx>
                        <wps:bodyPr rot="0" vert="horz" wrap="square" lIns="91440" tIns="45720" rIns="91440" bIns="45720" anchor="t" anchorCtr="0" upright="1">
                          <a:noAutofit/>
                        </wps:bodyPr>
                      </wps:wsp>
                      <wps:wsp>
                        <wps:cNvPr id="59" name="Text Box 51"/>
                        <wps:cNvSpPr txBox="1">
                          <a:spLocks noChangeArrowheads="1"/>
                        </wps:cNvSpPr>
                        <wps:spPr bwMode="auto">
                          <a:xfrm>
                            <a:off x="3859" y="8219"/>
                            <a:ext cx="2174" cy="306"/>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87A7C" w14:textId="77777777" w:rsidR="00384455" w:rsidRDefault="00384455" w:rsidP="006950D8">
                              <w:pPr>
                                <w:rPr>
                                  <w:b/>
                                  <w:bCs/>
                                  <w:sz w:val="16"/>
                                  <w:szCs w:val="16"/>
                                </w:rPr>
                              </w:pPr>
                              <w:r w:rsidRPr="003970E0">
                                <w:rPr>
                                  <w:b/>
                                  <w:bCs/>
                                  <w:sz w:val="16"/>
                                  <w:szCs w:val="16"/>
                                </w:rPr>
                                <w:t xml:space="preserve">Perinatal related </w:t>
                              </w:r>
                              <w:r>
                                <w:rPr>
                                  <w:b/>
                                  <w:bCs/>
                                  <w:sz w:val="16"/>
                                  <w:szCs w:val="16"/>
                                </w:rPr>
                                <w:t>deaths</w:t>
                              </w:r>
                            </w:p>
                          </w:txbxContent>
                        </wps:txbx>
                        <wps:bodyPr rot="0" vert="horz" wrap="square" lIns="91440" tIns="45720" rIns="91440" bIns="45720" anchor="t" anchorCtr="0" upright="1">
                          <a:noAutofit/>
                        </wps:bodyPr>
                      </wps:wsp>
                      <wps:wsp>
                        <wps:cNvPr id="60" name="Text Box 83"/>
                        <wps:cNvSpPr txBox="1">
                          <a:spLocks noChangeArrowheads="1"/>
                        </wps:cNvSpPr>
                        <wps:spPr bwMode="auto">
                          <a:xfrm>
                            <a:off x="4934" y="8525"/>
                            <a:ext cx="1594" cy="291"/>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FBABE" w14:textId="77777777" w:rsidR="00384455" w:rsidRDefault="00384455" w:rsidP="006950D8">
                              <w:pPr>
                                <w:jc w:val="both"/>
                                <w:rPr>
                                  <w:b/>
                                  <w:bCs/>
                                  <w:sz w:val="16"/>
                                  <w:szCs w:val="16"/>
                                </w:rPr>
                              </w:pPr>
                              <w:r>
                                <w:rPr>
                                  <w:b/>
                                  <w:bCs/>
                                  <w:sz w:val="16"/>
                                  <w:szCs w:val="16"/>
                                </w:rPr>
                                <w:t>Neonatal deaths</w:t>
                              </w:r>
                            </w:p>
                          </w:txbxContent>
                        </wps:txbx>
                        <wps:bodyPr rot="0" vert="horz" wrap="square" lIns="91440" tIns="45720" rIns="91440" bIns="45720" anchor="t" anchorCtr="0" upright="1">
                          <a:noAutofit/>
                        </wps:bodyPr>
                      </wps:wsp>
                      <wps:wsp>
                        <wps:cNvPr id="61" name="Text Box 80"/>
                        <wps:cNvSpPr txBox="1">
                          <a:spLocks noChangeArrowheads="1"/>
                        </wps:cNvSpPr>
                        <wps:spPr bwMode="auto">
                          <a:xfrm>
                            <a:off x="5897" y="8816"/>
                            <a:ext cx="1318" cy="34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BE0BE" w14:textId="77777777" w:rsidR="00384455" w:rsidRDefault="00384455" w:rsidP="006950D8">
                              <w:pPr>
                                <w:rPr>
                                  <w:b/>
                                  <w:bCs/>
                                  <w:sz w:val="16"/>
                                  <w:szCs w:val="16"/>
                                </w:rPr>
                              </w:pPr>
                              <w:r>
                                <w:rPr>
                                  <w:b/>
                                  <w:bCs/>
                                  <w:sz w:val="16"/>
                                  <w:szCs w:val="16"/>
                                </w:rPr>
                                <w:t>Infant deaths</w:t>
                              </w:r>
                            </w:p>
                          </w:txbxContent>
                        </wps:txbx>
                        <wps:bodyPr rot="0" vert="horz" wrap="square" lIns="91440" tIns="45720" rIns="91440" bIns="45720" anchor="t" anchorCtr="0" upright="1">
                          <a:noAutofit/>
                        </wps:bodyPr>
                      </wps:wsp>
                    </wpg:wgp>
                  </a:graphicData>
                </a:graphic>
              </wp:inline>
            </w:drawing>
          </mc:Choice>
          <mc:Fallback>
            <w:pict>
              <v:group w14:anchorId="51B4A768" id="Group 34" o:spid="_x0000_s1026" style="width:412.05pt;height:175.1pt;mso-position-horizontal-relative:char;mso-position-vertical-relative:line" coordorigin="1770,5697" coordsize="8241,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">
                <v:shapetype id="_x0000_t202" coordsize="21600,21600" o:spt="202" path="m,l,21600r21600,l21600,xe">
                  <v:stroke joinstyle="miter"/>
                  <v:path gradientshapeok="t" o:connecttype="rect"/>
                </v:shapetype>
                <v:shape id="Text Box 56" o:spid="_x0000_s1027" type="#_x0000_t202" style="position:absolute;left:2081;top:5697;width:793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35BF7C8" w14:textId="77777777" w:rsidR="00384455" w:rsidRPr="006950D8" w:rsidRDefault="00384455" w:rsidP="006950D8">
                        <w:pPr>
                          <w:tabs>
                            <w:tab w:val="left" w:pos="1276"/>
                            <w:tab w:val="left" w:pos="3119"/>
                            <w:tab w:val="left" w:pos="5103"/>
                            <w:tab w:val="left" w:pos="6946"/>
                          </w:tabs>
                          <w:rPr>
                            <w:b/>
                            <w:bCs/>
                            <w:color w:val="FF0000"/>
                            <w:sz w:val="18"/>
                            <w:szCs w:val="18"/>
                          </w:rPr>
                        </w:pPr>
                        <w:r w:rsidRPr="006950D8">
                          <w:rPr>
                            <w:b/>
                            <w:bCs/>
                            <w:color w:val="FF0000"/>
                            <w:sz w:val="18"/>
                            <w:szCs w:val="18"/>
                          </w:rPr>
                          <w:t>Gestation</w:t>
                        </w:r>
                        <w:r w:rsidRPr="006950D8">
                          <w:rPr>
                            <w:b/>
                            <w:bCs/>
                            <w:color w:val="FF0000"/>
                            <w:sz w:val="18"/>
                            <w:szCs w:val="18"/>
                          </w:rPr>
                          <w:tab/>
                          <w:t>Birth</w:t>
                        </w:r>
                        <w:r w:rsidRPr="006950D8">
                          <w:rPr>
                            <w:b/>
                            <w:bCs/>
                            <w:color w:val="FF0000"/>
                            <w:sz w:val="18"/>
                            <w:szCs w:val="18"/>
                          </w:rPr>
                          <w:tab/>
                          <w:t>7 days</w:t>
                        </w:r>
                        <w:r w:rsidRPr="006950D8">
                          <w:rPr>
                            <w:b/>
                            <w:bCs/>
                            <w:color w:val="FF0000"/>
                            <w:sz w:val="18"/>
                            <w:szCs w:val="18"/>
                          </w:rPr>
                          <w:tab/>
                          <w:t>28 days</w:t>
                        </w:r>
                        <w:r w:rsidRPr="006950D8">
                          <w:rPr>
                            <w:b/>
                            <w:bCs/>
                            <w:color w:val="FF0000"/>
                            <w:sz w:val="18"/>
                            <w:szCs w:val="18"/>
                          </w:rPr>
                          <w:tab/>
                          <w:t>1 year</w:t>
                        </w:r>
                      </w:p>
                    </w:txbxContent>
                  </v:textbox>
                </v:shape>
                <v:shapetype id="_x0000_t32" coordsize="21600,21600" o:spt="32" o:oned="t" path="m,l21600,21600e" filled="f">
                  <v:path arrowok="t" fillok="f" o:connecttype="none"/>
                  <o:lock v:ext="edit" shapetype="t"/>
                </v:shapetype>
                <v:shape id="AutoShape 57" o:spid="_x0000_s1028" type="#_x0000_t32" style="position:absolute;left:1770;top:6033;width:7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" strokeweight="2pt"/>
                <v:shape id="AutoShape 58" o:spid="_x0000_s1029" type="#_x0000_t32" style="position:absolute;left:3702;top:6017;width:1;height:3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" strokeweight="1.5pt">
                  <v:stroke dashstyle="dash"/>
                </v:shape>
                <v:shape id="AutoShape 59" o:spid="_x0000_s1030" type="#_x0000_t32" style="position:absolute;left:1770;top:6017;width:1;height:3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" strokeweight="1.5pt">
                  <v:stroke dashstyle="dash"/>
                </v:shape>
                <v:shape id="AutoShape 60" o:spid="_x0000_s1031" type="#_x0000_t32" style="position:absolute;left:5625;top:6033;width:1;height:3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" strokeweight="1.5pt">
                  <v:stroke dashstyle="dash"/>
                </v:shape>
                <v:shape id="AutoShape 61" o:spid="_x0000_s1032" type="#_x0000_t32" style="position:absolute;left:7620;top:6017;width:1;height:3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" strokeweight="1.5pt">
                  <v:stroke dashstyle="dash"/>
                </v:shape>
                <v:shape id="AutoShape 62" o:spid="_x0000_s1033" type="#_x0000_t32" style="position:absolute;left:9465;top:6017;width:1;height:3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" strokeweight="1.5pt">
                  <v:stroke dashstyle="dash"/>
                </v:shape>
                <v:shape id="Text Box 63" o:spid="_x0000_s1034" type="#_x0000_t202" style="position:absolute;left:1826;top:6122;width:183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" stroked="f">
                  <v:textbox inset="1mm,,1mm,1mm">
                    <w:txbxContent>
                      <w:p w14:paraId="7A3D76A4" w14:textId="77777777" w:rsidR="00384455" w:rsidRDefault="00384455" w:rsidP="006950D8">
                        <w:pPr>
                          <w:spacing w:after="80"/>
                          <w:jc w:val="center"/>
                          <w:rPr>
                            <w:b/>
                            <w:bCs/>
                            <w:sz w:val="16"/>
                            <w:szCs w:val="16"/>
                          </w:rPr>
                        </w:pPr>
                        <w:r>
                          <w:rPr>
                            <w:b/>
                            <w:bCs/>
                            <w:sz w:val="16"/>
                            <w:szCs w:val="16"/>
                          </w:rPr>
                          <w:t>20 weeks or more</w:t>
                        </w:r>
                      </w:p>
                      <w:p w14:paraId="22FD5A41" w14:textId="77777777" w:rsidR="00384455" w:rsidRDefault="00384455" w:rsidP="006950D8">
                        <w:pPr>
                          <w:spacing w:after="80"/>
                          <w:jc w:val="center"/>
                          <w:rPr>
                            <w:b/>
                            <w:bCs/>
                            <w:sz w:val="16"/>
                            <w:szCs w:val="16"/>
                          </w:rPr>
                        </w:pPr>
                        <w:r>
                          <w:rPr>
                            <w:b/>
                            <w:bCs/>
                            <w:sz w:val="16"/>
                            <w:szCs w:val="16"/>
                          </w:rPr>
                          <w:t>or</w:t>
                        </w:r>
                      </w:p>
                      <w:p w14:paraId="6C7C4002" w14:textId="77777777" w:rsidR="00384455" w:rsidRDefault="00384455" w:rsidP="006950D8">
                        <w:pPr>
                          <w:spacing w:after="80"/>
                          <w:jc w:val="center"/>
                          <w:rPr>
                            <w:b/>
                            <w:bCs/>
                            <w:sz w:val="16"/>
                            <w:szCs w:val="16"/>
                          </w:rPr>
                        </w:pPr>
                        <w:r>
                          <w:rPr>
                            <w:b/>
                            <w:bCs/>
                            <w:sz w:val="16"/>
                            <w:szCs w:val="16"/>
                          </w:rPr>
                          <w:t>≥400 grams birthweight</w:t>
                        </w:r>
                      </w:p>
                    </w:txbxContent>
                  </v:textbox>
                </v:shape>
                <v:shape id="Text Box 64" o:spid="_x0000_s1035" type="#_x0000_t202" style="position:absolute;left:3859;top:6391;width:147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75B0891B" w14:textId="77777777" w:rsidR="00384455" w:rsidRDefault="00384455" w:rsidP="006950D8">
                        <w:pPr>
                          <w:spacing w:after="80"/>
                          <w:jc w:val="center"/>
                          <w:rPr>
                            <w:b/>
                            <w:bCs/>
                            <w:sz w:val="16"/>
                            <w:szCs w:val="16"/>
                          </w:rPr>
                        </w:pPr>
                        <w:r>
                          <w:rPr>
                            <w:b/>
                            <w:bCs/>
                            <w:sz w:val="16"/>
                            <w:szCs w:val="16"/>
                          </w:rPr>
                          <w:t>0–&lt;7 days</w:t>
                        </w:r>
                      </w:p>
                    </w:txbxContent>
                  </v:textbox>
                </v:shape>
                <v:shape id="Text Box 65" o:spid="_x0000_s1036" type="#_x0000_t202" style="position:absolute;left:5897;top:6415;width:147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1088BEBB" w14:textId="77777777" w:rsidR="00384455" w:rsidRDefault="00384455" w:rsidP="006950D8">
                        <w:pPr>
                          <w:spacing w:after="80"/>
                          <w:jc w:val="center"/>
                          <w:rPr>
                            <w:b/>
                            <w:bCs/>
                            <w:sz w:val="16"/>
                            <w:szCs w:val="16"/>
                          </w:rPr>
                        </w:pPr>
                        <w:r>
                          <w:rPr>
                            <w:b/>
                            <w:bCs/>
                            <w:sz w:val="16"/>
                            <w:szCs w:val="16"/>
                          </w:rPr>
                          <w:t>7–27 days</w:t>
                        </w:r>
                      </w:p>
                    </w:txbxContent>
                  </v:textbox>
                </v:shape>
                <v:shape id="Text Box 66" o:spid="_x0000_s1037" type="#_x0000_t202" style="position:absolute;left:7658;top:6415;width:176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" stroked="f">
                  <v:textbox style="mso-fit-shape-to-text:t">
                    <w:txbxContent>
                      <w:p w14:paraId="6909D164" w14:textId="77777777" w:rsidR="00384455" w:rsidRDefault="00384455" w:rsidP="006950D8">
                        <w:pPr>
                          <w:spacing w:after="80"/>
                          <w:jc w:val="center"/>
                          <w:rPr>
                            <w:b/>
                            <w:bCs/>
                            <w:sz w:val="16"/>
                            <w:szCs w:val="16"/>
                          </w:rPr>
                        </w:pPr>
                        <w:r>
                          <w:rPr>
                            <w:b/>
                            <w:bCs/>
                            <w:sz w:val="16"/>
                            <w:szCs w:val="16"/>
                          </w:rPr>
                          <w:t>28 days–&lt;1 year</w:t>
                        </w:r>
                      </w:p>
                    </w:txbxContent>
                  </v:textbox>
                </v:shape>
                <v:shape id="AutoShape 68" o:spid="_x0000_s1038" type="#_x0000_t32" style="position:absolute;left:1826;top:7500;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">
                  <v:stroke startarrow="block" endarrow="block"/>
                </v:shape>
                <v:shape id="AutoShape 69" o:spid="_x0000_s1039" type="#_x0000_t32" style="position:absolute;left:3765;top:7499;width:181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">
                  <v:stroke startarrow="block" endarrow="block"/>
                </v:shape>
                <v:shape id="AutoShape 72" o:spid="_x0000_s1040" type="#_x0000_t32" style="position:absolute;left:5645;top:7499;width:19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">
                  <v:stroke startarrow="block" endarrow="block"/>
                </v:shape>
                <v:shape id="AutoShape 73" o:spid="_x0000_s1041" type="#_x0000_t32" style="position:absolute;left:7658;top:7499;width:176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">
                  <v:stroke startarrow="block" endarrow="block"/>
                </v:shape>
                <v:shape id="AutoShape 76" o:spid="_x0000_s1042" type="#_x0000_t32" style="position:absolute;left:1826;top:8046;width:37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">
                  <v:stroke startarrow="block" endarrow="block"/>
                </v:shape>
                <v:shape id="AutoShape 78" o:spid="_x0000_s1043" type="#_x0000_t32" style="position:absolute;left:1826;top:8376;width:57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">
                  <v:stroke startarrow="block" endarrow="block"/>
                </v:shape>
                <v:shape id="AutoShape 81" o:spid="_x0000_s1044" type="#_x0000_t32" style="position:absolute;left:3765;top:8993;width:5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">
                  <v:stroke startarrow="block" endarrow="block"/>
                </v:shape>
                <v:shape id="AutoShape 84" o:spid="_x0000_s1045" type="#_x0000_t32" style="position:absolute;left:3765;top:8698;width:38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">
                  <v:stroke startarrow="block" endarrow="block"/>
                </v:shape>
                <v:shape id="Text Box 55" o:spid="_x0000_s1046" type="#_x0000_t202" style="position:absolute;left:6165;top:7132;width:94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" fillcolor="white [3212]" stroked="f">
                  <v:textbox inset="1mm,,1mm">
                    <w:txbxContent>
                      <w:p w14:paraId="47FE3151" w14:textId="065B3046" w:rsidR="00384455" w:rsidRDefault="00384455" w:rsidP="006950D8">
                        <w:pPr>
                          <w:jc w:val="center"/>
                          <w:rPr>
                            <w:b/>
                            <w:bCs/>
                            <w:sz w:val="16"/>
                            <w:szCs w:val="16"/>
                          </w:rPr>
                        </w:pPr>
                        <w:r>
                          <w:rPr>
                            <w:b/>
                            <w:bCs/>
                            <w:sz w:val="16"/>
                            <w:szCs w:val="16"/>
                          </w:rPr>
                          <w:t>Late</w:t>
                        </w:r>
                        <w:r>
                          <w:rPr>
                            <w:b/>
                            <w:bCs/>
                            <w:sz w:val="16"/>
                            <w:szCs w:val="16"/>
                          </w:rPr>
                          <w:br/>
                          <w:t>Neonatal</w:t>
                        </w:r>
                        <w:r>
                          <w:rPr>
                            <w:b/>
                            <w:bCs/>
                            <w:sz w:val="16"/>
                            <w:szCs w:val="16"/>
                          </w:rPr>
                          <w:br/>
                          <w:t>deaths</w:t>
                        </w:r>
                      </w:p>
                    </w:txbxContent>
                  </v:textbox>
                </v:shape>
                <v:shape id="Text Box 53" o:spid="_x0000_s1047" type="#_x0000_t202" style="position:absolute;left:4245;top:7102;width:930;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" fillcolor="white [3212]" stroked="f">
                  <v:textbox inset="1mm,,1mm">
                    <w:txbxContent>
                      <w:p w14:paraId="5A4D2EB8" w14:textId="689D5C8D" w:rsidR="00384455" w:rsidRDefault="00384455" w:rsidP="006950D8">
                        <w:pPr>
                          <w:jc w:val="center"/>
                          <w:rPr>
                            <w:b/>
                            <w:bCs/>
                            <w:sz w:val="16"/>
                            <w:szCs w:val="16"/>
                          </w:rPr>
                        </w:pPr>
                        <w:r>
                          <w:rPr>
                            <w:b/>
                            <w:bCs/>
                            <w:sz w:val="16"/>
                            <w:szCs w:val="16"/>
                          </w:rPr>
                          <w:t>Early</w:t>
                        </w:r>
                        <w:r>
                          <w:rPr>
                            <w:b/>
                            <w:bCs/>
                            <w:sz w:val="16"/>
                            <w:szCs w:val="16"/>
                          </w:rPr>
                          <w:br/>
                          <w:t>Neonatal</w:t>
                        </w:r>
                        <w:r>
                          <w:rPr>
                            <w:b/>
                            <w:bCs/>
                            <w:sz w:val="16"/>
                            <w:szCs w:val="16"/>
                          </w:rPr>
                          <w:br/>
                          <w:t>deaths</w:t>
                        </w:r>
                      </w:p>
                    </w:txbxContent>
                  </v:textbox>
                </v:shape>
                <v:shape id="Text Box 54" o:spid="_x0000_s1048" type="#_x0000_t202" style="position:absolute;left:8100;top:7132;width:885;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" fillcolor="white [3212]" stroked="f">
                  <v:textbox inset="1mm,,1mm">
                    <w:txbxContent>
                      <w:p w14:paraId="2CD200B9" w14:textId="60BB94D4" w:rsidR="00384455" w:rsidRDefault="00384455" w:rsidP="006950D8">
                        <w:pPr>
                          <w:jc w:val="center"/>
                          <w:rPr>
                            <w:b/>
                            <w:bCs/>
                            <w:sz w:val="16"/>
                            <w:szCs w:val="16"/>
                          </w:rPr>
                        </w:pPr>
                        <w:r>
                          <w:rPr>
                            <w:b/>
                            <w:bCs/>
                            <w:sz w:val="16"/>
                            <w:szCs w:val="16"/>
                          </w:rPr>
                          <w:t>Post-neonatal</w:t>
                        </w:r>
                        <w:r>
                          <w:rPr>
                            <w:b/>
                            <w:bCs/>
                            <w:sz w:val="16"/>
                            <w:szCs w:val="16"/>
                          </w:rPr>
                          <w:br/>
                          <w:t>deaths</w:t>
                        </w:r>
                      </w:p>
                    </w:txbxContent>
                  </v:textbox>
                </v:shape>
                <v:shape id="Text Box 52" o:spid="_x0000_s1049" type="#_x0000_t202" style="position:absolute;left:2430;top:7252;width:765;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" fillcolor="white [3212]" stroked="f">
                  <v:textbox inset="1mm,,1mm">
                    <w:txbxContent>
                      <w:p w14:paraId="0F727574" w14:textId="77777777" w:rsidR="00384455" w:rsidRDefault="00384455" w:rsidP="006950D8">
                        <w:pPr>
                          <w:spacing w:after="80"/>
                          <w:jc w:val="center"/>
                          <w:rPr>
                            <w:b/>
                            <w:bCs/>
                            <w:sz w:val="16"/>
                            <w:szCs w:val="16"/>
                          </w:rPr>
                        </w:pPr>
                        <w:proofErr w:type="spellStart"/>
                        <w:r>
                          <w:rPr>
                            <w:b/>
                            <w:bCs/>
                            <w:sz w:val="16"/>
                            <w:szCs w:val="16"/>
                          </w:rPr>
                          <w:t>Fetal</w:t>
                        </w:r>
                        <w:proofErr w:type="spellEnd"/>
                        <w:r>
                          <w:rPr>
                            <w:b/>
                            <w:bCs/>
                            <w:sz w:val="16"/>
                            <w:szCs w:val="16"/>
                          </w:rPr>
                          <w:t xml:space="preserve"> deaths</w:t>
                        </w:r>
                      </w:p>
                    </w:txbxContent>
                  </v:textbox>
                </v:shape>
                <v:shape id="Text Box 75" o:spid="_x0000_s1050" type="#_x0000_t202" style="position:absolute;left:2887;top:7881;width:1583;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" fillcolor="white [3212]" stroked="f">
                  <v:textbox>
                    <w:txbxContent>
                      <w:p w14:paraId="3510981E" w14:textId="77777777" w:rsidR="00384455" w:rsidRDefault="00384455" w:rsidP="006950D8">
                        <w:pPr>
                          <w:rPr>
                            <w:b/>
                            <w:bCs/>
                            <w:sz w:val="16"/>
                            <w:szCs w:val="16"/>
                          </w:rPr>
                        </w:pPr>
                        <w:r>
                          <w:rPr>
                            <w:b/>
                            <w:bCs/>
                            <w:sz w:val="16"/>
                            <w:szCs w:val="16"/>
                          </w:rPr>
                          <w:t>Perinatal deaths</w:t>
                        </w:r>
                      </w:p>
                    </w:txbxContent>
                  </v:textbox>
                </v:shape>
                <v:shape id="Text Box 51" o:spid="_x0000_s1051" type="#_x0000_t202" style="position:absolute;left:3859;top:8219;width:2174;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" fillcolor="white [3212]" stroked="f">
                  <v:textbox>
                    <w:txbxContent>
                      <w:p w14:paraId="58A87A7C" w14:textId="77777777" w:rsidR="00384455" w:rsidRDefault="00384455" w:rsidP="006950D8">
                        <w:pPr>
                          <w:rPr>
                            <w:b/>
                            <w:bCs/>
                            <w:sz w:val="16"/>
                            <w:szCs w:val="16"/>
                          </w:rPr>
                        </w:pPr>
                        <w:r w:rsidRPr="003970E0">
                          <w:rPr>
                            <w:b/>
                            <w:bCs/>
                            <w:sz w:val="16"/>
                            <w:szCs w:val="16"/>
                          </w:rPr>
                          <w:t xml:space="preserve">Perinatal related </w:t>
                        </w:r>
                        <w:r>
                          <w:rPr>
                            <w:b/>
                            <w:bCs/>
                            <w:sz w:val="16"/>
                            <w:szCs w:val="16"/>
                          </w:rPr>
                          <w:t>deaths</w:t>
                        </w:r>
                      </w:p>
                    </w:txbxContent>
                  </v:textbox>
                </v:shape>
                <v:shape id="Text Box 83" o:spid="_x0000_s1052" type="#_x0000_t202" style="position:absolute;left:4934;top:8525;width:159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" fillcolor="white [3212]" stroked="f">
                  <v:textbox>
                    <w:txbxContent>
                      <w:p w14:paraId="526FBABE" w14:textId="77777777" w:rsidR="00384455" w:rsidRDefault="00384455" w:rsidP="006950D8">
                        <w:pPr>
                          <w:jc w:val="both"/>
                          <w:rPr>
                            <w:b/>
                            <w:bCs/>
                            <w:sz w:val="16"/>
                            <w:szCs w:val="16"/>
                          </w:rPr>
                        </w:pPr>
                        <w:r>
                          <w:rPr>
                            <w:b/>
                            <w:bCs/>
                            <w:sz w:val="16"/>
                            <w:szCs w:val="16"/>
                          </w:rPr>
                          <w:t>Neonatal deaths</w:t>
                        </w:r>
                      </w:p>
                    </w:txbxContent>
                  </v:textbox>
                </v:shape>
                <v:shape id="Text Box 80" o:spid="_x0000_s1053" type="#_x0000_t202" style="position:absolute;left:5897;top:8816;width:131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" fillcolor="white [3212]" stroked="f">
                  <v:textbox>
                    <w:txbxContent>
                      <w:p w14:paraId="235BE0BE" w14:textId="77777777" w:rsidR="00384455" w:rsidRDefault="00384455" w:rsidP="006950D8">
                        <w:pPr>
                          <w:rPr>
                            <w:b/>
                            <w:bCs/>
                            <w:sz w:val="16"/>
                            <w:szCs w:val="16"/>
                          </w:rPr>
                        </w:pPr>
                        <w:r>
                          <w:rPr>
                            <w:b/>
                            <w:bCs/>
                            <w:sz w:val="16"/>
                            <w:szCs w:val="16"/>
                          </w:rPr>
                          <w:t>Infant deaths</w:t>
                        </w:r>
                      </w:p>
                    </w:txbxContent>
                  </v:textbox>
                </v:shape>
                <w10:anchorlock/>
              </v:group>
            </w:pict>
          </mc:Fallback>
        </mc:AlternateContent>
      </w:r>
    </w:p>
    <w:p w14:paraId="17728FBC" w14:textId="77777777" w:rsidR="009327A9" w:rsidRPr="009F63CE" w:rsidRDefault="009327A9" w:rsidP="0089040F">
      <w:pPr>
        <w:spacing w:after="0"/>
        <w:rPr>
          <w:rFonts w:cs="Arial"/>
          <w:sz w:val="18"/>
          <w:szCs w:val="18"/>
        </w:rPr>
      </w:pPr>
      <w:r w:rsidRPr="009F63CE">
        <w:rPr>
          <w:rFonts w:cs="Arial"/>
          <w:sz w:val="18"/>
          <w:szCs w:val="18"/>
        </w:rPr>
        <w:t xml:space="preserve">(Adapted from </w:t>
      </w:r>
      <w:hyperlink r:id="rId17" w:history="1">
        <w:r w:rsidRPr="009F63CE">
          <w:rPr>
            <w:rStyle w:val="Hyperlink"/>
            <w:rFonts w:cs="Arial"/>
            <w:color w:val="auto"/>
            <w:sz w:val="18"/>
            <w:szCs w:val="18"/>
            <w:u w:val="none"/>
          </w:rPr>
          <w:t>New Zealand Health Information Service 2007</w:t>
        </w:r>
      </w:hyperlink>
      <w:r w:rsidRPr="009F63CE">
        <w:rPr>
          <w:rFonts w:cs="Arial"/>
          <w:sz w:val="18"/>
          <w:szCs w:val="18"/>
        </w:rPr>
        <w:t xml:space="preserve"> and</w:t>
      </w:r>
      <w:r w:rsidRPr="009F63CE">
        <w:rPr>
          <w:rFonts w:cs="Arial"/>
          <w:color w:val="auto"/>
          <w:sz w:val="18"/>
          <w:szCs w:val="18"/>
        </w:rPr>
        <w:t xml:space="preserve"> </w:t>
      </w:r>
      <w:hyperlink r:id="rId18" w:history="1">
        <w:r w:rsidRPr="009F63CE">
          <w:rPr>
            <w:rStyle w:val="Hyperlink"/>
            <w:rFonts w:cs="Arial"/>
            <w:color w:val="auto"/>
            <w:sz w:val="18"/>
            <w:szCs w:val="18"/>
            <w:u w:val="none"/>
          </w:rPr>
          <w:t>Ministry of Health 2010</w:t>
        </w:r>
      </w:hyperlink>
      <w:r w:rsidRPr="009F63CE">
        <w:rPr>
          <w:rFonts w:cs="Arial"/>
          <w:sz w:val="18"/>
          <w:szCs w:val="18"/>
        </w:rPr>
        <w:t>.)</w:t>
      </w:r>
    </w:p>
    <w:p w14:paraId="395D73B0" w14:textId="77777777" w:rsidR="009327A9" w:rsidRPr="009F63CE" w:rsidRDefault="009327A9" w:rsidP="002D24D2">
      <w:pPr>
        <w:pStyle w:val="H3"/>
      </w:pPr>
      <w:bookmarkStart w:id="16" w:name="_Toc119317815"/>
      <w:bookmarkStart w:id="17" w:name="_Toc119317891"/>
      <w:bookmarkStart w:id="18" w:name="_Toc119407117"/>
      <w:r w:rsidRPr="009F63CE">
        <w:t>Fetal death</w:t>
      </w:r>
      <w:bookmarkEnd w:id="16"/>
      <w:bookmarkEnd w:id="17"/>
      <w:bookmarkEnd w:id="18"/>
    </w:p>
    <w:p w14:paraId="512BEB7F" w14:textId="601F4172" w:rsidR="009327A9" w:rsidRPr="009F63CE" w:rsidRDefault="009327A9" w:rsidP="009327A9">
      <w:pPr>
        <w:spacing w:before="120" w:after="120"/>
        <w:rPr>
          <w:rFonts w:cs="Arial"/>
        </w:rPr>
      </w:pPr>
      <w:r w:rsidRPr="009F63CE">
        <w:rPr>
          <w:rFonts w:cs="Arial"/>
        </w:rPr>
        <w:t>Fetal death is the death of a fetus at 20 weeks gestation or beyond (≥20 weeks) or weighing at least 400</w:t>
      </w:r>
      <w:r w:rsidR="005D6F65">
        <w:rPr>
          <w:rFonts w:cs="Arial"/>
        </w:rPr>
        <w:t xml:space="preserve"> </w:t>
      </w:r>
      <w:r w:rsidRPr="009F63CE">
        <w:rPr>
          <w:rFonts w:cs="Arial"/>
        </w:rPr>
        <w:t>g if gestation is unknown. Fetal death includes stillbirth and termination of pregnancy. Where a termination of pregnancy died after birth, the pregnancy is included as a termination of pregnancy and therefore as a fetal death rather than as a neonatal death.</w:t>
      </w:r>
    </w:p>
    <w:p w14:paraId="1CF648B2" w14:textId="77777777" w:rsidR="008C4ED4" w:rsidRPr="009F63CE" w:rsidRDefault="008C4ED4" w:rsidP="002D24D2">
      <w:pPr>
        <w:pStyle w:val="H3"/>
      </w:pPr>
      <w:bookmarkStart w:id="19" w:name="_Toc119317816"/>
      <w:bookmarkStart w:id="20" w:name="_Toc119317892"/>
      <w:bookmarkStart w:id="21" w:name="_Toc119407118"/>
      <w:r w:rsidRPr="009F63CE">
        <w:t>Stillbirth</w:t>
      </w:r>
      <w:bookmarkEnd w:id="19"/>
      <w:bookmarkEnd w:id="20"/>
      <w:bookmarkEnd w:id="21"/>
    </w:p>
    <w:p w14:paraId="2F4F9B2C" w14:textId="2A1E9D1D" w:rsidR="000B0DFA" w:rsidRPr="009F63CE" w:rsidRDefault="000B0DFA" w:rsidP="000B0DFA">
      <w:pPr>
        <w:keepNext/>
        <w:keepLines/>
        <w:spacing w:before="200" w:after="0"/>
        <w:outlineLvl w:val="4"/>
        <w:rPr>
          <w:rFonts w:cs="Arial"/>
        </w:rPr>
      </w:pPr>
      <w:r w:rsidRPr="009F63CE">
        <w:rPr>
          <w:rFonts w:cs="Arial"/>
        </w:rPr>
        <w:t>Stillbirth is the birth of a fetus showing no signs of life at 20 weeks gestation or beyond (≥20 weeks) or weighing at least 400</w:t>
      </w:r>
      <w:r w:rsidR="006D18DA">
        <w:rPr>
          <w:rFonts w:cs="Arial"/>
        </w:rPr>
        <w:t xml:space="preserve"> </w:t>
      </w:r>
      <w:r w:rsidRPr="009F63CE">
        <w:rPr>
          <w:rFonts w:cs="Arial"/>
        </w:rPr>
        <w:t>g if gestation is unknown.</w:t>
      </w:r>
      <w:r w:rsidR="008D7F95">
        <w:rPr>
          <w:rFonts w:cs="Arial"/>
        </w:rPr>
        <w:t xml:space="preserve"> Note that</w:t>
      </w:r>
      <w:r w:rsidR="00C0420F">
        <w:rPr>
          <w:rFonts w:cs="Arial"/>
        </w:rPr>
        <w:t>, in this report,</w:t>
      </w:r>
      <w:r w:rsidR="008D7F95">
        <w:rPr>
          <w:rFonts w:cs="Arial"/>
        </w:rPr>
        <w:t xml:space="preserve"> the term ‘stillbirth’ does not include terminations.</w:t>
      </w:r>
    </w:p>
    <w:p w14:paraId="1C00BDE7" w14:textId="77777777" w:rsidR="009327A9" w:rsidRPr="009F63CE" w:rsidRDefault="009327A9" w:rsidP="002D24D2">
      <w:pPr>
        <w:pStyle w:val="H3"/>
      </w:pPr>
      <w:bookmarkStart w:id="22" w:name="_Toc119317817"/>
      <w:bookmarkStart w:id="23" w:name="_Toc119317893"/>
      <w:bookmarkStart w:id="24" w:name="_Toc119407119"/>
      <w:r w:rsidRPr="009F63CE">
        <w:t>Termination of pregnancy</w:t>
      </w:r>
      <w:bookmarkEnd w:id="22"/>
      <w:bookmarkEnd w:id="23"/>
      <w:bookmarkEnd w:id="24"/>
    </w:p>
    <w:p w14:paraId="6382155E" w14:textId="737E2E2F" w:rsidR="009327A9" w:rsidRPr="009F63CE" w:rsidRDefault="009327A9" w:rsidP="009327A9">
      <w:pPr>
        <w:spacing w:before="120" w:after="120"/>
        <w:rPr>
          <w:rFonts w:cs="Arial"/>
        </w:rPr>
      </w:pPr>
      <w:r w:rsidRPr="009F63CE">
        <w:rPr>
          <w:rFonts w:cs="Arial"/>
        </w:rPr>
        <w:t xml:space="preserve">Termination of pregnancy is the interruption of an ongoing pregnancy (whether the baby was stillborn or live born). This report only includes termination of pregnancy from 20 weeks gestation. </w:t>
      </w:r>
    </w:p>
    <w:p w14:paraId="107A97CF" w14:textId="77777777" w:rsidR="009327A9" w:rsidRPr="009F63CE" w:rsidRDefault="009327A9" w:rsidP="002D24D2">
      <w:pPr>
        <w:pStyle w:val="H3"/>
      </w:pPr>
      <w:bookmarkStart w:id="25" w:name="_Toc119317818"/>
      <w:bookmarkStart w:id="26" w:name="_Toc119317894"/>
      <w:bookmarkStart w:id="27" w:name="_Toc119407120"/>
      <w:r w:rsidRPr="009F63CE">
        <w:t>Fetal death rate</w:t>
      </w:r>
      <w:bookmarkEnd w:id="25"/>
      <w:bookmarkEnd w:id="26"/>
      <w:bookmarkEnd w:id="27"/>
    </w:p>
    <w:p w14:paraId="4A1E9FD0" w14:textId="11FE3EA5" w:rsidR="009327A9" w:rsidRPr="009F63CE" w:rsidRDefault="009327A9" w:rsidP="009327A9">
      <w:pPr>
        <w:spacing w:before="120" w:after="120"/>
        <w:rPr>
          <w:rFonts w:cs="Arial"/>
        </w:rPr>
      </w:pPr>
      <w:r w:rsidRPr="009F63CE">
        <w:rPr>
          <w:rFonts w:cs="Arial"/>
        </w:rPr>
        <w:t>Fetal death rate is calculated as fetal deaths per 1000 babies born at 20 weeks gestation or beyond or weighing at least 400</w:t>
      </w:r>
      <w:r w:rsidR="00F92067">
        <w:rPr>
          <w:rFonts w:cs="Arial"/>
        </w:rPr>
        <w:t xml:space="preserve"> </w:t>
      </w:r>
      <w:r w:rsidRPr="009F63CE">
        <w:rPr>
          <w:rFonts w:cs="Arial"/>
        </w:rPr>
        <w:t>g if gestation is unknown.</w:t>
      </w:r>
    </w:p>
    <w:p w14:paraId="13E5D092" w14:textId="77777777" w:rsidR="009327A9" w:rsidRPr="009F63CE" w:rsidRDefault="009327A9" w:rsidP="002D24D2">
      <w:pPr>
        <w:pStyle w:val="H3"/>
      </w:pPr>
      <w:bookmarkStart w:id="28" w:name="_Toc119317819"/>
      <w:bookmarkStart w:id="29" w:name="_Toc119317895"/>
      <w:bookmarkStart w:id="30" w:name="_Toc119407121"/>
      <w:r w:rsidRPr="009F63CE">
        <w:t>Neonatal death</w:t>
      </w:r>
      <w:bookmarkEnd w:id="28"/>
      <w:bookmarkEnd w:id="29"/>
      <w:bookmarkEnd w:id="30"/>
    </w:p>
    <w:p w14:paraId="727F3AFE" w14:textId="6AC80448" w:rsidR="009327A9" w:rsidRPr="009F63CE" w:rsidRDefault="009327A9" w:rsidP="009327A9">
      <w:pPr>
        <w:spacing w:before="120" w:after="120"/>
        <w:rPr>
          <w:rFonts w:cs="Arial"/>
        </w:rPr>
      </w:pPr>
      <w:r w:rsidRPr="009F63CE">
        <w:rPr>
          <w:rFonts w:cs="Arial"/>
        </w:rPr>
        <w:t xml:space="preserve">Neonatal death is the death of any baby showing signs of life at 20 weeks gestation or beyond (for the purposes of this </w:t>
      </w:r>
      <w:r w:rsidR="0084439B" w:rsidRPr="0084439B">
        <w:rPr>
          <w:rFonts w:cs="Arial"/>
        </w:rPr>
        <w:t xml:space="preserve">Perinatal and Maternal Mortality Review Committee </w:t>
      </w:r>
      <w:r w:rsidR="00F92067">
        <w:rPr>
          <w:rFonts w:cs="Arial"/>
        </w:rPr>
        <w:t>[</w:t>
      </w:r>
      <w:r w:rsidRPr="009F63CE">
        <w:rPr>
          <w:rFonts w:cs="Arial"/>
        </w:rPr>
        <w:t>PMMRC</w:t>
      </w:r>
      <w:r w:rsidR="00F92067">
        <w:rPr>
          <w:rFonts w:cs="Arial"/>
        </w:rPr>
        <w:t>]</w:t>
      </w:r>
      <w:r w:rsidRPr="009F63CE">
        <w:rPr>
          <w:rFonts w:cs="Arial"/>
        </w:rPr>
        <w:t xml:space="preserve"> </w:t>
      </w:r>
      <w:r w:rsidR="009F63CE" w:rsidRPr="009F63CE">
        <w:rPr>
          <w:rFonts w:cs="Arial"/>
        </w:rPr>
        <w:t>data set</w:t>
      </w:r>
      <w:r w:rsidRPr="009F63CE">
        <w:rPr>
          <w:rFonts w:cs="Arial"/>
        </w:rPr>
        <w:t>)</w:t>
      </w:r>
      <w:r w:rsidR="00D0512A">
        <w:rPr>
          <w:rFonts w:cs="Arial"/>
        </w:rPr>
        <w:t>,</w:t>
      </w:r>
      <w:r w:rsidRPr="009F63CE">
        <w:rPr>
          <w:rFonts w:cs="Arial"/>
        </w:rPr>
        <w:t xml:space="preserve"> or weighing at least 400</w:t>
      </w:r>
      <w:r w:rsidR="00F82A93">
        <w:rPr>
          <w:rFonts w:cs="Arial"/>
        </w:rPr>
        <w:t xml:space="preserve"> </w:t>
      </w:r>
      <w:r w:rsidRPr="009F63CE">
        <w:rPr>
          <w:rFonts w:cs="Arial"/>
        </w:rPr>
        <w:t>g if gestation is unknown</w:t>
      </w:r>
      <w:r w:rsidR="00D0512A">
        <w:rPr>
          <w:rFonts w:cs="Arial"/>
        </w:rPr>
        <w:t>,</w:t>
      </w:r>
      <w:r w:rsidRPr="009F63CE">
        <w:rPr>
          <w:rFonts w:cs="Arial"/>
        </w:rPr>
        <w:t xml:space="preserve"> that occurs up until midnight of the 27th day of life. Early neonatal death is a death that occurs up until midnight </w:t>
      </w:r>
      <w:r w:rsidRPr="009F63CE">
        <w:rPr>
          <w:rFonts w:cs="Arial"/>
        </w:rPr>
        <w:lastRenderedPageBreak/>
        <w:t>of the sixth day of life. Late neonatal death is a death that occurs between the seventh day and midnight of the 27th day of life.</w:t>
      </w:r>
    </w:p>
    <w:p w14:paraId="160706D5" w14:textId="77777777" w:rsidR="009327A9" w:rsidRPr="009F63CE" w:rsidRDefault="009327A9" w:rsidP="002D24D2">
      <w:pPr>
        <w:pStyle w:val="H3"/>
      </w:pPr>
      <w:bookmarkStart w:id="31" w:name="_Toc119317820"/>
      <w:bookmarkStart w:id="32" w:name="_Toc119317896"/>
      <w:bookmarkStart w:id="33" w:name="_Toc119407122"/>
      <w:r w:rsidRPr="009F63CE">
        <w:t>Neonatal death rate</w:t>
      </w:r>
      <w:bookmarkEnd w:id="31"/>
      <w:bookmarkEnd w:id="32"/>
      <w:bookmarkEnd w:id="33"/>
    </w:p>
    <w:p w14:paraId="269DC3DD" w14:textId="73F75800" w:rsidR="009327A9" w:rsidRPr="009F63CE" w:rsidRDefault="00B46023" w:rsidP="009327A9">
      <w:pPr>
        <w:spacing w:before="120" w:after="120"/>
        <w:rPr>
          <w:rFonts w:cs="Arial"/>
        </w:rPr>
      </w:pPr>
      <w:r>
        <w:rPr>
          <w:rFonts w:cs="Arial"/>
        </w:rPr>
        <w:t>The n</w:t>
      </w:r>
      <w:r w:rsidR="009327A9" w:rsidRPr="009F63CE">
        <w:rPr>
          <w:rFonts w:cs="Arial"/>
        </w:rPr>
        <w:t>eonatal death rate is calculated as neonatal deaths per 1000 live born babies at 20 weeks gestation or beyond or weighing at least 400</w:t>
      </w:r>
      <w:r w:rsidR="00DA7341">
        <w:rPr>
          <w:rFonts w:cs="Arial"/>
        </w:rPr>
        <w:t xml:space="preserve"> </w:t>
      </w:r>
      <w:r w:rsidR="009327A9" w:rsidRPr="009F63CE">
        <w:rPr>
          <w:rFonts w:cs="Arial"/>
        </w:rPr>
        <w:t>g if gestation is unknown.</w:t>
      </w:r>
    </w:p>
    <w:p w14:paraId="0D6FCEC1" w14:textId="77777777" w:rsidR="009327A9" w:rsidRPr="009F63CE" w:rsidRDefault="009327A9" w:rsidP="002D24D2">
      <w:pPr>
        <w:pStyle w:val="H3"/>
      </w:pPr>
      <w:bookmarkStart w:id="34" w:name="_Toc119317821"/>
      <w:bookmarkStart w:id="35" w:name="_Toc119317897"/>
      <w:bookmarkStart w:id="36" w:name="_Toc119407123"/>
      <w:r w:rsidRPr="009F63CE">
        <w:t>Perinatal mortality rate</w:t>
      </w:r>
      <w:bookmarkEnd w:id="34"/>
      <w:bookmarkEnd w:id="35"/>
      <w:bookmarkEnd w:id="36"/>
    </w:p>
    <w:p w14:paraId="155B70F2" w14:textId="44D6EEE3" w:rsidR="009327A9" w:rsidRPr="009F63CE" w:rsidRDefault="00100745" w:rsidP="009327A9">
      <w:pPr>
        <w:spacing w:before="120" w:after="120"/>
        <w:rPr>
          <w:rFonts w:cs="Arial"/>
        </w:rPr>
      </w:pPr>
      <w:r>
        <w:rPr>
          <w:rFonts w:cs="Arial"/>
        </w:rPr>
        <w:t>I</w:t>
      </w:r>
      <w:r w:rsidRPr="009F63CE">
        <w:rPr>
          <w:rFonts w:cs="Arial"/>
        </w:rPr>
        <w:t xml:space="preserve">n </w:t>
      </w:r>
      <w:r w:rsidR="004816C9">
        <w:rPr>
          <w:rFonts w:cs="Arial"/>
        </w:rPr>
        <w:t>Aotearoa</w:t>
      </w:r>
      <w:r w:rsidR="009955DC">
        <w:rPr>
          <w:rFonts w:cs="Arial"/>
        </w:rPr>
        <w:t xml:space="preserve"> </w:t>
      </w:r>
      <w:r w:rsidRPr="009F63CE">
        <w:rPr>
          <w:rFonts w:cs="Arial"/>
        </w:rPr>
        <w:t>New Zealand</w:t>
      </w:r>
      <w:r>
        <w:rPr>
          <w:rFonts w:cs="Arial"/>
        </w:rPr>
        <w:t>, the p</w:t>
      </w:r>
      <w:r w:rsidR="009327A9" w:rsidRPr="009F63CE">
        <w:rPr>
          <w:rFonts w:cs="Arial"/>
        </w:rPr>
        <w:t>erinatal mortality rate is calculated as fetal deaths and early neonatal deaths per 1000 total babies born alive or born dead at 20 weeks gestation or beyond or weighing at least 400</w:t>
      </w:r>
      <w:r w:rsidR="00DA7341">
        <w:rPr>
          <w:rFonts w:cs="Arial"/>
        </w:rPr>
        <w:t xml:space="preserve"> </w:t>
      </w:r>
      <w:r w:rsidR="009327A9" w:rsidRPr="009F63CE">
        <w:rPr>
          <w:rFonts w:cs="Arial"/>
        </w:rPr>
        <w:t>g if gestation is unknown.</w:t>
      </w:r>
      <w:r w:rsidR="00613E2D">
        <w:rPr>
          <w:rFonts w:cs="Arial"/>
        </w:rPr>
        <w:t xml:space="preserve"> This is in line with the legal definition in </w:t>
      </w:r>
      <w:r w:rsidR="004C4548">
        <w:rPr>
          <w:rFonts w:cs="Arial"/>
        </w:rPr>
        <w:t xml:space="preserve">Aotearoa </w:t>
      </w:r>
      <w:r w:rsidR="00613E2D">
        <w:rPr>
          <w:rFonts w:cs="Arial"/>
        </w:rPr>
        <w:t>New Zealand for stillbirth</w:t>
      </w:r>
      <w:r w:rsidR="00DA7341">
        <w:rPr>
          <w:rFonts w:cs="Arial"/>
        </w:rPr>
        <w:t>.</w:t>
      </w:r>
      <w:r w:rsidR="00EA27B9">
        <w:rPr>
          <w:rStyle w:val="FootnoteReference"/>
          <w:rFonts w:cs="Arial"/>
        </w:rPr>
        <w:footnoteReference w:id="2"/>
      </w:r>
    </w:p>
    <w:p w14:paraId="7008BB8B" w14:textId="6EB542A9" w:rsidR="009327A9" w:rsidRPr="009F63CE" w:rsidRDefault="009327A9" w:rsidP="009327A9">
      <w:pPr>
        <w:spacing w:before="120" w:after="120"/>
        <w:rPr>
          <w:rFonts w:cs="Arial"/>
        </w:rPr>
      </w:pPr>
      <w:r w:rsidRPr="009F63CE">
        <w:rPr>
          <w:rFonts w:cs="Arial"/>
        </w:rPr>
        <w:t xml:space="preserve">In some places, this report refers to a UK definition of perinatal mortality, which was developed for the surveillance of perinatal deaths in the UK and is based on the UK legal definition of stillbirths, which excludes deaths before 24 weeks gestation and terminations of pregnancy </w:t>
      </w:r>
      <w:r w:rsidRPr="009F63CE">
        <w:rPr>
          <w:rFonts w:cs="Arial"/>
          <w:color w:val="auto"/>
        </w:rPr>
        <w:t>(</w:t>
      </w:r>
      <w:r w:rsidR="007C382C" w:rsidRPr="009F63CE">
        <w:rPr>
          <w:rFonts w:cs="Arial"/>
          <w:color w:val="auto"/>
        </w:rPr>
        <w:t>Centre for Maternal and Child Enquiries</w:t>
      </w:r>
      <w:hyperlink r:id="rId19" w:history="1">
        <w:r w:rsidRPr="009F63CE">
          <w:rPr>
            <w:rStyle w:val="Hyperlink"/>
            <w:rFonts w:cs="Arial"/>
            <w:color w:val="auto"/>
            <w:u w:val="none"/>
          </w:rPr>
          <w:t xml:space="preserve"> 2011</w:t>
        </w:r>
      </w:hyperlink>
      <w:r w:rsidRPr="009F63CE">
        <w:rPr>
          <w:rFonts w:cs="Arial"/>
        </w:rPr>
        <w:t>).</w:t>
      </w:r>
      <w:r w:rsidR="00844E90">
        <w:rPr>
          <w:rFonts w:cs="Arial"/>
        </w:rPr>
        <w:t xml:space="preserve"> </w:t>
      </w:r>
      <w:bookmarkStart w:id="37" w:name="_Hlk114645952"/>
      <w:r w:rsidR="00C34AA6" w:rsidRPr="00C34AA6">
        <w:rPr>
          <w:rFonts w:cs="Arial"/>
        </w:rPr>
        <w:t xml:space="preserve">The </w:t>
      </w:r>
      <w:r w:rsidR="00C34AA6">
        <w:rPr>
          <w:rFonts w:cs="Arial"/>
        </w:rPr>
        <w:t>UK</w:t>
      </w:r>
      <w:r w:rsidR="00C34AA6" w:rsidRPr="00C34AA6">
        <w:rPr>
          <w:rFonts w:cs="Arial"/>
        </w:rPr>
        <w:t xml:space="preserve"> definition is different from the New Zealand legal definition but is applied to the set for comparison purposes in specific tables and figures (</w:t>
      </w:r>
      <w:r w:rsidR="00842DDA">
        <w:rPr>
          <w:rFonts w:cs="Arial"/>
        </w:rPr>
        <w:t>eg,</w:t>
      </w:r>
      <w:r w:rsidR="00C34AA6" w:rsidRPr="00C34AA6">
        <w:rPr>
          <w:rFonts w:cs="Arial"/>
        </w:rPr>
        <w:t xml:space="preserve"> Table 3.13). Instances where this </w:t>
      </w:r>
      <w:r w:rsidR="00C91F27">
        <w:rPr>
          <w:rFonts w:cs="Arial"/>
        </w:rPr>
        <w:t xml:space="preserve">is </w:t>
      </w:r>
      <w:r w:rsidR="00C34AA6" w:rsidRPr="00C34AA6">
        <w:rPr>
          <w:rFonts w:cs="Arial"/>
        </w:rPr>
        <w:t xml:space="preserve">used is noted </w:t>
      </w:r>
      <w:r w:rsidR="00C34AA6">
        <w:rPr>
          <w:rFonts w:cs="Arial"/>
        </w:rPr>
        <w:t>in headings</w:t>
      </w:r>
      <w:r w:rsidR="00C34AA6" w:rsidRPr="00C34AA6">
        <w:rPr>
          <w:rFonts w:cs="Arial"/>
        </w:rPr>
        <w:t>.</w:t>
      </w:r>
      <w:bookmarkEnd w:id="37"/>
    </w:p>
    <w:p w14:paraId="1A0FB637" w14:textId="77777777" w:rsidR="009327A9" w:rsidRPr="009F63CE" w:rsidRDefault="009327A9" w:rsidP="002D24D2">
      <w:pPr>
        <w:pStyle w:val="H3"/>
      </w:pPr>
      <w:bookmarkStart w:id="38" w:name="_Toc119317822"/>
      <w:bookmarkStart w:id="39" w:name="_Toc119317898"/>
      <w:bookmarkStart w:id="40" w:name="_Toc119407124"/>
      <w:r w:rsidRPr="009F63CE">
        <w:t>Perinatal related mortality rate</w:t>
      </w:r>
      <w:bookmarkEnd w:id="38"/>
      <w:bookmarkEnd w:id="39"/>
      <w:bookmarkEnd w:id="40"/>
    </w:p>
    <w:p w14:paraId="67CE130D" w14:textId="768E6709" w:rsidR="009327A9" w:rsidRPr="009F63CE" w:rsidRDefault="00B46023" w:rsidP="009327A9">
      <w:pPr>
        <w:spacing w:before="120" w:after="120"/>
        <w:rPr>
          <w:rFonts w:cs="Arial"/>
        </w:rPr>
      </w:pPr>
      <w:r>
        <w:rPr>
          <w:rFonts w:cs="Arial"/>
        </w:rPr>
        <w:t>The p</w:t>
      </w:r>
      <w:r w:rsidR="009327A9" w:rsidRPr="009F63CE">
        <w:rPr>
          <w:rFonts w:cs="Arial"/>
        </w:rPr>
        <w:t>erinatal related mortality rate refers to fetal deaths and early and late neonatal deaths per 1000 total babies born at 20 weeks gestation or beyond or weighing at least 400</w:t>
      </w:r>
      <w:r w:rsidR="00842DDA">
        <w:rPr>
          <w:rFonts w:cs="Arial"/>
        </w:rPr>
        <w:t xml:space="preserve"> </w:t>
      </w:r>
      <w:r w:rsidR="009327A9" w:rsidRPr="009F63CE">
        <w:rPr>
          <w:rFonts w:cs="Arial"/>
        </w:rPr>
        <w:t>g if gestation is unknown.</w:t>
      </w:r>
    </w:p>
    <w:p w14:paraId="67BDC6F7" w14:textId="3D7582C1" w:rsidR="009327A9" w:rsidRPr="009F63CE" w:rsidRDefault="009327A9" w:rsidP="002D24D2">
      <w:pPr>
        <w:pStyle w:val="H3"/>
      </w:pPr>
      <w:bookmarkStart w:id="41" w:name="_Toc119317823"/>
      <w:bookmarkStart w:id="42" w:name="_Toc119317899"/>
      <w:bookmarkStart w:id="43" w:name="_Toc119407125"/>
      <w:r w:rsidRPr="009F63CE">
        <w:t>International (</w:t>
      </w:r>
      <w:r w:rsidR="00842DDA">
        <w:t>World Health Organization</w:t>
      </w:r>
      <w:r w:rsidRPr="009F63CE">
        <w:t>) perinatal mortality rates</w:t>
      </w:r>
      <w:bookmarkEnd w:id="41"/>
      <w:bookmarkEnd w:id="42"/>
      <w:bookmarkEnd w:id="43"/>
    </w:p>
    <w:p w14:paraId="7686EB7C" w14:textId="3801C5C5" w:rsidR="009327A9" w:rsidRPr="009F63CE" w:rsidRDefault="005E1099" w:rsidP="009327A9">
      <w:pPr>
        <w:spacing w:before="120" w:after="120"/>
        <w:rPr>
          <w:rFonts w:cs="Arial"/>
        </w:rPr>
      </w:pPr>
      <w:r w:rsidRPr="009F63CE">
        <w:rPr>
          <w:rFonts w:cs="Arial"/>
        </w:rPr>
        <w:t xml:space="preserve">The </w:t>
      </w:r>
      <w:r w:rsidR="002D24D2" w:rsidRPr="002D24D2">
        <w:rPr>
          <w:rFonts w:cs="Arial"/>
        </w:rPr>
        <w:t xml:space="preserve">World Health Organization </w:t>
      </w:r>
      <w:r w:rsidR="002D24D2">
        <w:rPr>
          <w:rFonts w:cs="Arial"/>
        </w:rPr>
        <w:t>(</w:t>
      </w:r>
      <w:r w:rsidR="002D24D2" w:rsidRPr="002D24D2">
        <w:rPr>
          <w:rFonts w:cs="Arial"/>
        </w:rPr>
        <w:t>WHO</w:t>
      </w:r>
      <w:r w:rsidR="002D24D2">
        <w:rPr>
          <w:rFonts w:cs="Arial"/>
        </w:rPr>
        <w:t xml:space="preserve">) </w:t>
      </w:r>
      <w:r w:rsidRPr="009F63CE">
        <w:rPr>
          <w:rFonts w:cs="Arial"/>
        </w:rPr>
        <w:t>recommend</w:t>
      </w:r>
      <w:r w:rsidR="00ED44FE" w:rsidRPr="009F63CE">
        <w:rPr>
          <w:rFonts w:cs="Arial"/>
        </w:rPr>
        <w:t>s</w:t>
      </w:r>
      <w:r w:rsidRPr="009F63CE">
        <w:rPr>
          <w:rFonts w:cs="Arial"/>
        </w:rPr>
        <w:t xml:space="preserve"> </w:t>
      </w:r>
      <w:r w:rsidR="004E5F95">
        <w:rPr>
          <w:rFonts w:cs="Arial"/>
        </w:rPr>
        <w:t xml:space="preserve">the use of </w:t>
      </w:r>
      <w:r w:rsidRPr="009F63CE">
        <w:rPr>
          <w:rFonts w:cs="Arial"/>
        </w:rPr>
        <w:t>international perinatal mortality rates to facilitate international comparison</w:t>
      </w:r>
      <w:r w:rsidR="00ED44FE" w:rsidRPr="009F63CE">
        <w:rPr>
          <w:rFonts w:cs="Arial"/>
        </w:rPr>
        <w:t xml:space="preserve"> (WHO </w:t>
      </w:r>
      <w:hyperlink r:id="rId20" w:history="1">
        <w:r w:rsidR="00ED44FE" w:rsidRPr="009F63CE">
          <w:rPr>
            <w:rStyle w:val="Hyperlink"/>
            <w:rFonts w:cs="Arial"/>
            <w:color w:val="auto"/>
            <w:u w:val="none"/>
          </w:rPr>
          <w:t>2006</w:t>
        </w:r>
      </w:hyperlink>
      <w:r w:rsidR="00ED44FE" w:rsidRPr="009F63CE">
        <w:rPr>
          <w:rFonts w:cs="Arial"/>
        </w:rPr>
        <w:t>)</w:t>
      </w:r>
      <w:r w:rsidRPr="009F63CE">
        <w:rPr>
          <w:rFonts w:cs="Arial"/>
        </w:rPr>
        <w:t xml:space="preserve">. </w:t>
      </w:r>
      <w:r w:rsidR="009327A9" w:rsidRPr="009F63CE">
        <w:rPr>
          <w:rFonts w:cs="Arial"/>
        </w:rPr>
        <w:t>These are rates of fetal death, neonatal death, perinatal mortality and perinatal related</w:t>
      </w:r>
      <w:r w:rsidR="00B64450">
        <w:rPr>
          <w:rFonts w:cs="Arial"/>
        </w:rPr>
        <w:t xml:space="preserve"> mortality of babies weighing ≥1</w:t>
      </w:r>
      <w:r w:rsidR="009327A9" w:rsidRPr="009F63CE">
        <w:rPr>
          <w:rFonts w:cs="Arial"/>
        </w:rPr>
        <w:t>000</w:t>
      </w:r>
      <w:r w:rsidR="004E5F95">
        <w:rPr>
          <w:rFonts w:cs="Arial"/>
        </w:rPr>
        <w:t xml:space="preserve"> </w:t>
      </w:r>
      <w:r w:rsidR="009327A9" w:rsidRPr="009F63CE">
        <w:rPr>
          <w:rFonts w:cs="Arial"/>
        </w:rPr>
        <w:t>g, or ≥28</w:t>
      </w:r>
      <w:r w:rsidR="006950D8">
        <w:rPr>
          <w:rFonts w:cs="Arial"/>
        </w:rPr>
        <w:t> </w:t>
      </w:r>
      <w:r w:rsidR="009327A9" w:rsidRPr="009F63CE">
        <w:rPr>
          <w:rFonts w:cs="Arial"/>
        </w:rPr>
        <w:t>weeks if birthweight is unknown, per 1000 total births of babies ≥1000</w:t>
      </w:r>
      <w:r w:rsidR="004E5F95">
        <w:rPr>
          <w:rFonts w:cs="Arial"/>
        </w:rPr>
        <w:t xml:space="preserve"> </w:t>
      </w:r>
      <w:r w:rsidR="009327A9" w:rsidRPr="009F63CE">
        <w:rPr>
          <w:rFonts w:cs="Arial"/>
        </w:rPr>
        <w:t xml:space="preserve">g, or ≥28 weeks if birthweight is unknown. Babies without birthweight or gestation </w:t>
      </w:r>
      <w:r w:rsidR="00071A30">
        <w:rPr>
          <w:rFonts w:cs="Arial"/>
        </w:rPr>
        <w:t xml:space="preserve">should </w:t>
      </w:r>
      <w:r w:rsidR="009327A9" w:rsidRPr="009F63CE">
        <w:rPr>
          <w:rFonts w:cs="Arial"/>
        </w:rPr>
        <w:t>be included if they have been registered.</w:t>
      </w:r>
    </w:p>
    <w:p w14:paraId="3104FA9F" w14:textId="570BC1EC" w:rsidR="009327A9" w:rsidRPr="009F63CE" w:rsidRDefault="009327A9" w:rsidP="002D24D2">
      <w:pPr>
        <w:pStyle w:val="H3"/>
      </w:pPr>
      <w:bookmarkStart w:id="44" w:name="_Toc119317824"/>
      <w:bookmarkStart w:id="45" w:name="_Toc119317900"/>
      <w:bookmarkStart w:id="46" w:name="_Toc119407126"/>
      <w:r w:rsidRPr="009F63CE">
        <w:t xml:space="preserve">Lethal and terminated fetal </w:t>
      </w:r>
      <w:r w:rsidR="00B46023">
        <w:t>anomalies</w:t>
      </w:r>
      <w:bookmarkEnd w:id="44"/>
      <w:bookmarkEnd w:id="45"/>
      <w:bookmarkEnd w:id="46"/>
    </w:p>
    <w:p w14:paraId="270F61EE" w14:textId="38C3DF98" w:rsidR="009327A9" w:rsidRPr="009F63CE" w:rsidRDefault="009327A9" w:rsidP="009327A9">
      <w:pPr>
        <w:spacing w:before="120" w:after="120"/>
        <w:rPr>
          <w:rFonts w:cs="Arial"/>
        </w:rPr>
      </w:pPr>
      <w:r w:rsidRPr="009F63CE">
        <w:rPr>
          <w:rFonts w:cs="Arial"/>
        </w:rPr>
        <w:t xml:space="preserve">Lethal and terminated fetal </w:t>
      </w:r>
      <w:r w:rsidR="00B46023">
        <w:rPr>
          <w:rFonts w:cs="Arial"/>
        </w:rPr>
        <w:t>anomalies</w:t>
      </w:r>
      <w:r w:rsidRPr="009F63CE">
        <w:rPr>
          <w:rFonts w:cs="Arial"/>
        </w:rPr>
        <w:t xml:space="preserve"> are all perinatal related deaths classified by the </w:t>
      </w:r>
      <w:r w:rsidR="00753AAC" w:rsidRPr="009F63CE">
        <w:rPr>
          <w:rFonts w:cs="Arial"/>
        </w:rPr>
        <w:t>Perinatal Society of Australia and New Zealand</w:t>
      </w:r>
      <w:r w:rsidR="004301DB" w:rsidRPr="009F63CE">
        <w:rPr>
          <w:rFonts w:cs="Arial"/>
        </w:rPr>
        <w:t xml:space="preserve"> </w:t>
      </w:r>
      <w:r w:rsidR="00906B7A" w:rsidRPr="009F63CE">
        <w:rPr>
          <w:rFonts w:cs="Arial"/>
        </w:rPr>
        <w:t xml:space="preserve">Perinatal Death Classification </w:t>
      </w:r>
      <w:r w:rsidR="00753AAC" w:rsidRPr="009F63CE">
        <w:rPr>
          <w:rFonts w:cs="Arial"/>
        </w:rPr>
        <w:t>(</w:t>
      </w:r>
      <w:bookmarkStart w:id="47" w:name="_Hlk17292582"/>
      <w:r w:rsidR="0089040F" w:rsidRPr="009F63CE">
        <w:rPr>
          <w:rFonts w:cs="Arial"/>
        </w:rPr>
        <w:t>PSANZ-</w:t>
      </w:r>
      <w:r w:rsidR="00753AAC" w:rsidRPr="009F63CE">
        <w:rPr>
          <w:rFonts w:cs="Arial"/>
        </w:rPr>
        <w:t>PDC</w:t>
      </w:r>
      <w:bookmarkEnd w:id="47"/>
      <w:r w:rsidR="00753AAC" w:rsidRPr="009F63CE">
        <w:rPr>
          <w:rFonts w:cs="Arial"/>
        </w:rPr>
        <w:t xml:space="preserve">) </w:t>
      </w:r>
      <w:r w:rsidRPr="009F63CE">
        <w:rPr>
          <w:rFonts w:cs="Arial"/>
        </w:rPr>
        <w:t xml:space="preserve">system as PSANZ-PDC 1 (congenital </w:t>
      </w:r>
      <w:r w:rsidR="00B46023">
        <w:rPr>
          <w:rFonts w:cs="Arial"/>
        </w:rPr>
        <w:t>anomaly</w:t>
      </w:r>
      <w:r w:rsidRPr="009F63CE">
        <w:rPr>
          <w:rFonts w:cs="Arial"/>
        </w:rPr>
        <w:t xml:space="preserve">) and neonatal deaths classified by the PSANZ </w:t>
      </w:r>
      <w:r w:rsidR="00906B7A" w:rsidRPr="009F63CE">
        <w:rPr>
          <w:rFonts w:cs="Arial"/>
        </w:rPr>
        <w:t xml:space="preserve">Neonatal Death Classification </w:t>
      </w:r>
      <w:r w:rsidR="00753AAC" w:rsidRPr="009F63CE">
        <w:rPr>
          <w:rFonts w:cs="Arial"/>
        </w:rPr>
        <w:t>(</w:t>
      </w:r>
      <w:bookmarkStart w:id="48" w:name="_Hlk17292589"/>
      <w:r w:rsidR="00753AAC" w:rsidRPr="009F63CE">
        <w:rPr>
          <w:rFonts w:cs="Arial"/>
        </w:rPr>
        <w:t>PSANZ-NDC</w:t>
      </w:r>
      <w:bookmarkEnd w:id="48"/>
      <w:r w:rsidR="00753AAC" w:rsidRPr="009F63CE">
        <w:rPr>
          <w:rFonts w:cs="Arial"/>
        </w:rPr>
        <w:t xml:space="preserve">) </w:t>
      </w:r>
      <w:r w:rsidRPr="009F63CE">
        <w:rPr>
          <w:rFonts w:cs="Arial"/>
        </w:rPr>
        <w:t xml:space="preserve">system as PSANZ-NDC 1 </w:t>
      </w:r>
      <w:r w:rsidR="004B2141">
        <w:rPr>
          <w:rFonts w:cs="Arial"/>
        </w:rPr>
        <w:br/>
      </w:r>
      <w:r w:rsidRPr="009F63CE">
        <w:rPr>
          <w:rFonts w:cs="Arial"/>
        </w:rPr>
        <w:t xml:space="preserve">(congenital </w:t>
      </w:r>
      <w:r w:rsidR="00B46023">
        <w:rPr>
          <w:rFonts w:cs="Arial"/>
        </w:rPr>
        <w:t>anomaly</w:t>
      </w:r>
      <w:r w:rsidRPr="009F63CE">
        <w:rPr>
          <w:rFonts w:cs="Arial"/>
        </w:rPr>
        <w:t>).</w:t>
      </w:r>
    </w:p>
    <w:p w14:paraId="142CBBD5" w14:textId="77777777" w:rsidR="009327A9" w:rsidRPr="009F63CE" w:rsidRDefault="009327A9" w:rsidP="002D24D2">
      <w:pPr>
        <w:pStyle w:val="H3"/>
      </w:pPr>
      <w:bookmarkStart w:id="49" w:name="_Toc119317825"/>
      <w:bookmarkStart w:id="50" w:name="_Toc119317901"/>
      <w:bookmarkStart w:id="51" w:name="_Toc119407127"/>
      <w:r w:rsidRPr="009F63CE">
        <w:lastRenderedPageBreak/>
        <w:t>Intrapartum stillbirth rate</w:t>
      </w:r>
      <w:bookmarkEnd w:id="49"/>
      <w:bookmarkEnd w:id="50"/>
      <w:bookmarkEnd w:id="51"/>
    </w:p>
    <w:p w14:paraId="132EA217" w14:textId="3DB4756F" w:rsidR="009327A9" w:rsidRPr="009F63CE" w:rsidRDefault="00B46023" w:rsidP="009327A9">
      <w:pPr>
        <w:spacing w:before="120" w:after="120"/>
        <w:rPr>
          <w:rFonts w:cs="Arial"/>
        </w:rPr>
      </w:pPr>
      <w:r>
        <w:rPr>
          <w:rFonts w:cs="Arial"/>
        </w:rPr>
        <w:t>The i</w:t>
      </w:r>
      <w:r w:rsidR="009327A9" w:rsidRPr="009F63CE">
        <w:rPr>
          <w:rFonts w:cs="Arial"/>
        </w:rPr>
        <w:t xml:space="preserve">ntrapartum stillbirth rate calculates deaths of babies of at least 24 weeks gestation without congenital </w:t>
      </w:r>
      <w:r>
        <w:rPr>
          <w:rFonts w:cs="Arial"/>
        </w:rPr>
        <w:t>anomaly</w:t>
      </w:r>
      <w:r w:rsidR="009327A9" w:rsidRPr="009F63CE">
        <w:rPr>
          <w:rFonts w:cs="Arial"/>
        </w:rPr>
        <w:t xml:space="preserve"> who entered labour alive but then died during labour</w:t>
      </w:r>
      <w:r>
        <w:rPr>
          <w:rFonts w:cs="Arial"/>
        </w:rPr>
        <w:t>,</w:t>
      </w:r>
      <w:r w:rsidR="009327A9" w:rsidRPr="009F63CE">
        <w:rPr>
          <w:rFonts w:cs="Arial"/>
        </w:rPr>
        <w:t xml:space="preserve"> as a rate per 1000 births 24 weeks and beyond.</w:t>
      </w:r>
    </w:p>
    <w:p w14:paraId="7F0CF94F" w14:textId="77777777" w:rsidR="001C7828" w:rsidRPr="009F63CE" w:rsidRDefault="004A2CB2" w:rsidP="002D24D2">
      <w:pPr>
        <w:pStyle w:val="H3"/>
      </w:pPr>
      <w:bookmarkStart w:id="52" w:name="_Toc119317826"/>
      <w:bookmarkStart w:id="53" w:name="_Toc119317902"/>
      <w:bookmarkStart w:id="54" w:name="_Toc119407128"/>
      <w:r w:rsidRPr="009F63CE">
        <w:t>Maternal death</w:t>
      </w:r>
      <w:bookmarkEnd w:id="52"/>
      <w:bookmarkEnd w:id="53"/>
      <w:bookmarkEnd w:id="54"/>
      <w:r w:rsidR="00115CC8" w:rsidRPr="009F63CE">
        <w:t xml:space="preserve"> </w:t>
      </w:r>
    </w:p>
    <w:p w14:paraId="2FC54B4E" w14:textId="128F2443" w:rsidR="004A2CB2" w:rsidRPr="009F63CE" w:rsidRDefault="001C7828" w:rsidP="0089040F">
      <w:pPr>
        <w:spacing w:before="120" w:after="120"/>
        <w:rPr>
          <w:rFonts w:cs="Arial"/>
        </w:rPr>
      </w:pPr>
      <w:r w:rsidRPr="009F63CE">
        <w:rPr>
          <w:rFonts w:cs="Arial"/>
        </w:rPr>
        <w:t xml:space="preserve">Maternal death </w:t>
      </w:r>
      <w:r w:rsidR="00115CC8" w:rsidRPr="009F63CE">
        <w:rPr>
          <w:rFonts w:cs="Arial"/>
        </w:rPr>
        <w:t>is the</w:t>
      </w:r>
      <w:r w:rsidR="004A2CB2" w:rsidRPr="009F63CE">
        <w:rPr>
          <w:rFonts w:cs="Arial"/>
        </w:rPr>
        <w:t xml:space="preserve"> death of a woman while pregnant or within 42 days of </w:t>
      </w:r>
      <w:r w:rsidR="00243343">
        <w:rPr>
          <w:rFonts w:cs="Arial"/>
        </w:rPr>
        <w:t>the end</w:t>
      </w:r>
      <w:r w:rsidR="004A2CB2" w:rsidRPr="009F63CE">
        <w:rPr>
          <w:rFonts w:cs="Arial"/>
        </w:rPr>
        <w:t xml:space="preserve"> of pregnancy </w:t>
      </w:r>
      <w:r w:rsidR="00115CC8" w:rsidRPr="009F63CE">
        <w:rPr>
          <w:rFonts w:cs="Arial"/>
        </w:rPr>
        <w:t xml:space="preserve">(miscarriage, termination or birth), </w:t>
      </w:r>
      <w:r w:rsidR="004A2CB2" w:rsidRPr="009F63CE">
        <w:rPr>
          <w:rFonts w:cs="Arial"/>
        </w:rPr>
        <w:t xml:space="preserve">irrespective of the duration and site of the pregnancy, from any cause related to or aggravated by the pregnancy or its management, but not from accidental </w:t>
      </w:r>
      <w:r w:rsidR="00115CC8" w:rsidRPr="009F63CE">
        <w:rPr>
          <w:rFonts w:cs="Arial"/>
        </w:rPr>
        <w:t>or incidental causes (</w:t>
      </w:r>
      <w:hyperlink r:id="rId21" w:history="1">
        <w:r w:rsidR="00115CC8" w:rsidRPr="009F63CE">
          <w:rPr>
            <w:rStyle w:val="Hyperlink"/>
            <w:rFonts w:cs="Arial"/>
            <w:color w:val="auto"/>
            <w:u w:val="none"/>
          </w:rPr>
          <w:t>WHO nd</w:t>
        </w:r>
      </w:hyperlink>
      <w:r w:rsidR="00115CC8" w:rsidRPr="009F63CE">
        <w:rPr>
          <w:rFonts w:cs="Arial"/>
        </w:rPr>
        <w:t>)</w:t>
      </w:r>
      <w:r w:rsidRPr="009F63CE">
        <w:rPr>
          <w:rFonts w:cs="Arial"/>
        </w:rPr>
        <w:t>.</w:t>
      </w:r>
    </w:p>
    <w:p w14:paraId="3EE6AFB3" w14:textId="77777777" w:rsidR="00115CC8" w:rsidRPr="009F63CE" w:rsidRDefault="00115CC8" w:rsidP="0089040F">
      <w:pPr>
        <w:spacing w:before="120" w:after="120"/>
        <w:rPr>
          <w:rFonts w:cs="Arial"/>
        </w:rPr>
      </w:pPr>
      <w:r w:rsidRPr="009F63CE">
        <w:rPr>
          <w:rFonts w:cs="Arial"/>
        </w:rPr>
        <w:t xml:space="preserve">The cause of maternal death is sub-classified </w:t>
      </w:r>
      <w:r w:rsidR="0096181D" w:rsidRPr="009F63CE">
        <w:rPr>
          <w:rFonts w:cs="Arial"/>
        </w:rPr>
        <w:t xml:space="preserve">into the following categories </w:t>
      </w:r>
      <w:r w:rsidRPr="009F63CE">
        <w:rPr>
          <w:rFonts w:cs="Arial"/>
        </w:rPr>
        <w:t xml:space="preserve">based on </w:t>
      </w:r>
      <w:r w:rsidRPr="009F63CE">
        <w:rPr>
          <w:rFonts w:cs="Arial"/>
          <w:i/>
        </w:rPr>
        <w:t>The WHO Application of ICD-10 to Deaths during Pregnancy, Childbirth and Puerperium: ICD MM</w:t>
      </w:r>
      <w:r w:rsidRPr="009F63CE">
        <w:rPr>
          <w:rFonts w:cs="Arial"/>
        </w:rPr>
        <w:t xml:space="preserve"> (</w:t>
      </w:r>
      <w:hyperlink r:id="rId22" w:history="1">
        <w:r w:rsidRPr="009F63CE">
          <w:rPr>
            <w:rFonts w:cs="Arial"/>
          </w:rPr>
          <w:t>WHO 2012</w:t>
        </w:r>
      </w:hyperlink>
      <w:r w:rsidRPr="009F63CE">
        <w:rPr>
          <w:rFonts w:cs="Arial"/>
        </w:rPr>
        <w:t>).</w:t>
      </w:r>
    </w:p>
    <w:p w14:paraId="32EF40FE" w14:textId="13BFA8E1" w:rsidR="0023448B" w:rsidRPr="009F63CE" w:rsidRDefault="004A2CB2" w:rsidP="00C37EDE">
      <w:pPr>
        <w:pStyle w:val="ListBullet"/>
        <w:spacing w:before="0" w:after="60"/>
        <w:rPr>
          <w:rFonts w:cs="Arial"/>
        </w:rPr>
      </w:pPr>
      <w:r w:rsidRPr="009F63CE">
        <w:rPr>
          <w:rFonts w:cs="Arial"/>
          <w:b/>
        </w:rPr>
        <w:t>Direct maternal deaths</w:t>
      </w:r>
      <w:r w:rsidRPr="005B50E7">
        <w:rPr>
          <w:rFonts w:cs="Arial"/>
          <w:b/>
          <w:bCs/>
        </w:rPr>
        <w:t>:</w:t>
      </w:r>
      <w:r w:rsidRPr="009F63CE">
        <w:rPr>
          <w:rFonts w:cs="Arial"/>
        </w:rPr>
        <w:t xml:space="preserve"> those resulting from obstetric complications of the pregnant state (pregnancy, labour or puerperium</w:t>
      </w:r>
      <w:r w:rsidR="00E1122C">
        <w:rPr>
          <w:rStyle w:val="FootnoteReference"/>
          <w:rFonts w:cs="Arial"/>
        </w:rPr>
        <w:footnoteReference w:id="3"/>
      </w:r>
      <w:r w:rsidRPr="009F63CE">
        <w:rPr>
          <w:rFonts w:cs="Arial"/>
        </w:rPr>
        <w:t>), from interventions, omissions, incorrect treatment or from a chain of events resulting from the above.</w:t>
      </w:r>
      <w:r w:rsidR="0023448B" w:rsidRPr="009F63CE">
        <w:rPr>
          <w:rFonts w:cs="Arial"/>
        </w:rPr>
        <w:t xml:space="preserve"> In 2018, the PMMRC adopted the WHO revision to include deaths by suicide with direct maternal deaths.</w:t>
      </w:r>
      <w:r w:rsidR="00A65593" w:rsidRPr="009F63CE">
        <w:rPr>
          <w:rFonts w:cs="Arial"/>
        </w:rPr>
        <w:t xml:space="preserve"> This was then applied retrospectively to data from previous years. </w:t>
      </w:r>
    </w:p>
    <w:p w14:paraId="1F9D1762" w14:textId="39802DD8" w:rsidR="004A2CB2" w:rsidRPr="009F63CE" w:rsidRDefault="004A2CB2" w:rsidP="00C37EDE">
      <w:pPr>
        <w:pStyle w:val="ListBullet"/>
        <w:spacing w:before="0" w:after="60"/>
        <w:rPr>
          <w:rFonts w:cs="Arial"/>
        </w:rPr>
      </w:pPr>
      <w:r w:rsidRPr="009F63CE">
        <w:rPr>
          <w:rFonts w:cs="Arial"/>
          <w:b/>
        </w:rPr>
        <w:t>Indirect maternal deaths</w:t>
      </w:r>
      <w:r w:rsidRPr="005B50E7">
        <w:rPr>
          <w:rFonts w:cs="Arial"/>
          <w:b/>
          <w:bCs/>
        </w:rPr>
        <w:t>:</w:t>
      </w:r>
      <w:r w:rsidRPr="009F63CE">
        <w:rPr>
          <w:rFonts w:cs="Arial"/>
        </w:rPr>
        <w:t xml:space="preserve"> those resulting from previous existing disease or disease that developed during pregnancy and was not due to direct obstetric causes but that was aggravated by the physiologic</w:t>
      </w:r>
      <w:r w:rsidR="00967B14">
        <w:rPr>
          <w:rFonts w:cs="Arial"/>
        </w:rPr>
        <w:t>al</w:t>
      </w:r>
      <w:r w:rsidRPr="009F63CE">
        <w:rPr>
          <w:rFonts w:cs="Arial"/>
        </w:rPr>
        <w:t xml:space="preserve"> effects of pregnancy.</w:t>
      </w:r>
      <w:r w:rsidR="00365A61" w:rsidRPr="009F63CE">
        <w:rPr>
          <w:rFonts w:cs="Arial"/>
        </w:rPr>
        <w:t xml:space="preserve"> </w:t>
      </w:r>
    </w:p>
    <w:p w14:paraId="6896CC89" w14:textId="20D96F80" w:rsidR="00E06C74" w:rsidRPr="009F63CE" w:rsidRDefault="0024243B" w:rsidP="00C37EDE">
      <w:pPr>
        <w:pStyle w:val="ListBullet"/>
        <w:spacing w:before="0" w:after="60"/>
        <w:rPr>
          <w:rFonts w:cs="Arial"/>
        </w:rPr>
      </w:pPr>
      <w:r w:rsidRPr="009F63CE">
        <w:rPr>
          <w:rFonts w:cs="Arial"/>
          <w:b/>
        </w:rPr>
        <w:t>Unknown/</w:t>
      </w:r>
      <w:r w:rsidR="00967B14">
        <w:rPr>
          <w:rFonts w:cs="Arial"/>
          <w:b/>
        </w:rPr>
        <w:t>u</w:t>
      </w:r>
      <w:r w:rsidRPr="009F63CE">
        <w:rPr>
          <w:rFonts w:cs="Arial"/>
          <w:b/>
        </w:rPr>
        <w:t xml:space="preserve">ndetermined </w:t>
      </w:r>
      <w:r w:rsidR="004A3A44" w:rsidRPr="009F63CE">
        <w:rPr>
          <w:rFonts w:cs="Arial"/>
          <w:b/>
        </w:rPr>
        <w:t xml:space="preserve">(or </w:t>
      </w:r>
      <w:r w:rsidR="00967B14">
        <w:rPr>
          <w:rFonts w:cs="Arial"/>
          <w:b/>
        </w:rPr>
        <w:t>u</w:t>
      </w:r>
      <w:r w:rsidR="000B186C" w:rsidRPr="009F63CE">
        <w:rPr>
          <w:rFonts w:cs="Arial"/>
          <w:b/>
        </w:rPr>
        <w:t>nclassifiable</w:t>
      </w:r>
      <w:r w:rsidR="004A3A44" w:rsidRPr="009F63CE">
        <w:rPr>
          <w:rFonts w:cs="Arial"/>
          <w:b/>
        </w:rPr>
        <w:t>)</w:t>
      </w:r>
      <w:r w:rsidR="000C6DCD" w:rsidRPr="009F63CE">
        <w:rPr>
          <w:rFonts w:cs="Arial"/>
          <w:b/>
        </w:rPr>
        <w:t xml:space="preserve"> maternal death</w:t>
      </w:r>
      <w:r w:rsidR="00575094">
        <w:rPr>
          <w:rFonts w:cs="Arial"/>
          <w:b/>
        </w:rPr>
        <w:t>:</w:t>
      </w:r>
      <w:r w:rsidR="000C6DCD" w:rsidRPr="009F63CE">
        <w:rPr>
          <w:rFonts w:cs="Arial"/>
        </w:rPr>
        <w:t xml:space="preserve"> </w:t>
      </w:r>
      <w:r w:rsidR="000B0DFA" w:rsidRPr="009F63CE">
        <w:rPr>
          <w:rFonts w:cs="Arial"/>
        </w:rPr>
        <w:t>death</w:t>
      </w:r>
      <w:r w:rsidR="00575094">
        <w:rPr>
          <w:rFonts w:cs="Arial"/>
        </w:rPr>
        <w:t>s</w:t>
      </w:r>
      <w:r w:rsidR="000B0DFA" w:rsidRPr="009F63CE">
        <w:rPr>
          <w:rFonts w:cs="Arial"/>
        </w:rPr>
        <w:t xml:space="preserve"> during pregnancy, childbirth and the puerperium where the underlying cause is unknown or was not determined. </w:t>
      </w:r>
    </w:p>
    <w:p w14:paraId="7C319DF9" w14:textId="0AB26E80" w:rsidR="004A2CB2" w:rsidRPr="009F63CE" w:rsidRDefault="004A2CB2" w:rsidP="00C37EDE">
      <w:pPr>
        <w:pStyle w:val="ListBullet"/>
        <w:spacing w:before="0"/>
        <w:rPr>
          <w:rFonts w:cs="Arial"/>
        </w:rPr>
      </w:pPr>
      <w:r w:rsidRPr="009F63CE">
        <w:rPr>
          <w:rFonts w:cs="Arial"/>
          <w:b/>
        </w:rPr>
        <w:t>Coincidental maternal deaths</w:t>
      </w:r>
      <w:r w:rsidRPr="0092720D">
        <w:rPr>
          <w:rFonts w:cs="Arial"/>
          <w:b/>
          <w:bCs/>
        </w:rPr>
        <w:t>:</w:t>
      </w:r>
      <w:r w:rsidRPr="009F63CE">
        <w:rPr>
          <w:rFonts w:cs="Arial"/>
        </w:rPr>
        <w:t xml:space="preserve"> deaths from unrelated causes that happen to occur in pregnancy or the puerperium.</w:t>
      </w:r>
      <w:r w:rsidR="009A6055">
        <w:rPr>
          <w:rFonts w:cs="Arial"/>
        </w:rPr>
        <w:t xml:space="preserve"> Coincidental maternal deaths are not included in maternal death analyses.</w:t>
      </w:r>
    </w:p>
    <w:p w14:paraId="1686637A" w14:textId="77777777" w:rsidR="004C33EF" w:rsidRPr="009F63CE" w:rsidRDefault="00BE7DF4" w:rsidP="002D24D2">
      <w:pPr>
        <w:pStyle w:val="H3"/>
      </w:pPr>
      <w:bookmarkStart w:id="55" w:name="_Toc119317827"/>
      <w:bookmarkStart w:id="56" w:name="_Toc119317903"/>
      <w:bookmarkStart w:id="57" w:name="_Toc119407129"/>
      <w:r w:rsidRPr="009F63CE">
        <w:t>Maternal mortality ratio</w:t>
      </w:r>
      <w:bookmarkEnd w:id="55"/>
      <w:bookmarkEnd w:id="56"/>
      <w:bookmarkEnd w:id="57"/>
      <w:r w:rsidRPr="009F63CE">
        <w:t xml:space="preserve"> </w:t>
      </w:r>
    </w:p>
    <w:p w14:paraId="3CA30946" w14:textId="3B7A182C" w:rsidR="00BE7DF4" w:rsidRPr="009F63CE" w:rsidRDefault="004C33EF" w:rsidP="0089040F">
      <w:pPr>
        <w:spacing w:before="120" w:after="120"/>
        <w:rPr>
          <w:rFonts w:cs="Arial"/>
        </w:rPr>
      </w:pPr>
      <w:r w:rsidRPr="009F63CE">
        <w:rPr>
          <w:rFonts w:cs="Arial"/>
        </w:rPr>
        <w:t xml:space="preserve">Maternal mortality ratio </w:t>
      </w:r>
      <w:r w:rsidR="00BE7DF4" w:rsidRPr="009F63CE">
        <w:rPr>
          <w:rFonts w:cs="Arial"/>
        </w:rPr>
        <w:t xml:space="preserve">is the number of maternal deaths per 100,000 </w:t>
      </w:r>
      <w:bookmarkStart w:id="58" w:name="_Hlk114647252"/>
      <w:r w:rsidR="00BE7DF4" w:rsidRPr="009F63CE">
        <w:rPr>
          <w:rFonts w:cs="Arial"/>
        </w:rPr>
        <w:t>maternities</w:t>
      </w:r>
      <w:r w:rsidR="0094142B">
        <w:rPr>
          <w:rFonts w:cs="Arial"/>
        </w:rPr>
        <w:t xml:space="preserve"> as per WHO recommendations (see maternities below)</w:t>
      </w:r>
      <w:bookmarkEnd w:id="58"/>
      <w:r w:rsidR="00BE7DF4" w:rsidRPr="009F63CE">
        <w:rPr>
          <w:rFonts w:cs="Arial"/>
        </w:rPr>
        <w:t xml:space="preserve">. </w:t>
      </w:r>
    </w:p>
    <w:p w14:paraId="55A7A6FC" w14:textId="08A0069A" w:rsidR="0023448B" w:rsidRPr="009F63CE" w:rsidRDefault="0023448B" w:rsidP="0089040F">
      <w:pPr>
        <w:spacing w:before="120" w:after="120"/>
        <w:rPr>
          <w:rFonts w:cs="Arial"/>
        </w:rPr>
      </w:pPr>
      <w:r w:rsidRPr="009F63CE">
        <w:rPr>
          <w:rFonts w:cs="Arial"/>
        </w:rPr>
        <w:t>The term ‘ratio’ is used to describe ‘incidence’ of maternal mortality because cases included in the numerator may arise from pregnancies that end before 20 weeks. As the total number of pregnancies ending before 20 weeks is unknown, the denominator cannot include all women at risk</w:t>
      </w:r>
      <w:r w:rsidR="00F3727A">
        <w:rPr>
          <w:rFonts w:cs="Arial"/>
        </w:rPr>
        <w:t>,</w:t>
      </w:r>
      <w:r w:rsidRPr="009F63CE">
        <w:rPr>
          <w:rFonts w:cs="Arial"/>
        </w:rPr>
        <w:t xml:space="preserve"> and thus the estimate cannot truly be called a ‘rate’.</w:t>
      </w:r>
    </w:p>
    <w:p w14:paraId="1BBDE23F" w14:textId="77777777" w:rsidR="0096181D" w:rsidRPr="009F63CE" w:rsidRDefault="00BE7DF4" w:rsidP="002D24D2">
      <w:pPr>
        <w:pStyle w:val="H3"/>
      </w:pPr>
      <w:bookmarkStart w:id="59" w:name="_Toc119317828"/>
      <w:bookmarkStart w:id="60" w:name="_Toc119317904"/>
      <w:bookmarkStart w:id="61" w:name="_Toc119407130"/>
      <w:r w:rsidRPr="009F63CE">
        <w:t>Maternities</w:t>
      </w:r>
      <w:bookmarkEnd w:id="59"/>
      <w:bookmarkEnd w:id="60"/>
      <w:bookmarkEnd w:id="61"/>
      <w:r w:rsidRPr="009F63CE">
        <w:t xml:space="preserve"> </w:t>
      </w:r>
    </w:p>
    <w:p w14:paraId="5E9D566A" w14:textId="50974BD4" w:rsidR="00BE7DF4" w:rsidRPr="009F63CE" w:rsidRDefault="0096181D" w:rsidP="0089040F">
      <w:pPr>
        <w:spacing w:before="120" w:after="120"/>
        <w:rPr>
          <w:rFonts w:cs="Arial"/>
        </w:rPr>
      </w:pPr>
      <w:r w:rsidRPr="009F63CE">
        <w:rPr>
          <w:rFonts w:cs="Arial"/>
        </w:rPr>
        <w:t xml:space="preserve">Maternities </w:t>
      </w:r>
      <w:r w:rsidR="00BE7DF4" w:rsidRPr="009F63CE">
        <w:rPr>
          <w:rFonts w:cs="Arial"/>
        </w:rPr>
        <w:t xml:space="preserve">are defined here as all </w:t>
      </w:r>
      <w:r w:rsidR="00710814">
        <w:rPr>
          <w:rFonts w:cs="Arial"/>
        </w:rPr>
        <w:t xml:space="preserve">live </w:t>
      </w:r>
      <w:r w:rsidR="00BE7DF4" w:rsidRPr="009F63CE">
        <w:rPr>
          <w:rFonts w:cs="Arial"/>
        </w:rPr>
        <w:t xml:space="preserve">births </w:t>
      </w:r>
      <w:r w:rsidR="00710814">
        <w:rPr>
          <w:rFonts w:cs="Arial"/>
        </w:rPr>
        <w:t xml:space="preserve">and all fetal deaths </w:t>
      </w:r>
      <w:r w:rsidR="00BE7DF4" w:rsidRPr="009F63CE">
        <w:rPr>
          <w:rFonts w:cs="Arial"/>
        </w:rPr>
        <w:t>at 20 weeks</w:t>
      </w:r>
      <w:r w:rsidR="00710814">
        <w:rPr>
          <w:rFonts w:cs="Arial"/>
        </w:rPr>
        <w:t xml:space="preserve"> gestation</w:t>
      </w:r>
      <w:r w:rsidR="00BE7DF4" w:rsidRPr="009F63CE">
        <w:rPr>
          <w:rFonts w:cs="Arial"/>
        </w:rPr>
        <w:t xml:space="preserve"> or beyond or weighing 400</w:t>
      </w:r>
      <w:r w:rsidR="00F3727A">
        <w:rPr>
          <w:rFonts w:cs="Arial"/>
        </w:rPr>
        <w:t xml:space="preserve"> </w:t>
      </w:r>
      <w:r w:rsidR="00BE7DF4" w:rsidRPr="009F63CE">
        <w:rPr>
          <w:rFonts w:cs="Arial"/>
        </w:rPr>
        <w:t>g or more if gestation was unknown. Pregnancies ending before 20</w:t>
      </w:r>
      <w:r w:rsidR="0094142B">
        <w:rPr>
          <w:rFonts w:cs="Arial"/>
        </w:rPr>
        <w:t xml:space="preserve"> </w:t>
      </w:r>
      <w:r w:rsidR="00BE7DF4" w:rsidRPr="009F63CE">
        <w:rPr>
          <w:rFonts w:cs="Arial"/>
        </w:rPr>
        <w:t>weeks are not included in this working definition because the absolute number of pregnancies ending before this time is unknown.</w:t>
      </w:r>
    </w:p>
    <w:p w14:paraId="5508FDF1" w14:textId="200A3A34" w:rsidR="0023448B" w:rsidRPr="009F63CE" w:rsidRDefault="0023448B" w:rsidP="0089040F">
      <w:pPr>
        <w:spacing w:before="120" w:after="120"/>
        <w:rPr>
          <w:rFonts w:cs="Arial"/>
        </w:rPr>
      </w:pPr>
      <w:r w:rsidRPr="009F63CE">
        <w:rPr>
          <w:rFonts w:cs="Arial"/>
        </w:rPr>
        <w:lastRenderedPageBreak/>
        <w:t>The variable definition of ‘maternities’ creates unnecessary confusion when making international comparisons. The WHO recommends 100,000 live births as the most available denominator in countries with limited vital statistics collection. In countries where fetal deaths are also collected, the WHO recommends the denominator be 100,000 live births plus fetal deaths of 20 weeks or greater gestation.</w:t>
      </w:r>
    </w:p>
    <w:p w14:paraId="5502F3CC" w14:textId="4367B262" w:rsidR="0023448B" w:rsidRPr="009F63CE" w:rsidRDefault="0023448B" w:rsidP="00C37EDE">
      <w:pPr>
        <w:pStyle w:val="ListBullet"/>
        <w:spacing w:before="0" w:after="60"/>
        <w:ind w:left="357" w:hanging="357"/>
        <w:rPr>
          <w:rFonts w:cs="Arial"/>
        </w:rPr>
      </w:pPr>
      <w:r w:rsidRPr="009F63CE">
        <w:rPr>
          <w:rFonts w:cs="Arial"/>
        </w:rPr>
        <w:t>The UK uses the number of pregnancies that result in a live birth at any gestation or a stillbirth at or after 24 completed weeks gestation (as only stillbirths at 24 or more weeks gestation are required to be notified by law) (</w:t>
      </w:r>
      <w:hyperlink r:id="rId23" w:history="1">
        <w:r w:rsidRPr="009F63CE">
          <w:rPr>
            <w:rStyle w:val="Hyperlink"/>
            <w:rFonts w:cs="Arial"/>
            <w:color w:val="auto"/>
            <w:u w:val="none"/>
          </w:rPr>
          <w:t>Lewis 2007</w:t>
        </w:r>
      </w:hyperlink>
      <w:r w:rsidRPr="009F63CE">
        <w:rPr>
          <w:rFonts w:cs="Arial"/>
        </w:rPr>
        <w:t>).</w:t>
      </w:r>
    </w:p>
    <w:p w14:paraId="6D4FAC81" w14:textId="5A7E2253" w:rsidR="0023448B" w:rsidRPr="009F63CE" w:rsidRDefault="0023448B" w:rsidP="00C37EDE">
      <w:pPr>
        <w:pStyle w:val="ListBullet"/>
        <w:spacing w:before="0"/>
        <w:rPr>
          <w:rFonts w:cs="Arial"/>
        </w:rPr>
      </w:pPr>
      <w:r w:rsidRPr="009F63CE">
        <w:rPr>
          <w:rFonts w:cs="Arial"/>
        </w:rPr>
        <w:t>Australia reports the number of women who gave birth to either a live or stillborn baby of 20 or more completed weeks gestation or weighing at least 400</w:t>
      </w:r>
      <w:r w:rsidR="00D21FA1">
        <w:rPr>
          <w:rFonts w:cs="Arial"/>
        </w:rPr>
        <w:t xml:space="preserve"> </w:t>
      </w:r>
      <w:r w:rsidRPr="009F63CE">
        <w:rPr>
          <w:rFonts w:cs="Arial"/>
        </w:rPr>
        <w:t>g at birth (as required to be reported to the National Perinatal Data Collection) (</w:t>
      </w:r>
      <w:hyperlink r:id="rId24" w:history="1">
        <w:r w:rsidRPr="009F63CE">
          <w:rPr>
            <w:rStyle w:val="Hyperlink"/>
            <w:rFonts w:cs="Arial"/>
            <w:color w:val="auto"/>
            <w:u w:val="none"/>
          </w:rPr>
          <w:t>Sullivan et al 2008</w:t>
        </w:r>
      </w:hyperlink>
      <w:r w:rsidRPr="009F63CE">
        <w:rPr>
          <w:rFonts w:cs="Arial"/>
        </w:rPr>
        <w:t>).</w:t>
      </w:r>
    </w:p>
    <w:p w14:paraId="2499B113" w14:textId="38EFAF40" w:rsidR="008C4ED4" w:rsidRPr="00737D2D" w:rsidRDefault="008C4ED4" w:rsidP="002D24D2">
      <w:pPr>
        <w:pStyle w:val="Heading2"/>
      </w:pPr>
      <w:bookmarkStart w:id="62" w:name="_Toc119317626"/>
      <w:bookmarkStart w:id="63" w:name="_Toc119407131"/>
      <w:r w:rsidRPr="00737D2D">
        <w:t xml:space="preserve">Other </w:t>
      </w:r>
      <w:r w:rsidR="00AC3547" w:rsidRPr="00737D2D">
        <w:t>Definitions</w:t>
      </w:r>
      <w:bookmarkEnd w:id="62"/>
      <w:bookmarkEnd w:id="63"/>
    </w:p>
    <w:p w14:paraId="372AE212" w14:textId="77777777" w:rsidR="009327A9" w:rsidRPr="009F63CE" w:rsidRDefault="009327A9" w:rsidP="002D24D2">
      <w:pPr>
        <w:pStyle w:val="H3"/>
      </w:pPr>
      <w:bookmarkStart w:id="64" w:name="_Toc119317830"/>
      <w:bookmarkStart w:id="65" w:name="_Toc119317906"/>
      <w:bookmarkStart w:id="66" w:name="_Toc119407132"/>
      <w:r w:rsidRPr="009F63CE">
        <w:t>Contributory factors</w:t>
      </w:r>
      <w:r w:rsidR="00DA189D" w:rsidRPr="009F63CE">
        <w:t xml:space="preserve"> and potentially avoidable </w:t>
      </w:r>
      <w:r w:rsidR="00D91578" w:rsidRPr="009F63CE">
        <w:t>death</w:t>
      </w:r>
      <w:bookmarkEnd w:id="64"/>
      <w:bookmarkEnd w:id="65"/>
      <w:bookmarkEnd w:id="66"/>
    </w:p>
    <w:p w14:paraId="032FA0EA" w14:textId="33F7BC58" w:rsidR="009327A9" w:rsidRPr="009F63CE" w:rsidRDefault="009327A9" w:rsidP="009327A9">
      <w:pPr>
        <w:spacing w:before="120" w:after="120"/>
        <w:rPr>
          <w:rFonts w:cs="Arial"/>
        </w:rPr>
      </w:pPr>
      <w:r w:rsidRPr="009F63CE">
        <w:rPr>
          <w:rFonts w:cs="Arial"/>
          <w:b/>
        </w:rPr>
        <w:t>Contributory factors</w:t>
      </w:r>
      <w:r w:rsidRPr="009F63CE">
        <w:rPr>
          <w:rFonts w:cs="Arial"/>
        </w:rPr>
        <w:t xml:space="preserve"> are defined as modifiable components of the health system and issues of quality of care that cover a broad spectrum of organisational and/or management factors, personnel factors and barriers to care factors.</w:t>
      </w:r>
    </w:p>
    <w:p w14:paraId="553CD25A" w14:textId="77777777" w:rsidR="004301DB" w:rsidRPr="009F63CE" w:rsidRDefault="004A2CB2" w:rsidP="0089040F">
      <w:pPr>
        <w:spacing w:before="120" w:after="120"/>
        <w:contextualSpacing/>
        <w:rPr>
          <w:rFonts w:cs="Arial"/>
        </w:rPr>
      </w:pPr>
      <w:r w:rsidRPr="009F63CE">
        <w:rPr>
          <w:rFonts w:cs="Arial"/>
        </w:rPr>
        <w:t>Examples of contributory factors are</w:t>
      </w:r>
      <w:r w:rsidR="004301DB" w:rsidRPr="009F63CE">
        <w:rPr>
          <w:rFonts w:cs="Arial"/>
        </w:rPr>
        <w:t>:</w:t>
      </w:r>
    </w:p>
    <w:p w14:paraId="195E9A05" w14:textId="385DA88C" w:rsidR="004301DB" w:rsidRPr="009F63CE" w:rsidRDefault="004A2CB2" w:rsidP="006C0C9B">
      <w:pPr>
        <w:pStyle w:val="ListBullet"/>
        <w:spacing w:before="0" w:after="60"/>
        <w:ind w:left="357" w:hanging="357"/>
        <w:rPr>
          <w:rFonts w:cs="Arial"/>
        </w:rPr>
      </w:pPr>
      <w:r w:rsidRPr="009F63CE">
        <w:rPr>
          <w:rFonts w:cs="Arial"/>
        </w:rPr>
        <w:t>organisational and/or management factors (</w:t>
      </w:r>
      <w:r w:rsidR="008C4E27">
        <w:rPr>
          <w:rFonts w:cs="Arial"/>
        </w:rPr>
        <w:t>eg,</w:t>
      </w:r>
      <w:r w:rsidRPr="009F63CE">
        <w:rPr>
          <w:rFonts w:cs="Arial"/>
        </w:rPr>
        <w:t xml:space="preserve"> delays in procedures or accessing results; lack of policies, protocols or guidelines; lack of maintenance of equipment)</w:t>
      </w:r>
    </w:p>
    <w:p w14:paraId="5D477BB2" w14:textId="39AE79E2" w:rsidR="004301DB" w:rsidRPr="009F63CE" w:rsidRDefault="004A2CB2" w:rsidP="006C0C9B">
      <w:pPr>
        <w:pStyle w:val="ListBullet"/>
        <w:spacing w:before="0" w:after="60"/>
        <w:ind w:left="357" w:hanging="357"/>
        <w:rPr>
          <w:rFonts w:cs="Arial"/>
        </w:rPr>
      </w:pPr>
      <w:r w:rsidRPr="009F63CE">
        <w:rPr>
          <w:rFonts w:cs="Arial"/>
        </w:rPr>
        <w:t>personnel factors (</w:t>
      </w:r>
      <w:r w:rsidR="008C4E27">
        <w:rPr>
          <w:rFonts w:cs="Arial"/>
        </w:rPr>
        <w:t>eg,</w:t>
      </w:r>
      <w:r w:rsidRPr="009F63CE">
        <w:rPr>
          <w:rFonts w:cs="Arial"/>
        </w:rPr>
        <w:t xml:space="preserve"> failure to maintain competence)</w:t>
      </w:r>
    </w:p>
    <w:p w14:paraId="1A613941" w14:textId="48720492" w:rsidR="004A2CB2" w:rsidRPr="009F63CE" w:rsidRDefault="004A2CB2" w:rsidP="006C0C9B">
      <w:pPr>
        <w:pStyle w:val="ListBullet"/>
        <w:spacing w:before="0" w:after="120"/>
        <w:ind w:left="357" w:hanging="357"/>
        <w:rPr>
          <w:rFonts w:cs="Arial"/>
        </w:rPr>
      </w:pPr>
      <w:r w:rsidRPr="009F63CE">
        <w:rPr>
          <w:rFonts w:cs="Arial"/>
        </w:rPr>
        <w:t>barriers to care (</w:t>
      </w:r>
      <w:r w:rsidR="008C4E27">
        <w:rPr>
          <w:rFonts w:cs="Arial"/>
        </w:rPr>
        <w:t>eg,</w:t>
      </w:r>
      <w:r w:rsidRPr="009F63CE">
        <w:rPr>
          <w:rFonts w:cs="Arial"/>
        </w:rPr>
        <w:t xml:space="preserve"> </w:t>
      </w:r>
      <w:r w:rsidR="00162B10">
        <w:rPr>
          <w:rFonts w:cs="Arial"/>
        </w:rPr>
        <w:t>lack of access to appropriate antenatal care</w:t>
      </w:r>
      <w:r w:rsidRPr="009F63CE">
        <w:rPr>
          <w:rFonts w:cs="Arial"/>
        </w:rPr>
        <w:t xml:space="preserve">, </w:t>
      </w:r>
      <w:r w:rsidR="00162B10">
        <w:rPr>
          <w:rFonts w:cs="Arial"/>
        </w:rPr>
        <w:t xml:space="preserve">lack of translation options causing </w:t>
      </w:r>
      <w:r w:rsidRPr="009F63CE">
        <w:rPr>
          <w:rFonts w:cs="Arial"/>
        </w:rPr>
        <w:t xml:space="preserve">language barriers, distance from adequate facilities) that are considered </w:t>
      </w:r>
      <w:r w:rsidR="00D85A99" w:rsidRPr="009F63CE">
        <w:rPr>
          <w:rFonts w:cs="Arial"/>
        </w:rPr>
        <w:t xml:space="preserve">to have </w:t>
      </w:r>
      <w:r w:rsidRPr="009F63CE">
        <w:rPr>
          <w:rFonts w:cs="Arial"/>
        </w:rPr>
        <w:t xml:space="preserve">contributed to the death. </w:t>
      </w:r>
    </w:p>
    <w:p w14:paraId="1EDE2112" w14:textId="77777777" w:rsidR="004425AD" w:rsidRPr="009F63CE" w:rsidRDefault="004425AD" w:rsidP="004425AD">
      <w:pPr>
        <w:rPr>
          <w:rFonts w:cs="Arial"/>
        </w:rPr>
      </w:pPr>
      <w:r w:rsidRPr="009F63CE">
        <w:rPr>
          <w:rFonts w:cs="Arial"/>
          <w:b/>
        </w:rPr>
        <w:t>Potentially avoidable death</w:t>
      </w:r>
      <w:r w:rsidRPr="009F63CE">
        <w:rPr>
          <w:rFonts w:cs="Arial"/>
        </w:rPr>
        <w:t xml:space="preserve"> is when the absence of a contributory factor may have prevented the death. More details on the process of development of the tool to assess contributory factors and potentially avoidable death have been published (</w:t>
      </w:r>
      <w:hyperlink r:id="rId25" w:history="1">
        <w:r w:rsidRPr="009F63CE">
          <w:rPr>
            <w:rStyle w:val="Hyperlink"/>
            <w:rFonts w:cs="Arial"/>
            <w:color w:val="auto"/>
            <w:u w:val="none"/>
          </w:rPr>
          <w:t>Farquhar et al 2011</w:t>
        </w:r>
      </w:hyperlink>
      <w:r w:rsidRPr="009F63CE">
        <w:rPr>
          <w:rFonts w:cs="Arial"/>
        </w:rPr>
        <w:t>).</w:t>
      </w:r>
    </w:p>
    <w:p w14:paraId="4AA77AB1" w14:textId="77777777" w:rsidR="00DA189D" w:rsidRPr="009F63CE" w:rsidRDefault="00DA189D" w:rsidP="006C0C9B">
      <w:pPr>
        <w:pStyle w:val="ListBullet"/>
        <w:spacing w:before="0" w:after="60"/>
        <w:rPr>
          <w:rFonts w:cs="Arial"/>
        </w:rPr>
      </w:pPr>
      <w:r w:rsidRPr="009F63CE">
        <w:rPr>
          <w:rFonts w:cs="Arial"/>
          <w:b/>
        </w:rPr>
        <w:t>Perinatal related mortality</w:t>
      </w:r>
      <w:r w:rsidR="004425AD" w:rsidRPr="009F63CE">
        <w:rPr>
          <w:rFonts w:cs="Arial"/>
        </w:rPr>
        <w:t xml:space="preserve">: </w:t>
      </w:r>
      <w:r w:rsidRPr="009F63CE">
        <w:rPr>
          <w:rFonts w:cs="Arial"/>
        </w:rPr>
        <w:t xml:space="preserve">An assessment of contributory factors and potentially avoidable perinatal related death is completed by a multidisciplinary team led by the PMMRC local coordinators following local review and submitted along with the PSANZ-PDC. From 2011, local coordinators were asked to indicate the main contributory factor(s) in identifying the death as potentially avoidable. </w:t>
      </w:r>
    </w:p>
    <w:p w14:paraId="161AB943" w14:textId="77777777" w:rsidR="00076061" w:rsidRPr="009F63CE" w:rsidRDefault="00076061" w:rsidP="006C0C9B">
      <w:pPr>
        <w:pStyle w:val="ListBullet"/>
        <w:spacing w:before="0"/>
        <w:rPr>
          <w:rFonts w:cs="Arial"/>
        </w:rPr>
      </w:pPr>
      <w:r w:rsidRPr="009F63CE">
        <w:rPr>
          <w:rFonts w:cs="Arial"/>
          <w:b/>
        </w:rPr>
        <w:t>Maternal mortality</w:t>
      </w:r>
      <w:r w:rsidRPr="009F63CE">
        <w:rPr>
          <w:rFonts w:cs="Arial"/>
        </w:rPr>
        <w:t>: An assessment of contributory factors and potentially avoidable maternal death is completed by the multidisciplinary Maternal Mortality Review Working Group at national review.</w:t>
      </w:r>
    </w:p>
    <w:p w14:paraId="1A41F477" w14:textId="77777777" w:rsidR="009327A9" w:rsidRPr="009F63CE" w:rsidRDefault="009327A9" w:rsidP="002D24D2">
      <w:pPr>
        <w:pStyle w:val="H3"/>
      </w:pPr>
      <w:bookmarkStart w:id="67" w:name="_Toc119317831"/>
      <w:bookmarkStart w:id="68" w:name="_Toc119317907"/>
      <w:bookmarkStart w:id="69" w:name="_Toc119407133"/>
      <w:r w:rsidRPr="009F63CE">
        <w:t>Customised birthweight centiles</w:t>
      </w:r>
      <w:bookmarkEnd w:id="67"/>
      <w:bookmarkEnd w:id="68"/>
      <w:bookmarkEnd w:id="69"/>
    </w:p>
    <w:p w14:paraId="6F4C4AC0" w14:textId="77777777" w:rsidR="009327A9" w:rsidRPr="009F63CE" w:rsidRDefault="009327A9" w:rsidP="009327A9">
      <w:pPr>
        <w:spacing w:before="120" w:after="120"/>
        <w:rPr>
          <w:rFonts w:cs="Arial"/>
        </w:rPr>
      </w:pPr>
      <w:r w:rsidRPr="009F63CE">
        <w:rPr>
          <w:rFonts w:cs="Arial"/>
        </w:rPr>
        <w:t>Customised birthweight centiles adjust newborn weight for maternal weight, height, ethnicity and parity, as well as for infant sex and gestation at birth</w:t>
      </w:r>
      <w:r w:rsidR="00A65593" w:rsidRPr="009F63CE">
        <w:rPr>
          <w:rFonts w:cs="Arial"/>
        </w:rPr>
        <w:t xml:space="preserve">, using a bulk calculator available from the </w:t>
      </w:r>
      <w:r w:rsidR="006B4FB7" w:rsidRPr="009F63CE">
        <w:rPr>
          <w:rFonts w:cs="Arial"/>
        </w:rPr>
        <w:t>Gestation Network (</w:t>
      </w:r>
      <w:hyperlink r:id="rId26" w:history="1">
        <w:r w:rsidR="004B4BDD" w:rsidRPr="009F63CE">
          <w:rPr>
            <w:rStyle w:val="Hyperlink"/>
            <w:rFonts w:cs="Arial"/>
          </w:rPr>
          <w:t>www.gestation.net</w:t>
        </w:r>
      </w:hyperlink>
      <w:r w:rsidR="006B4FB7" w:rsidRPr="009F63CE">
        <w:rPr>
          <w:rFonts w:cs="Arial"/>
        </w:rPr>
        <w:t>)</w:t>
      </w:r>
      <w:r w:rsidRPr="009F63CE">
        <w:rPr>
          <w:rFonts w:cs="Arial"/>
        </w:rPr>
        <w:t xml:space="preserve">. </w:t>
      </w:r>
    </w:p>
    <w:p w14:paraId="5CDC9991" w14:textId="77777777" w:rsidR="008C4ED4" w:rsidRPr="009F63CE" w:rsidRDefault="008C4ED4" w:rsidP="00FD236F">
      <w:pPr>
        <w:keepNext/>
        <w:rPr>
          <w:rFonts w:cs="Arial"/>
        </w:rPr>
      </w:pPr>
      <w:r w:rsidRPr="009F63CE">
        <w:rPr>
          <w:rFonts w:cs="Arial"/>
        </w:rPr>
        <w:lastRenderedPageBreak/>
        <w:t>Customised birthweight centile calculation:</w:t>
      </w:r>
    </w:p>
    <w:p w14:paraId="15FC2639" w14:textId="307F0420" w:rsidR="008C4ED4" w:rsidRPr="009F63CE" w:rsidRDefault="008C4ED4" w:rsidP="00BE155C">
      <w:pPr>
        <w:pStyle w:val="ListParagraph"/>
        <w:numPr>
          <w:ilvl w:val="0"/>
          <w:numId w:val="13"/>
        </w:numPr>
        <w:spacing w:after="60"/>
        <w:ind w:left="357" w:hanging="357"/>
        <w:contextualSpacing w:val="0"/>
        <w:rPr>
          <w:rFonts w:cs="Arial"/>
        </w:rPr>
      </w:pPr>
      <w:r w:rsidRPr="009F63CE">
        <w:rPr>
          <w:rFonts w:cs="Arial"/>
          <w:b/>
        </w:rPr>
        <w:t xml:space="preserve">In the PMMRC numerator </w:t>
      </w:r>
      <w:r w:rsidR="009F63CE" w:rsidRPr="009F63CE">
        <w:rPr>
          <w:rFonts w:cs="Arial"/>
          <w:b/>
        </w:rPr>
        <w:t>data set</w:t>
      </w:r>
      <w:r w:rsidRPr="009F63CE">
        <w:rPr>
          <w:rFonts w:cs="Arial"/>
          <w:b/>
        </w:rPr>
        <w:t>s</w:t>
      </w:r>
      <w:r w:rsidRPr="009F63CE">
        <w:rPr>
          <w:rFonts w:cs="Arial"/>
        </w:rPr>
        <w:t xml:space="preserve"> (perinatal and neonatal encephalopathy</w:t>
      </w:r>
      <w:r w:rsidR="000A0EDA">
        <w:rPr>
          <w:rFonts w:cs="Arial"/>
        </w:rPr>
        <w:t xml:space="preserve"> [NE]</w:t>
      </w:r>
      <w:r w:rsidRPr="009F63CE">
        <w:rPr>
          <w:rFonts w:cs="Arial"/>
        </w:rPr>
        <w:t>)</w:t>
      </w:r>
      <w:r w:rsidR="007B5AED" w:rsidRPr="009F63CE">
        <w:rPr>
          <w:rFonts w:cs="Arial"/>
        </w:rPr>
        <w:t>,</w:t>
      </w:r>
      <w:r w:rsidRPr="009F63CE">
        <w:rPr>
          <w:rFonts w:cs="Arial"/>
        </w:rPr>
        <w:t xml:space="preserve"> customised centile is calculated using data from the PMMRC </w:t>
      </w:r>
      <w:r w:rsidR="00E937E1" w:rsidRPr="009F63CE">
        <w:rPr>
          <w:rFonts w:cs="Arial"/>
        </w:rPr>
        <w:t>(</w:t>
      </w:r>
      <w:r w:rsidRPr="009F63CE">
        <w:rPr>
          <w:rFonts w:cs="Arial"/>
        </w:rPr>
        <w:t>ie</w:t>
      </w:r>
      <w:r w:rsidR="00E937E1" w:rsidRPr="009F63CE">
        <w:rPr>
          <w:rFonts w:cs="Arial"/>
        </w:rPr>
        <w:t>,</w:t>
      </w:r>
      <w:r w:rsidRPr="009F63CE">
        <w:rPr>
          <w:rFonts w:cs="Arial"/>
        </w:rPr>
        <w:t xml:space="preserve"> gestation at death </w:t>
      </w:r>
      <w:r w:rsidR="001F17AE">
        <w:rPr>
          <w:rFonts w:cs="Arial"/>
        </w:rPr>
        <w:t>[</w:t>
      </w:r>
      <w:r w:rsidRPr="009F63CE">
        <w:rPr>
          <w:rFonts w:cs="Arial"/>
        </w:rPr>
        <w:t>stillbi</w:t>
      </w:r>
      <w:r w:rsidR="00672021" w:rsidRPr="009F63CE">
        <w:rPr>
          <w:rFonts w:cs="Arial"/>
        </w:rPr>
        <w:t>rths</w:t>
      </w:r>
      <w:r w:rsidR="001F17AE">
        <w:rPr>
          <w:rFonts w:cs="Arial"/>
        </w:rPr>
        <w:t>]</w:t>
      </w:r>
      <w:r w:rsidR="00672021" w:rsidRPr="009F63CE">
        <w:rPr>
          <w:rFonts w:cs="Arial"/>
        </w:rPr>
        <w:t xml:space="preserve"> or birth</w:t>
      </w:r>
      <w:r w:rsidRPr="009F63CE">
        <w:rPr>
          <w:rFonts w:cs="Arial"/>
        </w:rPr>
        <w:t xml:space="preserve"> in weeks and days, birthweight, baby sex, maternal ethnicity, height, weight and parity</w:t>
      </w:r>
      <w:r w:rsidR="00E937E1" w:rsidRPr="009F63CE">
        <w:rPr>
          <w:rFonts w:cs="Arial"/>
        </w:rPr>
        <w:t>)</w:t>
      </w:r>
      <w:r w:rsidR="005B6C9D" w:rsidRPr="009F63CE">
        <w:rPr>
          <w:rFonts w:cs="Arial"/>
        </w:rPr>
        <w:t>.</w:t>
      </w:r>
    </w:p>
    <w:p w14:paraId="05530452" w14:textId="473D43C5" w:rsidR="008C4ED4" w:rsidRPr="009F63CE" w:rsidRDefault="008C4ED4" w:rsidP="00BE155C">
      <w:pPr>
        <w:pStyle w:val="ListParagraph"/>
        <w:numPr>
          <w:ilvl w:val="0"/>
          <w:numId w:val="13"/>
        </w:numPr>
        <w:spacing w:after="60"/>
        <w:ind w:left="357" w:hanging="357"/>
        <w:contextualSpacing w:val="0"/>
        <w:rPr>
          <w:rFonts w:cs="Arial"/>
        </w:rPr>
      </w:pPr>
      <w:r w:rsidRPr="009F63CE">
        <w:rPr>
          <w:rFonts w:cs="Arial"/>
          <w:b/>
        </w:rPr>
        <w:t xml:space="preserve">In the </w:t>
      </w:r>
      <w:r w:rsidR="00E04691" w:rsidRPr="009F63CE">
        <w:rPr>
          <w:rFonts w:cs="Arial"/>
          <w:b/>
        </w:rPr>
        <w:t>New Zealand National Maternity Collection (</w:t>
      </w:r>
      <w:r w:rsidRPr="009F63CE">
        <w:rPr>
          <w:rFonts w:cs="Arial"/>
          <w:b/>
        </w:rPr>
        <w:t>MAT</w:t>
      </w:r>
      <w:r w:rsidR="00E04691" w:rsidRPr="009F63CE">
        <w:rPr>
          <w:rFonts w:cs="Arial"/>
          <w:b/>
        </w:rPr>
        <w:t>)</w:t>
      </w:r>
      <w:r w:rsidRPr="009F63CE">
        <w:rPr>
          <w:rFonts w:cs="Arial"/>
          <w:b/>
        </w:rPr>
        <w:t xml:space="preserve"> denominator </w:t>
      </w:r>
      <w:r w:rsidR="009F63CE" w:rsidRPr="009F63CE">
        <w:rPr>
          <w:rFonts w:cs="Arial"/>
          <w:b/>
        </w:rPr>
        <w:t>data set</w:t>
      </w:r>
      <w:r w:rsidR="007B5AED" w:rsidRPr="009F63CE">
        <w:rPr>
          <w:rFonts w:cs="Arial"/>
        </w:rPr>
        <w:t>,</w:t>
      </w:r>
      <w:r w:rsidRPr="009F63CE">
        <w:rPr>
          <w:rFonts w:cs="Arial"/>
        </w:rPr>
        <w:t xml:space="preserve"> customised centile is calculated using data from the MAT </w:t>
      </w:r>
      <w:r w:rsidR="009F63CE" w:rsidRPr="009F63CE">
        <w:rPr>
          <w:rFonts w:cs="Arial"/>
        </w:rPr>
        <w:t>data set</w:t>
      </w:r>
      <w:r w:rsidRPr="009F63CE">
        <w:rPr>
          <w:rFonts w:cs="Arial"/>
        </w:rPr>
        <w:t xml:space="preserve"> (gestation in weeks </w:t>
      </w:r>
      <w:r w:rsidR="000E6180">
        <w:rPr>
          <w:rFonts w:cs="Arial"/>
        </w:rPr>
        <w:t>[</w:t>
      </w:r>
      <w:r w:rsidR="00C64FF2" w:rsidRPr="009F63CE">
        <w:rPr>
          <w:rFonts w:cs="Arial"/>
        </w:rPr>
        <w:t>rather than weeks and days</w:t>
      </w:r>
      <w:r w:rsidR="000E6180">
        <w:rPr>
          <w:rFonts w:cs="Arial"/>
        </w:rPr>
        <w:t>]</w:t>
      </w:r>
      <w:r w:rsidRPr="009F63CE">
        <w:rPr>
          <w:rFonts w:cs="Arial"/>
        </w:rPr>
        <w:t>, birthweight, baby sex, maternal height, weight, parity and ethnicity)</w:t>
      </w:r>
      <w:r w:rsidR="00A35694" w:rsidRPr="009F63CE">
        <w:rPr>
          <w:rFonts w:cs="Arial"/>
        </w:rPr>
        <w:t>.</w:t>
      </w:r>
      <w:r w:rsidRPr="009F63CE">
        <w:rPr>
          <w:rFonts w:cs="Arial"/>
        </w:rPr>
        <w:t xml:space="preserve"> </w:t>
      </w:r>
      <w:r w:rsidR="00A35694" w:rsidRPr="009F63CE">
        <w:rPr>
          <w:rFonts w:cs="Arial"/>
        </w:rPr>
        <w:t>C</w:t>
      </w:r>
      <w:r w:rsidRPr="009F63CE">
        <w:rPr>
          <w:rFonts w:cs="Arial"/>
        </w:rPr>
        <w:t xml:space="preserve">entiles are only calculated for babies whose mothers were under the care of midwifery, private obstetric and </w:t>
      </w:r>
      <w:r w:rsidR="00E04691" w:rsidRPr="009F63CE">
        <w:rPr>
          <w:rFonts w:cs="Arial"/>
        </w:rPr>
        <w:t>general practitioner (</w:t>
      </w:r>
      <w:r w:rsidRPr="009F63CE">
        <w:rPr>
          <w:rFonts w:cs="Arial"/>
        </w:rPr>
        <w:t>GP</w:t>
      </w:r>
      <w:r w:rsidR="00E04691" w:rsidRPr="009F63CE">
        <w:rPr>
          <w:rFonts w:cs="Arial"/>
        </w:rPr>
        <w:t>) lead maternity carers</w:t>
      </w:r>
      <w:r w:rsidRPr="009F63CE">
        <w:rPr>
          <w:rFonts w:cs="Arial"/>
        </w:rPr>
        <w:t xml:space="preserve"> </w:t>
      </w:r>
      <w:r w:rsidR="00E04691" w:rsidRPr="009F63CE">
        <w:rPr>
          <w:rFonts w:cs="Arial"/>
        </w:rPr>
        <w:t>(</w:t>
      </w:r>
      <w:r w:rsidRPr="009F63CE">
        <w:rPr>
          <w:rFonts w:cs="Arial"/>
        </w:rPr>
        <w:t>LMCs</w:t>
      </w:r>
      <w:r w:rsidR="00E04691" w:rsidRPr="009F63CE">
        <w:rPr>
          <w:rFonts w:cs="Arial"/>
        </w:rPr>
        <w:t>)</w:t>
      </w:r>
      <w:r w:rsidRPr="009F63CE">
        <w:rPr>
          <w:rFonts w:cs="Arial"/>
        </w:rPr>
        <w:t xml:space="preserve"> (because of</w:t>
      </w:r>
      <w:r w:rsidR="00672021" w:rsidRPr="009F63CE">
        <w:rPr>
          <w:rFonts w:cs="Arial"/>
        </w:rPr>
        <w:t xml:space="preserve"> missing data among women cared for by </w:t>
      </w:r>
      <w:r w:rsidR="00790445" w:rsidRPr="009F63CE">
        <w:rPr>
          <w:rFonts w:cs="Arial"/>
        </w:rPr>
        <w:t>district health board (</w:t>
      </w:r>
      <w:r w:rsidR="00672021" w:rsidRPr="009F63CE">
        <w:rPr>
          <w:rFonts w:cs="Arial"/>
        </w:rPr>
        <w:t>DHB</w:t>
      </w:r>
      <w:r w:rsidR="00790445" w:rsidRPr="009F63CE">
        <w:rPr>
          <w:rFonts w:cs="Arial"/>
        </w:rPr>
        <w:t>)</w:t>
      </w:r>
      <w:r w:rsidR="00D228B1">
        <w:rPr>
          <w:rStyle w:val="FootnoteReference"/>
          <w:rFonts w:cs="Arial"/>
        </w:rPr>
        <w:footnoteReference w:id="4"/>
      </w:r>
      <w:r w:rsidR="00672021" w:rsidRPr="009F63CE">
        <w:rPr>
          <w:rFonts w:cs="Arial"/>
        </w:rPr>
        <w:t xml:space="preserve"> primary maternity care</w:t>
      </w:r>
      <w:r w:rsidRPr="009F63CE">
        <w:rPr>
          <w:rFonts w:cs="Arial"/>
        </w:rPr>
        <w:t>) and from 2008</w:t>
      </w:r>
      <w:r w:rsidR="00162B10">
        <w:rPr>
          <w:rFonts w:cs="Arial"/>
        </w:rPr>
        <w:t>,</w:t>
      </w:r>
      <w:r w:rsidR="004C05FF">
        <w:rPr>
          <w:rFonts w:cs="Arial"/>
        </w:rPr>
        <w:t xml:space="preserve"> </w:t>
      </w:r>
      <w:r w:rsidRPr="009F63CE">
        <w:rPr>
          <w:rFonts w:cs="Arial"/>
        </w:rPr>
        <w:t xml:space="preserve">as maternal height and weight data were missing </w:t>
      </w:r>
      <w:r w:rsidR="005B6C9D" w:rsidRPr="009F63CE">
        <w:rPr>
          <w:rFonts w:cs="Arial"/>
        </w:rPr>
        <w:t>for</w:t>
      </w:r>
      <w:r w:rsidRPr="009F63CE">
        <w:rPr>
          <w:rFonts w:cs="Arial"/>
        </w:rPr>
        <w:t xml:space="preserve"> over 90</w:t>
      </w:r>
      <w:r w:rsidR="00660460">
        <w:rPr>
          <w:rFonts w:cs="Arial"/>
        </w:rPr>
        <w:t xml:space="preserve"> </w:t>
      </w:r>
      <w:r w:rsidR="00C95036" w:rsidRPr="009F63CE">
        <w:rPr>
          <w:rFonts w:cs="Arial"/>
        </w:rPr>
        <w:t>percent</w:t>
      </w:r>
      <w:r w:rsidRPr="009F63CE">
        <w:rPr>
          <w:rFonts w:cs="Arial"/>
        </w:rPr>
        <w:t xml:space="preserve"> of mothers </w:t>
      </w:r>
      <w:r w:rsidR="00672021" w:rsidRPr="009F63CE">
        <w:rPr>
          <w:rFonts w:cs="Arial"/>
        </w:rPr>
        <w:t>prior to</w:t>
      </w:r>
      <w:r w:rsidRPr="009F63CE">
        <w:rPr>
          <w:rFonts w:cs="Arial"/>
        </w:rPr>
        <w:t xml:space="preserve"> 200</w:t>
      </w:r>
      <w:r w:rsidR="00672021" w:rsidRPr="009F63CE">
        <w:rPr>
          <w:rFonts w:cs="Arial"/>
        </w:rPr>
        <w:t>8</w:t>
      </w:r>
      <w:r w:rsidR="005B6C9D" w:rsidRPr="009F63CE">
        <w:rPr>
          <w:rFonts w:cs="Arial"/>
        </w:rPr>
        <w:t>.</w:t>
      </w:r>
    </w:p>
    <w:p w14:paraId="5CD96653" w14:textId="3A335647" w:rsidR="008C4ED4" w:rsidRPr="009F63CE" w:rsidRDefault="008C4ED4" w:rsidP="00BE155C">
      <w:pPr>
        <w:pStyle w:val="ListParagraph"/>
        <w:numPr>
          <w:ilvl w:val="0"/>
          <w:numId w:val="13"/>
        </w:numPr>
        <w:spacing w:after="60"/>
        <w:ind w:left="357" w:hanging="357"/>
        <w:contextualSpacing w:val="0"/>
        <w:rPr>
          <w:rFonts w:cs="Arial"/>
        </w:rPr>
      </w:pPr>
      <w:r w:rsidRPr="009F63CE">
        <w:rPr>
          <w:rFonts w:cs="Arial"/>
          <w:b/>
        </w:rPr>
        <w:t>In linked mortalities and morbidities</w:t>
      </w:r>
      <w:r w:rsidR="00E04691" w:rsidRPr="009F63CE">
        <w:rPr>
          <w:rFonts w:cs="Arial"/>
        </w:rPr>
        <w:t>,</w:t>
      </w:r>
      <w:r w:rsidRPr="009F63CE">
        <w:rPr>
          <w:rFonts w:cs="Arial"/>
        </w:rPr>
        <w:t xml:space="preserve"> customised centile is calculated using data from the PMMRC </w:t>
      </w:r>
      <w:r w:rsidR="009F63CE" w:rsidRPr="009F63CE">
        <w:rPr>
          <w:rFonts w:cs="Arial"/>
        </w:rPr>
        <w:t>data set</w:t>
      </w:r>
      <w:r w:rsidRPr="009F63CE">
        <w:rPr>
          <w:rFonts w:cs="Arial"/>
        </w:rPr>
        <w:t xml:space="preserve"> (gestation at death </w:t>
      </w:r>
      <w:r w:rsidR="00D5078C">
        <w:rPr>
          <w:rFonts w:cs="Arial"/>
        </w:rPr>
        <w:t>[</w:t>
      </w:r>
      <w:r w:rsidRPr="009F63CE">
        <w:rPr>
          <w:rFonts w:cs="Arial"/>
        </w:rPr>
        <w:t>stillbirths</w:t>
      </w:r>
      <w:r w:rsidR="00D5078C">
        <w:rPr>
          <w:rFonts w:cs="Arial"/>
        </w:rPr>
        <w:t>]</w:t>
      </w:r>
      <w:r w:rsidRPr="009F63CE">
        <w:rPr>
          <w:rFonts w:cs="Arial"/>
        </w:rPr>
        <w:t xml:space="preserve"> or birth in weeks </w:t>
      </w:r>
      <w:r w:rsidR="00D5078C">
        <w:rPr>
          <w:rFonts w:cs="Arial"/>
        </w:rPr>
        <w:t>[</w:t>
      </w:r>
      <w:r w:rsidR="00C64FF2" w:rsidRPr="009F63CE">
        <w:rPr>
          <w:rFonts w:cs="Arial"/>
        </w:rPr>
        <w:t>not weeks and days so</w:t>
      </w:r>
      <w:r w:rsidR="009821EE" w:rsidRPr="009F63CE">
        <w:rPr>
          <w:rFonts w:cs="Arial"/>
        </w:rPr>
        <w:t xml:space="preserve"> it is</w:t>
      </w:r>
      <w:r w:rsidR="00C64FF2" w:rsidRPr="009F63CE">
        <w:rPr>
          <w:rFonts w:cs="Arial"/>
        </w:rPr>
        <w:t xml:space="preserve"> consistent with the denominator</w:t>
      </w:r>
      <w:r w:rsidR="00D5078C">
        <w:rPr>
          <w:rFonts w:cs="Arial"/>
        </w:rPr>
        <w:t>]</w:t>
      </w:r>
      <w:r w:rsidRPr="009F63CE">
        <w:rPr>
          <w:rFonts w:cs="Arial"/>
        </w:rPr>
        <w:t xml:space="preserve">, birthweight, baby sex </w:t>
      </w:r>
      <w:r w:rsidR="009821EE" w:rsidRPr="009F63CE">
        <w:rPr>
          <w:rFonts w:cs="Arial"/>
        </w:rPr>
        <w:t xml:space="preserve">and </w:t>
      </w:r>
      <w:r w:rsidR="00672021" w:rsidRPr="009F63CE">
        <w:rPr>
          <w:rFonts w:cs="Arial"/>
        </w:rPr>
        <w:t xml:space="preserve">parity) </w:t>
      </w:r>
      <w:r w:rsidR="00C64FF2" w:rsidRPr="009F63CE">
        <w:rPr>
          <w:rFonts w:cs="Arial"/>
        </w:rPr>
        <w:t>and</w:t>
      </w:r>
      <w:r w:rsidRPr="009F63CE">
        <w:rPr>
          <w:rFonts w:cs="Arial"/>
        </w:rPr>
        <w:t xml:space="preserve"> data from the MAT </w:t>
      </w:r>
      <w:r w:rsidR="009F63CE" w:rsidRPr="009F63CE">
        <w:rPr>
          <w:rFonts w:cs="Arial"/>
        </w:rPr>
        <w:t>data set</w:t>
      </w:r>
      <w:r w:rsidRPr="009F63CE">
        <w:rPr>
          <w:rFonts w:cs="Arial"/>
        </w:rPr>
        <w:t xml:space="preserve"> (maternal height, weight and ethnicity). These centiles are used for any analyses involving numerator and denominator data.</w:t>
      </w:r>
    </w:p>
    <w:p w14:paraId="1B376242" w14:textId="77777777" w:rsidR="008C4ED4" w:rsidRPr="009F63CE" w:rsidRDefault="008C4ED4" w:rsidP="00BE155C">
      <w:pPr>
        <w:pStyle w:val="ListParagraph"/>
        <w:numPr>
          <w:ilvl w:val="0"/>
          <w:numId w:val="13"/>
        </w:numPr>
        <w:spacing w:after="60"/>
        <w:ind w:left="357" w:hanging="357"/>
        <w:contextualSpacing w:val="0"/>
        <w:rPr>
          <w:rFonts w:cs="Arial"/>
        </w:rPr>
      </w:pPr>
      <w:r w:rsidRPr="009F63CE">
        <w:rPr>
          <w:rFonts w:cs="Arial"/>
        </w:rPr>
        <w:t>If maternal height and weight are missing, these are interpolated using averages by maternal ethnicity</w:t>
      </w:r>
      <w:r w:rsidR="005B6C9D" w:rsidRPr="009F63CE">
        <w:rPr>
          <w:rFonts w:cs="Arial"/>
        </w:rPr>
        <w:t>.</w:t>
      </w:r>
    </w:p>
    <w:p w14:paraId="36C14B3B" w14:textId="77777777" w:rsidR="008C4ED4" w:rsidRPr="009F63CE" w:rsidRDefault="008C4ED4" w:rsidP="008C4ED4">
      <w:pPr>
        <w:pStyle w:val="ListParagraph"/>
        <w:numPr>
          <w:ilvl w:val="0"/>
          <w:numId w:val="13"/>
        </w:numPr>
        <w:spacing w:before="120" w:after="120"/>
        <w:rPr>
          <w:rFonts w:cs="Arial"/>
        </w:rPr>
      </w:pPr>
      <w:r w:rsidRPr="009F63CE">
        <w:rPr>
          <w:rFonts w:cs="Arial"/>
        </w:rPr>
        <w:t>For fetal deaths, the gestation at the time of estimated death (not birth) is used to calculate the birthweight centile. If gestation at death is unknown or gestation at death is &lt;20 weeks or is seven days or more prior to birth, then customised centile is not calculated.</w:t>
      </w:r>
    </w:p>
    <w:p w14:paraId="306FD453" w14:textId="77777777" w:rsidR="009327A9" w:rsidRPr="009F63CE" w:rsidRDefault="009327A9" w:rsidP="002D24D2">
      <w:pPr>
        <w:pStyle w:val="H3"/>
      </w:pPr>
      <w:bookmarkStart w:id="70" w:name="_Toc119317832"/>
      <w:bookmarkStart w:id="71" w:name="_Toc119317908"/>
      <w:bookmarkStart w:id="72" w:name="_Toc119407134"/>
      <w:r w:rsidRPr="004816C9">
        <w:t>Ethnicity</w:t>
      </w:r>
      <w:bookmarkEnd w:id="70"/>
      <w:bookmarkEnd w:id="71"/>
      <w:bookmarkEnd w:id="72"/>
    </w:p>
    <w:p w14:paraId="4D314F57" w14:textId="5E81B962" w:rsidR="009327A9" w:rsidRPr="009F63CE" w:rsidRDefault="009327A9" w:rsidP="009327A9">
      <w:pPr>
        <w:spacing w:before="120" w:after="120"/>
        <w:rPr>
          <w:rFonts w:cs="Arial"/>
        </w:rPr>
      </w:pPr>
      <w:r w:rsidRPr="009F63CE">
        <w:rPr>
          <w:rFonts w:cs="Arial"/>
        </w:rPr>
        <w:t xml:space="preserve">Mother and baby ethnicities for </w:t>
      </w:r>
      <w:bookmarkStart w:id="73" w:name="_Hlk114647532"/>
      <w:r w:rsidRPr="009F63CE">
        <w:rPr>
          <w:rFonts w:cs="Arial"/>
        </w:rPr>
        <w:t xml:space="preserve">perinatal related </w:t>
      </w:r>
      <w:r w:rsidR="0022764A">
        <w:rPr>
          <w:rFonts w:cs="Arial"/>
        </w:rPr>
        <w:t xml:space="preserve">deaths and maternal deaths </w:t>
      </w:r>
      <w:bookmarkEnd w:id="73"/>
      <w:r w:rsidRPr="009F63CE">
        <w:rPr>
          <w:rFonts w:cs="Arial"/>
        </w:rPr>
        <w:t xml:space="preserve">were collected from two sources: from information supplied to the </w:t>
      </w:r>
      <w:r w:rsidR="00E04691" w:rsidRPr="009F63CE">
        <w:rPr>
          <w:rFonts w:cs="Arial"/>
        </w:rPr>
        <w:t>Births, Deaths and Marriages (</w:t>
      </w:r>
      <w:r w:rsidRPr="009F63CE">
        <w:rPr>
          <w:rFonts w:cs="Arial"/>
        </w:rPr>
        <w:t>BDM</w:t>
      </w:r>
      <w:r w:rsidR="00E04691" w:rsidRPr="009F63CE">
        <w:rPr>
          <w:rFonts w:cs="Arial"/>
        </w:rPr>
        <w:t>)</w:t>
      </w:r>
      <w:r w:rsidRPr="009F63CE">
        <w:rPr>
          <w:rFonts w:cs="Arial"/>
        </w:rPr>
        <w:t xml:space="preserve"> Registrar (with priority given to information in the birth registration over information in the death registration) and from rapid reporting forms completed by LMCs (eg, in cases where the death had not been registered by the time of analysis), with information from BDM taking priority over data from rapid reporting forms. In both instances, ethnicity </w:t>
      </w:r>
      <w:r w:rsidR="00A65593" w:rsidRPr="009F63CE">
        <w:rPr>
          <w:rFonts w:cs="Arial"/>
        </w:rPr>
        <w:t>should be</w:t>
      </w:r>
      <w:r w:rsidRPr="009F63CE">
        <w:rPr>
          <w:rFonts w:cs="Arial"/>
        </w:rPr>
        <w:t xml:space="preserve"> identified by the mother/parents. The ethnicity in the deaths </w:t>
      </w:r>
      <w:r w:rsidR="009F63CE" w:rsidRPr="009F63CE">
        <w:rPr>
          <w:rFonts w:cs="Arial"/>
        </w:rPr>
        <w:t>data set</w:t>
      </w:r>
      <w:r w:rsidRPr="009F63CE">
        <w:rPr>
          <w:rFonts w:cs="Arial"/>
        </w:rPr>
        <w:t xml:space="preserve"> (held by BDM) is not validated. Death registration forms are usually completed by either the parents or a funeral director</w:t>
      </w:r>
      <w:r w:rsidR="0094142B">
        <w:rPr>
          <w:rFonts w:cs="Arial"/>
        </w:rPr>
        <w:t xml:space="preserve"> </w:t>
      </w:r>
      <w:bookmarkStart w:id="74" w:name="_Hlk114647417"/>
      <w:r w:rsidR="0094142B" w:rsidRPr="0022764A">
        <w:rPr>
          <w:rFonts w:cs="Arial"/>
          <w:color w:val="auto"/>
        </w:rPr>
        <w:t>and therefore are largely self</w:t>
      </w:r>
      <w:r w:rsidR="00574CDF">
        <w:rPr>
          <w:rFonts w:cs="Arial"/>
          <w:color w:val="auto"/>
        </w:rPr>
        <w:t>-</w:t>
      </w:r>
      <w:r w:rsidR="0094142B" w:rsidRPr="0022764A">
        <w:rPr>
          <w:rFonts w:cs="Arial"/>
          <w:color w:val="auto"/>
        </w:rPr>
        <w:t>reported</w:t>
      </w:r>
      <w:bookmarkEnd w:id="74"/>
      <w:r w:rsidRPr="009F63CE">
        <w:rPr>
          <w:rFonts w:cs="Arial"/>
        </w:rPr>
        <w:t>.</w:t>
      </w:r>
    </w:p>
    <w:p w14:paraId="3F94C156" w14:textId="58D85EA1" w:rsidR="009327A9" w:rsidRPr="009F63CE" w:rsidRDefault="009327A9" w:rsidP="009327A9">
      <w:pPr>
        <w:spacing w:before="120" w:after="120"/>
        <w:rPr>
          <w:rFonts w:cs="Arial"/>
        </w:rPr>
      </w:pPr>
      <w:r w:rsidRPr="009F63CE">
        <w:rPr>
          <w:rFonts w:cs="Arial"/>
        </w:rPr>
        <w:t>Mother and baby ethnicities in the MAT denominator</w:t>
      </w:r>
      <w:r w:rsidR="00BC67EF" w:rsidRPr="009F63CE">
        <w:rPr>
          <w:rFonts w:cs="Arial"/>
        </w:rPr>
        <w:t xml:space="preserve"> </w:t>
      </w:r>
      <w:r w:rsidR="009F63CE" w:rsidRPr="009F63CE">
        <w:rPr>
          <w:rFonts w:cs="Arial"/>
        </w:rPr>
        <w:t>data set</w:t>
      </w:r>
      <w:r w:rsidRPr="009F63CE">
        <w:rPr>
          <w:rFonts w:cs="Arial"/>
        </w:rPr>
        <w:t xml:space="preserve"> are ‘derived from ethnic codes reported to NMDS</w:t>
      </w:r>
      <w:r w:rsidR="00665064" w:rsidRPr="009F63CE">
        <w:rPr>
          <w:rFonts w:cs="Arial"/>
        </w:rPr>
        <w:t xml:space="preserve"> </w:t>
      </w:r>
      <w:r w:rsidR="00060A22">
        <w:rPr>
          <w:rFonts w:cs="Arial"/>
        </w:rPr>
        <w:t>(</w:t>
      </w:r>
      <w:r w:rsidR="00665064" w:rsidRPr="009F63CE">
        <w:rPr>
          <w:rFonts w:cs="Arial"/>
        </w:rPr>
        <w:t>National Minimum Dataset</w:t>
      </w:r>
      <w:r w:rsidR="00060A22">
        <w:rPr>
          <w:rFonts w:cs="Arial"/>
        </w:rPr>
        <w:t>)</w:t>
      </w:r>
      <w:r w:rsidRPr="009F63CE">
        <w:rPr>
          <w:rFonts w:cs="Arial"/>
        </w:rPr>
        <w:t xml:space="preserve"> birth and postnatal events, LMC Labour </w:t>
      </w:r>
      <w:r w:rsidR="00060A22">
        <w:rPr>
          <w:rFonts w:cs="Arial"/>
        </w:rPr>
        <w:t>and</w:t>
      </w:r>
      <w:r w:rsidRPr="009F63CE">
        <w:rPr>
          <w:rFonts w:cs="Arial"/>
        </w:rPr>
        <w:t xml:space="preserve"> Birth claims and</w:t>
      </w:r>
      <w:r w:rsidR="0036562E" w:rsidRPr="009F63CE">
        <w:rPr>
          <w:rFonts w:cs="Arial"/>
        </w:rPr>
        <w:t xml:space="preserve"> </w:t>
      </w:r>
      <w:r w:rsidRPr="009F63CE">
        <w:rPr>
          <w:rFonts w:cs="Arial"/>
        </w:rPr>
        <w:t>NHI</w:t>
      </w:r>
      <w:r w:rsidR="00665064" w:rsidRPr="009F63CE">
        <w:rPr>
          <w:rFonts w:cs="Arial"/>
        </w:rPr>
        <w:t xml:space="preserve"> </w:t>
      </w:r>
      <w:r w:rsidR="00060A22">
        <w:rPr>
          <w:rFonts w:cs="Arial"/>
        </w:rPr>
        <w:t>(</w:t>
      </w:r>
      <w:r w:rsidR="00665064" w:rsidRPr="009F63CE">
        <w:rPr>
          <w:rFonts w:cs="Arial"/>
        </w:rPr>
        <w:t>National Health Index</w:t>
      </w:r>
      <w:r w:rsidR="00060A22">
        <w:rPr>
          <w:rFonts w:cs="Arial"/>
        </w:rPr>
        <w:t>)</w:t>
      </w:r>
      <w:r w:rsidR="008C4E27">
        <w:rPr>
          <w:rFonts w:cs="Arial"/>
        </w:rPr>
        <w:t xml:space="preserve"> at time of delivery. </w:t>
      </w:r>
      <w:bookmarkStart w:id="75" w:name="_Hlk114647633"/>
      <w:r w:rsidR="0022764A">
        <w:rPr>
          <w:rFonts w:cs="Arial"/>
        </w:rPr>
        <w:t>These should also be self-reported</w:t>
      </w:r>
      <w:bookmarkEnd w:id="75"/>
      <w:r w:rsidR="0022764A">
        <w:rPr>
          <w:rFonts w:cs="Arial"/>
        </w:rPr>
        <w:t xml:space="preserve">. </w:t>
      </w:r>
      <w:r w:rsidR="008C4E27">
        <w:rPr>
          <w:rFonts w:cs="Arial"/>
        </w:rPr>
        <w:t>The three</w:t>
      </w:r>
      <w:r w:rsidRPr="009F63CE">
        <w:rPr>
          <w:rFonts w:cs="Arial"/>
        </w:rPr>
        <w:t xml:space="preserve"> highest priority ethnic codes that reach a threshold proportion are stored in the Aggregated Pregnancy table’ (</w:t>
      </w:r>
      <w:hyperlink r:id="rId27" w:history="1">
        <w:r w:rsidRPr="009F63CE">
          <w:rPr>
            <w:rStyle w:val="Hyperlink"/>
            <w:rFonts w:cs="Arial"/>
            <w:color w:val="auto"/>
            <w:u w:val="none"/>
          </w:rPr>
          <w:t>National Health Board Business Unit 2011</w:t>
        </w:r>
      </w:hyperlink>
      <w:r w:rsidRPr="009F63CE">
        <w:rPr>
          <w:rFonts w:cs="Arial"/>
        </w:rPr>
        <w:t>).</w:t>
      </w:r>
    </w:p>
    <w:p w14:paraId="48C9D549" w14:textId="07DB45D0" w:rsidR="009327A9" w:rsidRPr="009F63CE" w:rsidRDefault="009327A9" w:rsidP="009327A9">
      <w:pPr>
        <w:spacing w:before="120" w:after="120"/>
        <w:rPr>
          <w:rFonts w:cs="Arial"/>
        </w:rPr>
      </w:pPr>
      <w:r w:rsidRPr="009F63CE">
        <w:rPr>
          <w:rFonts w:cs="Arial"/>
        </w:rPr>
        <w:t xml:space="preserve">Ethnicity has been reported as prioritised ethnicity. This method is frequently used in health statistics in </w:t>
      </w:r>
      <w:r w:rsidR="001E04AE">
        <w:rPr>
          <w:rFonts w:cs="Arial"/>
        </w:rPr>
        <w:t xml:space="preserve">Aotearoa </w:t>
      </w:r>
      <w:r w:rsidRPr="009F63CE">
        <w:rPr>
          <w:rFonts w:cs="Arial"/>
        </w:rPr>
        <w:t xml:space="preserve">New Zealand. Multiple ethnicities can be identified for both mother and </w:t>
      </w:r>
      <w:r w:rsidRPr="009F63CE">
        <w:rPr>
          <w:rFonts w:cs="Arial"/>
        </w:rPr>
        <w:lastRenderedPageBreak/>
        <w:t xml:space="preserve">baby. The PMMRC follows the guidelines in </w:t>
      </w:r>
      <w:r w:rsidR="00123738" w:rsidRPr="009F63CE">
        <w:rPr>
          <w:rFonts w:cs="Arial"/>
          <w:i/>
        </w:rPr>
        <w:t xml:space="preserve">Health Information Standards Organisation (HISO) </w:t>
      </w:r>
      <w:r w:rsidR="007B5AED" w:rsidRPr="009F63CE">
        <w:rPr>
          <w:rFonts w:cs="Arial"/>
          <w:i/>
        </w:rPr>
        <w:t xml:space="preserve">10001:2017 </w:t>
      </w:r>
      <w:r w:rsidR="00123738" w:rsidRPr="009F63CE">
        <w:rPr>
          <w:rFonts w:cs="Arial"/>
          <w:i/>
        </w:rPr>
        <w:t>Ethnicity Data Protocols</w:t>
      </w:r>
      <w:r w:rsidR="00123738" w:rsidRPr="009F63CE">
        <w:rPr>
          <w:rFonts w:cs="Arial"/>
        </w:rPr>
        <w:t xml:space="preserve"> (</w:t>
      </w:r>
      <w:hyperlink r:id="rId28" w:history="1">
        <w:r w:rsidR="00123738" w:rsidRPr="009F63CE">
          <w:rPr>
            <w:rStyle w:val="Hyperlink"/>
            <w:rFonts w:cs="Arial"/>
            <w:color w:val="auto"/>
            <w:u w:val="none"/>
          </w:rPr>
          <w:t>Ministry of Health 2017</w:t>
        </w:r>
      </w:hyperlink>
      <w:r w:rsidR="00123738" w:rsidRPr="009F63CE">
        <w:rPr>
          <w:rFonts w:cs="Arial"/>
        </w:rPr>
        <w:t xml:space="preserve">) </w:t>
      </w:r>
      <w:r w:rsidRPr="009F63CE">
        <w:rPr>
          <w:rFonts w:cs="Arial"/>
        </w:rPr>
        <w:t>for prioritising ethnicity. These protocols prioritise ethnicity into the following hierarchy: Māori</w:t>
      </w:r>
      <w:r w:rsidR="00E04691" w:rsidRPr="009F63CE">
        <w:rPr>
          <w:rFonts w:cs="Arial"/>
        </w:rPr>
        <w:t>;</w:t>
      </w:r>
      <w:r w:rsidRPr="009F63CE">
        <w:rPr>
          <w:rFonts w:cs="Arial"/>
        </w:rPr>
        <w:t xml:space="preserve"> Pacific peoples</w:t>
      </w:r>
      <w:r w:rsidR="00E04691" w:rsidRPr="009F63CE">
        <w:rPr>
          <w:rFonts w:cs="Arial"/>
        </w:rPr>
        <w:t>;</w:t>
      </w:r>
      <w:r w:rsidRPr="009F63CE">
        <w:rPr>
          <w:rFonts w:cs="Arial"/>
        </w:rPr>
        <w:t xml:space="preserve"> Indian</w:t>
      </w:r>
      <w:r w:rsidR="00E04691" w:rsidRPr="009F63CE">
        <w:rPr>
          <w:rFonts w:cs="Arial"/>
        </w:rPr>
        <w:t>;</w:t>
      </w:r>
      <w:r w:rsidRPr="009F63CE">
        <w:rPr>
          <w:rFonts w:cs="Arial"/>
        </w:rPr>
        <w:t xml:space="preserve"> </w:t>
      </w:r>
      <w:r w:rsidR="0008058F">
        <w:rPr>
          <w:rFonts w:cs="Arial"/>
        </w:rPr>
        <w:t>O</w:t>
      </w:r>
      <w:r w:rsidRPr="009F63CE">
        <w:rPr>
          <w:rFonts w:cs="Arial"/>
        </w:rPr>
        <w:t>ther Asian</w:t>
      </w:r>
      <w:r w:rsidR="00E04691" w:rsidRPr="009F63CE">
        <w:rPr>
          <w:rFonts w:cs="Arial"/>
        </w:rPr>
        <w:t>;</w:t>
      </w:r>
      <w:r w:rsidRPr="009F63CE">
        <w:rPr>
          <w:rFonts w:cs="Arial"/>
        </w:rPr>
        <w:t xml:space="preserve"> </w:t>
      </w:r>
      <w:r w:rsidR="009767B2" w:rsidRPr="009F63CE">
        <w:rPr>
          <w:rFonts w:cs="Arial"/>
        </w:rPr>
        <w:t xml:space="preserve">Middle Eastern, Latin American </w:t>
      </w:r>
      <w:r w:rsidR="00E04691" w:rsidRPr="009F63CE">
        <w:rPr>
          <w:rFonts w:cs="Arial"/>
        </w:rPr>
        <w:t xml:space="preserve">or </w:t>
      </w:r>
      <w:r w:rsidR="009767B2" w:rsidRPr="009F63CE">
        <w:rPr>
          <w:rFonts w:cs="Arial"/>
        </w:rPr>
        <w:t>African</w:t>
      </w:r>
      <w:r w:rsidR="00790445" w:rsidRPr="009F63CE">
        <w:rPr>
          <w:rFonts w:cs="Arial"/>
        </w:rPr>
        <w:t xml:space="preserve"> (MELAA);</w:t>
      </w:r>
      <w:r w:rsidR="009767B2" w:rsidRPr="009F63CE">
        <w:rPr>
          <w:rFonts w:cs="Arial"/>
        </w:rPr>
        <w:t xml:space="preserve"> </w:t>
      </w:r>
      <w:r w:rsidRPr="009F63CE">
        <w:rPr>
          <w:rFonts w:cs="Arial"/>
        </w:rPr>
        <w:t>Other</w:t>
      </w:r>
      <w:r w:rsidR="009767B2" w:rsidRPr="009F63CE">
        <w:rPr>
          <w:rFonts w:cs="Arial"/>
        </w:rPr>
        <w:t xml:space="preserve"> European</w:t>
      </w:r>
      <w:r w:rsidR="00790445" w:rsidRPr="009F63CE">
        <w:rPr>
          <w:rFonts w:cs="Arial"/>
        </w:rPr>
        <w:t>;</w:t>
      </w:r>
      <w:r w:rsidR="009767B2" w:rsidRPr="009F63CE">
        <w:rPr>
          <w:rFonts w:cs="Arial"/>
        </w:rPr>
        <w:t xml:space="preserve"> Other</w:t>
      </w:r>
      <w:r w:rsidR="00790445" w:rsidRPr="009F63CE">
        <w:rPr>
          <w:rFonts w:cs="Arial"/>
        </w:rPr>
        <w:t>;</w:t>
      </w:r>
      <w:r w:rsidRPr="009F63CE">
        <w:rPr>
          <w:rFonts w:cs="Arial"/>
        </w:rPr>
        <w:t xml:space="preserve"> and New Zealand European. Indian has been identified as a separate ethnicity from </w:t>
      </w:r>
      <w:r w:rsidR="001A7AF7">
        <w:rPr>
          <w:rFonts w:cs="Arial"/>
        </w:rPr>
        <w:t>‘</w:t>
      </w:r>
      <w:r w:rsidRPr="009F63CE">
        <w:rPr>
          <w:rFonts w:cs="Arial"/>
        </w:rPr>
        <w:t>Other Asian</w:t>
      </w:r>
      <w:r w:rsidR="001A7AF7">
        <w:rPr>
          <w:rFonts w:cs="Arial"/>
        </w:rPr>
        <w:t>’</w:t>
      </w:r>
      <w:r w:rsidRPr="009F63CE">
        <w:rPr>
          <w:rFonts w:cs="Arial"/>
        </w:rPr>
        <w:t xml:space="preserve"> because </w:t>
      </w:r>
      <w:r w:rsidR="001E04AE">
        <w:rPr>
          <w:rFonts w:cs="Arial"/>
        </w:rPr>
        <w:t xml:space="preserve">Aotearoa </w:t>
      </w:r>
      <w:r w:rsidRPr="009F63CE">
        <w:rPr>
          <w:rFonts w:cs="Arial"/>
        </w:rPr>
        <w:t xml:space="preserve">New Zealand data suggest that pregnancies of Indian women are at higher risk than those of </w:t>
      </w:r>
      <w:r w:rsidR="001A7AF7">
        <w:rPr>
          <w:rFonts w:cs="Arial"/>
        </w:rPr>
        <w:t>‘</w:t>
      </w:r>
      <w:r w:rsidRPr="009F63CE">
        <w:rPr>
          <w:rFonts w:cs="Arial"/>
        </w:rPr>
        <w:t>Other Asian</w:t>
      </w:r>
      <w:r w:rsidR="001A7AF7">
        <w:rPr>
          <w:rFonts w:cs="Arial"/>
        </w:rPr>
        <w:t>’</w:t>
      </w:r>
      <w:r w:rsidRPr="009F63CE">
        <w:rPr>
          <w:rFonts w:cs="Arial"/>
        </w:rPr>
        <w:t xml:space="preserve"> women.</w:t>
      </w:r>
      <w:r w:rsidR="00A65593" w:rsidRPr="009F63CE">
        <w:rPr>
          <w:rFonts w:cs="Arial"/>
        </w:rPr>
        <w:t xml:space="preserve"> In the PMMRC reports, most analyses use these ethnic groups, but sometimes ethnic groups are aggregated.</w:t>
      </w:r>
    </w:p>
    <w:p w14:paraId="02083195" w14:textId="2720E303" w:rsidR="009327A9" w:rsidRDefault="009327A9" w:rsidP="009327A9">
      <w:pPr>
        <w:spacing w:before="120" w:after="120"/>
        <w:rPr>
          <w:rFonts w:cs="Arial"/>
        </w:rPr>
      </w:pPr>
      <w:r w:rsidRPr="009F63CE">
        <w:rPr>
          <w:rFonts w:cs="Arial"/>
        </w:rPr>
        <w:t>Where multiple ethnic groups are recorded for an individual</w:t>
      </w:r>
      <w:r w:rsidR="00F54AFF" w:rsidRPr="009F63CE">
        <w:rPr>
          <w:rFonts w:cs="Arial"/>
        </w:rPr>
        <w:t>,</w:t>
      </w:r>
      <w:r w:rsidRPr="009F63CE">
        <w:rPr>
          <w:rFonts w:cs="Arial"/>
        </w:rPr>
        <w:t xml:space="preserve"> the process prioritises minority ethnic groups that might otherwise be swamped by New Zealand European. In doing so, it does not allow individuals to identify a group with which they most feel affinity. It is a simple system that results in relatively few groups for analysis and, when used across different </w:t>
      </w:r>
      <w:r w:rsidR="009F63CE" w:rsidRPr="009F63CE">
        <w:rPr>
          <w:rFonts w:cs="Arial"/>
        </w:rPr>
        <w:t>data set</w:t>
      </w:r>
      <w:r w:rsidRPr="009F63CE">
        <w:rPr>
          <w:rFonts w:cs="Arial"/>
        </w:rPr>
        <w:t>s, ensures a standardised process is used.</w:t>
      </w:r>
    </w:p>
    <w:p w14:paraId="33B1AA74" w14:textId="495EAE21" w:rsidR="001973EA" w:rsidRPr="009F63CE" w:rsidRDefault="00F73EB8" w:rsidP="009327A9">
      <w:pPr>
        <w:spacing w:before="120" w:after="120"/>
        <w:rPr>
          <w:rFonts w:cs="Arial"/>
        </w:rPr>
      </w:pPr>
      <w:r w:rsidRPr="00F73EB8">
        <w:rPr>
          <w:rFonts w:cs="Arial"/>
        </w:rPr>
        <w:t>While StatsNZ does recommend total response ethnicity reporting rather than prioritisation, currently the Ministry of Health and other health reports in Aotearoa New Zealand largely utilise prioritised ethnicity</w:t>
      </w:r>
      <w:r w:rsidR="00CF2132">
        <w:rPr>
          <w:rFonts w:cs="Arial"/>
        </w:rPr>
        <w:t>,</w:t>
      </w:r>
      <w:r w:rsidRPr="00F73EB8">
        <w:rPr>
          <w:rFonts w:cs="Arial"/>
        </w:rPr>
        <w:t xml:space="preserve"> and this includes annual maternity reporting. The PMMRC continues to use the prioritised method for ease of comparisons to these sources. The implications for monitoring Māori health</w:t>
      </w:r>
      <w:r w:rsidR="00966AB0">
        <w:rPr>
          <w:rFonts w:cs="Arial"/>
        </w:rPr>
        <w:t xml:space="preserve"> by</w:t>
      </w:r>
      <w:r w:rsidRPr="00F73EB8">
        <w:rPr>
          <w:rFonts w:cs="Arial"/>
        </w:rPr>
        <w:t xml:space="preserve"> chang</w:t>
      </w:r>
      <w:r w:rsidR="00966AB0">
        <w:rPr>
          <w:rFonts w:cs="Arial"/>
        </w:rPr>
        <w:t>ing</w:t>
      </w:r>
      <w:r w:rsidRPr="00F73EB8">
        <w:rPr>
          <w:rFonts w:cs="Arial"/>
        </w:rPr>
        <w:t xml:space="preserve"> total response reporting of ethnicity are discussed by Cormack &amp; Robson (2010). While prioritisation may undercount some ethnic groups (particularly Pacific peoples)</w:t>
      </w:r>
      <w:r w:rsidR="00373728">
        <w:rPr>
          <w:rFonts w:cs="Arial"/>
        </w:rPr>
        <w:t>,</w:t>
      </w:r>
      <w:r w:rsidRPr="00F73EB8">
        <w:rPr>
          <w:rFonts w:cs="Arial"/>
        </w:rPr>
        <w:t xml:space="preserve"> it does ensure Māori are always counted</w:t>
      </w:r>
      <w:r w:rsidR="001973EA">
        <w:rPr>
          <w:rFonts w:cs="Arial"/>
        </w:rPr>
        <w:t>.</w:t>
      </w:r>
    </w:p>
    <w:p w14:paraId="0F62CF5D" w14:textId="68B75201" w:rsidR="009327A9" w:rsidRPr="009F63CE" w:rsidRDefault="009327A9" w:rsidP="002D24D2">
      <w:pPr>
        <w:pStyle w:val="H3"/>
      </w:pPr>
      <w:bookmarkStart w:id="76" w:name="_Toc119317833"/>
      <w:bookmarkStart w:id="77" w:name="_Toc119317909"/>
      <w:bookmarkStart w:id="78" w:name="_Toc119407135"/>
      <w:r w:rsidRPr="009F63CE">
        <w:t>LMC</w:t>
      </w:r>
      <w:bookmarkEnd w:id="76"/>
      <w:bookmarkEnd w:id="77"/>
      <w:bookmarkEnd w:id="78"/>
    </w:p>
    <w:p w14:paraId="5CB9D909" w14:textId="77777777" w:rsidR="009327A9" w:rsidRPr="009F63CE" w:rsidRDefault="009327A9" w:rsidP="009327A9">
      <w:pPr>
        <w:rPr>
          <w:rFonts w:cs="Arial"/>
        </w:rPr>
      </w:pPr>
      <w:r w:rsidRPr="009F63CE">
        <w:rPr>
          <w:rFonts w:cs="Arial"/>
        </w:rPr>
        <w:t>LMC is defined as the practitioner or caregiver who provides a woman and her baby with continuity of care throughout pregnancy, labour and birth, and the postnatal period as described in the Section 88 Primary Maternity Services Notice 2007, Subpart DA.</w:t>
      </w:r>
    </w:p>
    <w:p w14:paraId="60C80C3A" w14:textId="364CCAAF" w:rsidR="009327A9" w:rsidRPr="009F63CE" w:rsidRDefault="009327A9" w:rsidP="002D24D2">
      <w:pPr>
        <w:pStyle w:val="H3"/>
      </w:pPr>
      <w:bookmarkStart w:id="79" w:name="_Toc119317834"/>
      <w:bookmarkStart w:id="80" w:name="_Toc119317910"/>
      <w:bookmarkStart w:id="81" w:name="_Toc119407136"/>
      <w:r w:rsidRPr="009F63CE">
        <w:t xml:space="preserve">Maternity care in </w:t>
      </w:r>
      <w:r w:rsidR="00FF75DA">
        <w:t>Aotearoa</w:t>
      </w:r>
      <w:r w:rsidR="001E04AE">
        <w:t xml:space="preserve"> </w:t>
      </w:r>
      <w:r w:rsidRPr="009F63CE">
        <w:t>New Zealand</w:t>
      </w:r>
      <w:bookmarkEnd w:id="79"/>
      <w:bookmarkEnd w:id="80"/>
      <w:bookmarkEnd w:id="81"/>
    </w:p>
    <w:p w14:paraId="758A04BA" w14:textId="15647357" w:rsidR="009327A9" w:rsidRPr="009F63CE" w:rsidRDefault="009327A9" w:rsidP="009327A9">
      <w:pPr>
        <w:rPr>
          <w:rFonts w:cs="Arial"/>
        </w:rPr>
      </w:pPr>
      <w:r w:rsidRPr="009F63CE">
        <w:rPr>
          <w:rFonts w:cs="Arial"/>
        </w:rPr>
        <w:t xml:space="preserve">In </w:t>
      </w:r>
      <w:r w:rsidR="001E04AE">
        <w:rPr>
          <w:rFonts w:cs="Arial"/>
        </w:rPr>
        <w:t xml:space="preserve">Aotearoa </w:t>
      </w:r>
      <w:r w:rsidRPr="009F63CE">
        <w:rPr>
          <w:rFonts w:cs="Arial"/>
        </w:rPr>
        <w:t xml:space="preserve">New Zealand, maternity care is funded by the Ministry of Health. Maternity care </w:t>
      </w:r>
      <w:r w:rsidR="00035257">
        <w:rPr>
          <w:rFonts w:cs="Arial"/>
        </w:rPr>
        <w:t>was</w:t>
      </w:r>
      <w:r w:rsidRPr="009F63CE">
        <w:rPr>
          <w:rFonts w:cs="Arial"/>
        </w:rPr>
        <w:t xml:space="preserve"> provided by 20 DHBs nationally and by LMCs, who receive</w:t>
      </w:r>
      <w:r w:rsidR="00C952EA">
        <w:rPr>
          <w:rFonts w:cs="Arial"/>
        </w:rPr>
        <w:t>d</w:t>
      </w:r>
      <w:r w:rsidRPr="009F63CE">
        <w:rPr>
          <w:rFonts w:cs="Arial"/>
        </w:rPr>
        <w:t xml:space="preserve"> funding from the Ministry of Health. LMCs may be self-employed midwives, GPs, private obstetricians or hospital-based midwives and obstetricians. Their services are free for eligible women, except in the case of private obstetricians, who have the right to charge co-payments for their services.</w:t>
      </w:r>
    </w:p>
    <w:p w14:paraId="4AE456D8" w14:textId="77777777" w:rsidR="009327A9" w:rsidRPr="009F63CE" w:rsidRDefault="009327A9" w:rsidP="009327A9">
      <w:pPr>
        <w:rPr>
          <w:rFonts w:cs="Arial"/>
        </w:rPr>
      </w:pPr>
      <w:r w:rsidRPr="009F63CE">
        <w:rPr>
          <w:rFonts w:cs="Arial"/>
        </w:rPr>
        <w:t>LMCs are required to sign access agreements with any maternity facility where they intend to provide care. Women have the right to choose whom they engage as their LMC. However, professional colleges and the Ministry of Health provide guidelines about appropriate care for mothers with risk factors.</w:t>
      </w:r>
    </w:p>
    <w:p w14:paraId="34E47F4D" w14:textId="77777777" w:rsidR="009327A9" w:rsidRPr="009F63CE" w:rsidRDefault="009327A9" w:rsidP="009327A9">
      <w:pPr>
        <w:rPr>
          <w:rFonts w:cs="Arial"/>
        </w:rPr>
      </w:pPr>
      <w:r w:rsidRPr="009F63CE">
        <w:rPr>
          <w:rFonts w:cs="Arial"/>
        </w:rPr>
        <w:t xml:space="preserve">The </w:t>
      </w:r>
      <w:r w:rsidRPr="009F63CE">
        <w:rPr>
          <w:rFonts w:cs="Arial"/>
          <w:i/>
        </w:rPr>
        <w:t xml:space="preserve">Guidelines for Consultation with Obstetric and Related Medical Services (Referral Guidelines) </w:t>
      </w:r>
      <w:r w:rsidRPr="009F63CE">
        <w:rPr>
          <w:rFonts w:cs="Arial"/>
        </w:rPr>
        <w:t>provide information about referring pregnant women, transferring clinical responsibility and transferring care in emergencies (</w:t>
      </w:r>
      <w:hyperlink r:id="rId29" w:history="1">
        <w:r w:rsidRPr="009F63CE">
          <w:rPr>
            <w:rStyle w:val="Hyperlink"/>
            <w:rFonts w:cs="Arial"/>
            <w:color w:val="auto"/>
            <w:u w:val="none"/>
          </w:rPr>
          <w:t>Ministry of Health 2012</w:t>
        </w:r>
      </w:hyperlink>
      <w:r w:rsidRPr="009F63CE">
        <w:rPr>
          <w:rFonts w:cs="Arial"/>
        </w:rPr>
        <w:t>).</w:t>
      </w:r>
    </w:p>
    <w:p w14:paraId="1307D880" w14:textId="7C4388C6" w:rsidR="009327A9" w:rsidRPr="009F63CE" w:rsidRDefault="009327A9" w:rsidP="002D24D2">
      <w:pPr>
        <w:pStyle w:val="H3"/>
      </w:pPr>
      <w:bookmarkStart w:id="82" w:name="_Toc119317835"/>
      <w:bookmarkStart w:id="83" w:name="_Toc119317911"/>
      <w:bookmarkStart w:id="84" w:name="_Toc119407137"/>
      <w:bookmarkStart w:id="85" w:name="_Hlk17706768"/>
      <w:r w:rsidRPr="009F63CE">
        <w:t xml:space="preserve">New Zealand Index of Deprivation </w:t>
      </w:r>
      <w:r w:rsidR="00B64450">
        <w:t>(NZDep)</w:t>
      </w:r>
      <w:bookmarkEnd w:id="82"/>
      <w:bookmarkEnd w:id="83"/>
      <w:bookmarkEnd w:id="84"/>
    </w:p>
    <w:p w14:paraId="2F0951A9" w14:textId="437387CC" w:rsidR="009327A9" w:rsidRPr="009F63CE" w:rsidRDefault="009327A9" w:rsidP="009327A9">
      <w:pPr>
        <w:spacing w:before="120" w:after="120"/>
        <w:rPr>
          <w:rFonts w:cs="Arial"/>
        </w:rPr>
      </w:pPr>
      <w:r w:rsidRPr="009F63CE">
        <w:rPr>
          <w:rFonts w:cs="Arial"/>
        </w:rPr>
        <w:t>The NZDep is an area-based measure of socioeconomic deprivation based on variables from the Census of Population and Dwellings</w:t>
      </w:r>
      <w:r w:rsidR="00266A58">
        <w:rPr>
          <w:rFonts w:cs="Arial"/>
        </w:rPr>
        <w:t xml:space="preserve"> </w:t>
      </w:r>
      <w:r w:rsidR="00266A58" w:rsidRPr="009F63CE">
        <w:rPr>
          <w:rFonts w:cs="Arial"/>
        </w:rPr>
        <w:t>(</w:t>
      </w:r>
      <w:hyperlink r:id="rId30" w:history="1">
        <w:r w:rsidR="00266A58" w:rsidRPr="009F63CE">
          <w:rPr>
            <w:rStyle w:val="Hyperlink"/>
            <w:rFonts w:cs="Arial"/>
            <w:color w:val="auto"/>
            <w:u w:val="none"/>
          </w:rPr>
          <w:t>Atkinson et al 2014</w:t>
        </w:r>
      </w:hyperlink>
      <w:r w:rsidR="00266A58" w:rsidRPr="009F63CE">
        <w:rPr>
          <w:rFonts w:cs="Arial"/>
          <w:color w:val="auto"/>
        </w:rPr>
        <w:t xml:space="preserve">; </w:t>
      </w:r>
      <w:hyperlink r:id="rId31" w:history="1">
        <w:r w:rsidR="00266A58" w:rsidRPr="009F63CE">
          <w:rPr>
            <w:rStyle w:val="Hyperlink"/>
            <w:rFonts w:cs="Arial"/>
            <w:color w:val="auto"/>
            <w:u w:val="none"/>
          </w:rPr>
          <w:t>Salmond et al 2007</w:t>
        </w:r>
      </w:hyperlink>
      <w:r w:rsidR="00266A58" w:rsidRPr="009F63CE">
        <w:rPr>
          <w:rFonts w:cs="Arial"/>
        </w:rPr>
        <w:t>).</w:t>
      </w:r>
      <w:r w:rsidR="00B64450">
        <w:rPr>
          <w:rFonts w:cs="Arial"/>
        </w:rPr>
        <w:t xml:space="preserve"> </w:t>
      </w:r>
      <w:r w:rsidR="00B64450">
        <w:rPr>
          <w:rFonts w:cs="Arial"/>
        </w:rPr>
        <w:lastRenderedPageBreak/>
        <w:t>NZDep06</w:t>
      </w:r>
      <w:r w:rsidR="00282106">
        <w:rPr>
          <w:rFonts w:cs="Arial"/>
        </w:rPr>
        <w:t>,</w:t>
      </w:r>
      <w:r w:rsidR="00B64450">
        <w:rPr>
          <w:rFonts w:cs="Arial"/>
        </w:rPr>
        <w:t xml:space="preserve"> NZDep13 </w:t>
      </w:r>
      <w:r w:rsidR="00282106">
        <w:rPr>
          <w:rFonts w:cs="Arial"/>
        </w:rPr>
        <w:t xml:space="preserve">and NZDep18 </w:t>
      </w:r>
      <w:r w:rsidR="00B64450">
        <w:rPr>
          <w:rFonts w:cs="Arial"/>
        </w:rPr>
        <w:t>are used in th</w:t>
      </w:r>
      <w:r w:rsidR="00DD23BC">
        <w:rPr>
          <w:rFonts w:cs="Arial"/>
        </w:rPr>
        <w:t>is report and are derived from</w:t>
      </w:r>
      <w:r w:rsidR="00B64450">
        <w:rPr>
          <w:rFonts w:cs="Arial"/>
        </w:rPr>
        <w:t xml:space="preserve"> the</w:t>
      </w:r>
      <w:r w:rsidRPr="009F63CE">
        <w:rPr>
          <w:rFonts w:cs="Arial"/>
        </w:rPr>
        <w:t xml:space="preserve"> 2006</w:t>
      </w:r>
      <w:r w:rsidR="00282106">
        <w:rPr>
          <w:rFonts w:cs="Arial"/>
        </w:rPr>
        <w:t>,</w:t>
      </w:r>
      <w:r w:rsidRPr="009F63CE">
        <w:rPr>
          <w:rFonts w:cs="Arial"/>
        </w:rPr>
        <w:t xml:space="preserve"> 2013 </w:t>
      </w:r>
      <w:r w:rsidR="00282106">
        <w:rPr>
          <w:rFonts w:cs="Arial"/>
        </w:rPr>
        <w:t xml:space="preserve">and 2018 </w:t>
      </w:r>
      <w:r w:rsidR="00B64450">
        <w:rPr>
          <w:rFonts w:cs="Arial"/>
        </w:rPr>
        <w:t xml:space="preserve">censuses </w:t>
      </w:r>
      <w:r w:rsidRPr="009F63CE">
        <w:rPr>
          <w:rFonts w:cs="Arial"/>
        </w:rPr>
        <w:t xml:space="preserve">in </w:t>
      </w:r>
      <w:r w:rsidR="00B64450">
        <w:rPr>
          <w:rFonts w:cs="Arial"/>
        </w:rPr>
        <w:t>Aotearoa</w:t>
      </w:r>
      <w:r w:rsidR="001E04AE">
        <w:rPr>
          <w:rFonts w:cs="Arial"/>
        </w:rPr>
        <w:t xml:space="preserve"> </w:t>
      </w:r>
      <w:r w:rsidRPr="009F63CE">
        <w:rPr>
          <w:rFonts w:cs="Arial"/>
        </w:rPr>
        <w:t>New Zealand</w:t>
      </w:r>
      <w:r w:rsidR="00266A58">
        <w:rPr>
          <w:rFonts w:cs="Arial"/>
        </w:rPr>
        <w:t>.</w:t>
      </w:r>
      <w:r w:rsidRPr="009F63CE">
        <w:rPr>
          <w:rFonts w:cs="Arial"/>
        </w:rPr>
        <w:t xml:space="preserve"> </w:t>
      </w:r>
    </w:p>
    <w:bookmarkEnd w:id="85"/>
    <w:p w14:paraId="138E8BDA" w14:textId="65197B5F" w:rsidR="009327A9" w:rsidRPr="009F63CE" w:rsidRDefault="009327A9" w:rsidP="009327A9">
      <w:pPr>
        <w:spacing w:before="120" w:after="120"/>
        <w:rPr>
          <w:rFonts w:cs="Arial"/>
        </w:rPr>
      </w:pPr>
      <w:r w:rsidRPr="009F63CE">
        <w:rPr>
          <w:rFonts w:cs="Arial"/>
        </w:rPr>
        <w:t>The score is assigned according to maternal place of residence and is presented as a decile or quintile. Increasing deciles of deprivation, from least deprived at decile 1 to most deprived at decile 10, are associated with higher mortality and rates of many diseases (</w:t>
      </w:r>
      <w:hyperlink r:id="rId32" w:history="1">
        <w:r w:rsidR="00E758ED" w:rsidRPr="009F63CE">
          <w:rPr>
            <w:rStyle w:val="Hyperlink"/>
            <w:rFonts w:cs="Arial"/>
            <w:color w:val="auto"/>
            <w:u w:val="none"/>
          </w:rPr>
          <w:t>Atkinson et al 2014</w:t>
        </w:r>
      </w:hyperlink>
      <w:r w:rsidR="00E758ED" w:rsidRPr="009F63CE">
        <w:rPr>
          <w:rFonts w:cs="Arial"/>
          <w:color w:val="auto"/>
        </w:rPr>
        <w:t xml:space="preserve">; </w:t>
      </w:r>
      <w:hyperlink r:id="rId33" w:history="1">
        <w:r w:rsidR="00E758ED" w:rsidRPr="009F63CE">
          <w:rPr>
            <w:rStyle w:val="Hyperlink"/>
            <w:rFonts w:cs="Arial"/>
            <w:color w:val="auto"/>
            <w:u w:val="none"/>
          </w:rPr>
          <w:t>Salmond et al 2007</w:t>
        </w:r>
      </w:hyperlink>
      <w:r w:rsidRPr="009F63CE">
        <w:rPr>
          <w:rFonts w:cs="Arial"/>
        </w:rPr>
        <w:t>). Census area unit</w:t>
      </w:r>
      <w:r w:rsidR="00610A18">
        <w:rPr>
          <w:rFonts w:cs="Arial"/>
        </w:rPr>
        <w:t xml:space="preserve"> (CAU)</w:t>
      </w:r>
      <w:r w:rsidRPr="009F63CE">
        <w:rPr>
          <w:rFonts w:cs="Arial"/>
        </w:rPr>
        <w:t xml:space="preserve">-level data </w:t>
      </w:r>
      <w:r w:rsidR="00282106">
        <w:rPr>
          <w:rFonts w:cs="Arial"/>
        </w:rPr>
        <w:t>were</w:t>
      </w:r>
      <w:r w:rsidRPr="009F63CE">
        <w:rPr>
          <w:rFonts w:cs="Arial"/>
        </w:rPr>
        <w:t xml:space="preserve"> used </w:t>
      </w:r>
      <w:r w:rsidR="00282106">
        <w:rPr>
          <w:rFonts w:cs="Arial"/>
        </w:rPr>
        <w:t>for</w:t>
      </w:r>
      <w:r w:rsidR="00641ACD" w:rsidRPr="009F63CE">
        <w:rPr>
          <w:rFonts w:cs="Arial"/>
        </w:rPr>
        <w:t xml:space="preserve"> the</w:t>
      </w:r>
      <w:r w:rsidRPr="009F63CE">
        <w:rPr>
          <w:rFonts w:cs="Arial"/>
        </w:rPr>
        <w:t xml:space="preserve"> 11</w:t>
      </w:r>
      <w:r w:rsidRPr="002B58F1">
        <w:rPr>
          <w:rFonts w:cs="Arial"/>
        </w:rPr>
        <w:t>th</w:t>
      </w:r>
      <w:r w:rsidR="00282106">
        <w:rPr>
          <w:rFonts w:cs="Arial"/>
        </w:rPr>
        <w:t>–14</w:t>
      </w:r>
      <w:r w:rsidR="00282106" w:rsidRPr="002B58F1">
        <w:rPr>
          <w:rFonts w:cs="Arial"/>
        </w:rPr>
        <w:t>th</w:t>
      </w:r>
      <w:r w:rsidR="00282106">
        <w:rPr>
          <w:rFonts w:cs="Arial"/>
        </w:rPr>
        <w:t xml:space="preserve"> </w:t>
      </w:r>
      <w:r w:rsidR="004F7A0B" w:rsidRPr="009F63CE">
        <w:rPr>
          <w:rFonts w:cs="Arial"/>
        </w:rPr>
        <w:t xml:space="preserve">PMMRC </w:t>
      </w:r>
      <w:r w:rsidRPr="009F63CE">
        <w:rPr>
          <w:rFonts w:cs="Arial"/>
        </w:rPr>
        <w:t>report</w:t>
      </w:r>
      <w:r w:rsidR="00282106">
        <w:rPr>
          <w:rFonts w:cs="Arial"/>
        </w:rPr>
        <w:t>s</w:t>
      </w:r>
      <w:r w:rsidRPr="009F63CE">
        <w:rPr>
          <w:rFonts w:cs="Arial"/>
        </w:rPr>
        <w:t xml:space="preserve"> (in previous reports</w:t>
      </w:r>
      <w:r w:rsidR="006E3ED1">
        <w:rPr>
          <w:rFonts w:cs="Arial"/>
        </w:rPr>
        <w:t>,</w:t>
      </w:r>
      <w:r w:rsidRPr="009F63CE">
        <w:rPr>
          <w:rFonts w:cs="Arial"/>
        </w:rPr>
        <w:t xml:space="preserve"> meshblock unit</w:t>
      </w:r>
      <w:r w:rsidR="006E3ED1">
        <w:rPr>
          <w:rFonts w:cs="Arial"/>
        </w:rPr>
        <w:t>-</w:t>
      </w:r>
      <w:r w:rsidRPr="009F63CE">
        <w:rPr>
          <w:rFonts w:cs="Arial"/>
        </w:rPr>
        <w:t>level data were used</w:t>
      </w:r>
      <w:r w:rsidR="00641ACD" w:rsidRPr="009F63CE">
        <w:rPr>
          <w:rFonts w:cs="Arial"/>
        </w:rPr>
        <w:t xml:space="preserve"> to assign a deprivation score</w:t>
      </w:r>
      <w:r w:rsidRPr="009F63CE">
        <w:rPr>
          <w:rFonts w:cs="Arial"/>
        </w:rPr>
        <w:t xml:space="preserve">). </w:t>
      </w:r>
      <w:r w:rsidR="00282106">
        <w:rPr>
          <w:rFonts w:cs="Arial"/>
        </w:rPr>
        <w:t xml:space="preserve">For NZDep18, Statistical Area 1 (SA1s) were used </w:t>
      </w:r>
      <w:r w:rsidR="00A47EFB">
        <w:rPr>
          <w:rFonts w:cs="Arial"/>
        </w:rPr>
        <w:t>(Atkinson et al 2019)</w:t>
      </w:r>
      <w:r w:rsidR="00282106">
        <w:rPr>
          <w:rFonts w:cs="Arial"/>
        </w:rPr>
        <w:t xml:space="preserve">. </w:t>
      </w:r>
      <w:r w:rsidRPr="009F63CE">
        <w:rPr>
          <w:rFonts w:cs="Arial"/>
        </w:rPr>
        <w:t>Generally, data are presented as quintiles rather than deciles so that individual categories are large enough for analysis.</w:t>
      </w:r>
    </w:p>
    <w:p w14:paraId="5E97DA4C" w14:textId="1D9ECBDF" w:rsidR="009327A9" w:rsidRPr="009F63CE" w:rsidRDefault="00282106" w:rsidP="00F76130">
      <w:pPr>
        <w:spacing w:before="120" w:after="120"/>
        <w:rPr>
          <w:rFonts w:cs="Arial"/>
        </w:rPr>
      </w:pPr>
      <w:r>
        <w:rPr>
          <w:rFonts w:cs="Arial"/>
        </w:rPr>
        <w:t xml:space="preserve">NZDep18 deciles were </w:t>
      </w:r>
      <w:r w:rsidRPr="009F63CE">
        <w:rPr>
          <w:rFonts w:cs="Arial"/>
        </w:rPr>
        <w:t xml:space="preserve">assigned to births and deaths </w:t>
      </w:r>
      <w:r>
        <w:rPr>
          <w:rFonts w:cs="Arial"/>
        </w:rPr>
        <w:t xml:space="preserve">from 2018 to </w:t>
      </w:r>
      <w:r w:rsidR="006E3ED1">
        <w:rPr>
          <w:rFonts w:cs="Arial"/>
        </w:rPr>
        <w:t xml:space="preserve">the </w:t>
      </w:r>
      <w:r>
        <w:rPr>
          <w:rFonts w:cs="Arial"/>
        </w:rPr>
        <w:t xml:space="preserve">present; </w:t>
      </w:r>
      <w:r w:rsidR="009327A9" w:rsidRPr="009F63CE">
        <w:rPr>
          <w:rFonts w:cs="Arial"/>
        </w:rPr>
        <w:t xml:space="preserve">NZDep2013 deciles </w:t>
      </w:r>
      <w:r>
        <w:rPr>
          <w:rFonts w:cs="Arial"/>
        </w:rPr>
        <w:t>were</w:t>
      </w:r>
      <w:r w:rsidR="009327A9" w:rsidRPr="009F63CE">
        <w:rPr>
          <w:rFonts w:cs="Arial"/>
        </w:rPr>
        <w:t xml:space="preserve"> assigned to births and deaths from 2013</w:t>
      </w:r>
      <w:r w:rsidR="00F949D5">
        <w:rPr>
          <w:rFonts w:cs="Arial"/>
        </w:rPr>
        <w:t xml:space="preserve"> to </w:t>
      </w:r>
      <w:r>
        <w:rPr>
          <w:rFonts w:cs="Arial"/>
        </w:rPr>
        <w:t>2017 inclusive</w:t>
      </w:r>
      <w:r w:rsidR="00AF4245" w:rsidRPr="009F63CE">
        <w:rPr>
          <w:rFonts w:cs="Arial"/>
        </w:rPr>
        <w:t>,</w:t>
      </w:r>
      <w:r>
        <w:rPr>
          <w:rFonts w:cs="Arial"/>
        </w:rPr>
        <w:t xml:space="preserve"> and</w:t>
      </w:r>
      <w:r w:rsidR="009327A9" w:rsidRPr="009F63CE">
        <w:rPr>
          <w:rFonts w:cs="Arial"/>
        </w:rPr>
        <w:t xml:space="preserve"> NZDep2006 </w:t>
      </w:r>
      <w:r>
        <w:rPr>
          <w:rFonts w:cs="Arial"/>
        </w:rPr>
        <w:t>was</w:t>
      </w:r>
      <w:r w:rsidR="009327A9" w:rsidRPr="009F63CE">
        <w:rPr>
          <w:rFonts w:cs="Arial"/>
        </w:rPr>
        <w:t xml:space="preserve"> used for previous years. </w:t>
      </w:r>
    </w:p>
    <w:p w14:paraId="029E86FB" w14:textId="4944EF06" w:rsidR="00F76130" w:rsidRPr="009F63CE" w:rsidRDefault="00F76130" w:rsidP="002D24D2">
      <w:pPr>
        <w:pStyle w:val="H3"/>
      </w:pPr>
      <w:bookmarkStart w:id="86" w:name="_Toc119317836"/>
      <w:bookmarkStart w:id="87" w:name="_Toc119317912"/>
      <w:bookmarkStart w:id="88" w:name="_Toc119407138"/>
      <w:r w:rsidRPr="009F63CE">
        <w:t xml:space="preserve">PSANZ </w:t>
      </w:r>
      <w:r w:rsidR="00D85A99" w:rsidRPr="009F63CE">
        <w:t>death classifications</w:t>
      </w:r>
      <w:bookmarkEnd w:id="86"/>
      <w:bookmarkEnd w:id="87"/>
      <w:bookmarkEnd w:id="88"/>
    </w:p>
    <w:p w14:paraId="16ACF7D8" w14:textId="3943D447" w:rsidR="00F76130" w:rsidRPr="009F63CE" w:rsidRDefault="00F76130" w:rsidP="00F76130">
      <w:pPr>
        <w:spacing w:after="120"/>
        <w:rPr>
          <w:rFonts w:cs="Arial"/>
          <w:color w:val="000000"/>
        </w:rPr>
      </w:pPr>
      <w:r w:rsidRPr="009F63CE">
        <w:rPr>
          <w:rFonts w:cs="Arial"/>
          <w:b/>
          <w:bCs/>
        </w:rPr>
        <w:t xml:space="preserve">PSANZ-PDC </w:t>
      </w:r>
      <w:r w:rsidR="006C622C" w:rsidRPr="009F63CE">
        <w:rPr>
          <w:rFonts w:cs="Arial"/>
        </w:rPr>
        <w:t>–</w:t>
      </w:r>
      <w:r w:rsidRPr="009F63CE">
        <w:rPr>
          <w:rFonts w:cs="Arial"/>
        </w:rPr>
        <w:t xml:space="preserve"> the purpose of the PSANZ-PDC is to identify the single most important factor </w:t>
      </w:r>
      <w:r w:rsidR="006C622C" w:rsidRPr="009F63CE">
        <w:rPr>
          <w:rFonts w:cs="Arial"/>
        </w:rPr>
        <w:t xml:space="preserve">that </w:t>
      </w:r>
      <w:r w:rsidRPr="009F63CE">
        <w:rPr>
          <w:rFonts w:cs="Arial"/>
        </w:rPr>
        <w:t xml:space="preserve">led to the chain of events </w:t>
      </w:r>
      <w:r w:rsidR="0058794C" w:rsidRPr="009F63CE">
        <w:rPr>
          <w:rFonts w:cs="Arial"/>
        </w:rPr>
        <w:t xml:space="preserve">that </w:t>
      </w:r>
      <w:r w:rsidRPr="009F63CE">
        <w:rPr>
          <w:rFonts w:cs="Arial"/>
        </w:rPr>
        <w:t>resulted in the death.</w:t>
      </w:r>
    </w:p>
    <w:p w14:paraId="04ACD6D7" w14:textId="255F1081" w:rsidR="00F76130" w:rsidRDefault="00F76130" w:rsidP="00F76130">
      <w:pPr>
        <w:spacing w:before="120" w:after="120"/>
        <w:rPr>
          <w:rFonts w:cs="Arial"/>
        </w:rPr>
      </w:pPr>
      <w:r w:rsidRPr="009F63CE">
        <w:rPr>
          <w:rFonts w:cs="Arial"/>
          <w:b/>
          <w:bCs/>
        </w:rPr>
        <w:t>PSANZ-NDC</w:t>
      </w:r>
      <w:r w:rsidRPr="009F63CE">
        <w:rPr>
          <w:rFonts w:cs="Arial"/>
        </w:rPr>
        <w:t xml:space="preserve"> </w:t>
      </w:r>
      <w:r w:rsidR="0058794C" w:rsidRPr="009F63CE">
        <w:rPr>
          <w:rFonts w:cs="Arial"/>
        </w:rPr>
        <w:t>–</w:t>
      </w:r>
      <w:r w:rsidRPr="009F63CE">
        <w:rPr>
          <w:rFonts w:cs="Arial"/>
        </w:rPr>
        <w:t xml:space="preserve"> the purpose of the PSANZ-NDC is in addition to the PSANZ-PDC to identify the single most important factor in the neonatal period </w:t>
      </w:r>
      <w:r w:rsidR="0058794C" w:rsidRPr="009F63CE">
        <w:rPr>
          <w:rFonts w:cs="Arial"/>
        </w:rPr>
        <w:t xml:space="preserve">that </w:t>
      </w:r>
      <w:r w:rsidRPr="009F63CE">
        <w:rPr>
          <w:rFonts w:cs="Arial"/>
        </w:rPr>
        <w:t>caused the death.</w:t>
      </w:r>
    </w:p>
    <w:p w14:paraId="65E3E493" w14:textId="27DF94C6" w:rsidR="00DD69FE" w:rsidRPr="009F63CE" w:rsidRDefault="00DD69FE" w:rsidP="00DD69FE">
      <w:pPr>
        <w:spacing w:before="120" w:after="120"/>
        <w:rPr>
          <w:rFonts w:cs="Arial"/>
          <w:color w:val="auto"/>
        </w:rPr>
      </w:pPr>
      <w:r>
        <w:rPr>
          <w:rFonts w:cs="Arial"/>
        </w:rPr>
        <w:t xml:space="preserve">For this report, the 2018 PSANZ classifications were used. For babies who died </w:t>
      </w:r>
      <w:r w:rsidR="0081767A">
        <w:rPr>
          <w:rFonts w:cs="Arial"/>
        </w:rPr>
        <w:t>from</w:t>
      </w:r>
      <w:r>
        <w:rPr>
          <w:rFonts w:cs="Arial"/>
        </w:rPr>
        <w:t xml:space="preserve"> 2018</w:t>
      </w:r>
      <w:r w:rsidR="0081767A">
        <w:rPr>
          <w:rFonts w:cs="Arial"/>
        </w:rPr>
        <w:t xml:space="preserve"> onwards</w:t>
      </w:r>
      <w:r>
        <w:rPr>
          <w:rFonts w:cs="Arial"/>
        </w:rPr>
        <w:t>, the death classification was coded in the 2018 version. Babies who died during the years 2007–</w:t>
      </w:r>
      <w:r w:rsidR="005B30F9">
        <w:rPr>
          <w:rFonts w:cs="Arial"/>
        </w:rPr>
        <w:t>20</w:t>
      </w:r>
      <w:r>
        <w:rPr>
          <w:rFonts w:cs="Arial"/>
        </w:rPr>
        <w:t xml:space="preserve">17 </w:t>
      </w:r>
      <w:r w:rsidR="0081767A">
        <w:rPr>
          <w:rFonts w:cs="Arial"/>
        </w:rPr>
        <w:t>had been</w:t>
      </w:r>
      <w:r>
        <w:rPr>
          <w:rFonts w:cs="Arial"/>
        </w:rPr>
        <w:t xml:space="preserve"> coded in the 2007 version. For these babies, the primary PDC and NDC </w:t>
      </w:r>
      <w:r w:rsidR="00E43793">
        <w:rPr>
          <w:rFonts w:cs="Arial"/>
        </w:rPr>
        <w:t xml:space="preserve">category </w:t>
      </w:r>
      <w:r>
        <w:rPr>
          <w:rFonts w:cs="Arial"/>
        </w:rPr>
        <w:t xml:space="preserve">codes were mapped to the 2018 version. For NDC codes, the mapping was straight forward with </w:t>
      </w:r>
      <w:r w:rsidR="0081767A">
        <w:rPr>
          <w:rFonts w:cs="Arial"/>
        </w:rPr>
        <w:t>one-to-one</w:t>
      </w:r>
      <w:r>
        <w:rPr>
          <w:rFonts w:cs="Arial"/>
        </w:rPr>
        <w:t xml:space="preserve"> category mapping. PDC codes required a mix of direct category mapping, selected sub-category mapping and custom (individual) case mapping. One of the results of the change in death classification schema was that idiopathic hydrops (PDC 6.7 in </w:t>
      </w:r>
      <w:r w:rsidR="007F6DD6">
        <w:rPr>
          <w:rFonts w:cs="Arial"/>
        </w:rPr>
        <w:t xml:space="preserve">the </w:t>
      </w:r>
      <w:r>
        <w:rPr>
          <w:rFonts w:cs="Arial"/>
        </w:rPr>
        <w:t xml:space="preserve">2007 version) was moved to idiopathic hydrops fetalis (PDC 1.192 in the 2018 version). This change has increased the number of babies whose death classification is congenital anomaly. </w:t>
      </w:r>
    </w:p>
    <w:p w14:paraId="75BAB784" w14:textId="77777777" w:rsidR="009327A9" w:rsidRPr="009F63CE" w:rsidRDefault="009327A9" w:rsidP="002D24D2">
      <w:pPr>
        <w:pStyle w:val="H3"/>
      </w:pPr>
      <w:bookmarkStart w:id="89" w:name="_Toc119317837"/>
      <w:bookmarkStart w:id="90" w:name="_Toc119317913"/>
      <w:bookmarkStart w:id="91" w:name="_Toc119407139"/>
      <w:r w:rsidRPr="009F63CE">
        <w:t>Place of birth</w:t>
      </w:r>
      <w:bookmarkEnd w:id="89"/>
      <w:bookmarkEnd w:id="90"/>
      <w:bookmarkEnd w:id="91"/>
    </w:p>
    <w:p w14:paraId="171F32C0" w14:textId="77777777" w:rsidR="009327A9" w:rsidRPr="009F63CE" w:rsidRDefault="009327A9" w:rsidP="00F76130">
      <w:pPr>
        <w:spacing w:before="120" w:after="120"/>
        <w:rPr>
          <w:rFonts w:cs="Arial"/>
        </w:rPr>
      </w:pPr>
      <w:r w:rsidRPr="009F63CE">
        <w:rPr>
          <w:rFonts w:cs="Arial"/>
        </w:rPr>
        <w:t>Place of birth is defined for the data collection as:</w:t>
      </w:r>
    </w:p>
    <w:p w14:paraId="22EAA387" w14:textId="77777777" w:rsidR="009327A9" w:rsidRPr="009F63CE" w:rsidRDefault="009327A9" w:rsidP="00257ED9">
      <w:pPr>
        <w:pStyle w:val="ListBullet"/>
        <w:spacing w:before="0" w:after="60"/>
        <w:ind w:left="357" w:hanging="357"/>
        <w:rPr>
          <w:rFonts w:cs="Arial"/>
        </w:rPr>
      </w:pPr>
      <w:r w:rsidRPr="009F63CE">
        <w:rPr>
          <w:rFonts w:cs="Arial"/>
        </w:rPr>
        <w:t>home: a home environment does not have to be the mother’s own home</w:t>
      </w:r>
    </w:p>
    <w:p w14:paraId="1E90393A" w14:textId="77777777" w:rsidR="009327A9" w:rsidRPr="009F63CE" w:rsidRDefault="009327A9" w:rsidP="00257ED9">
      <w:pPr>
        <w:pStyle w:val="ListBullet"/>
        <w:spacing w:before="0" w:after="60"/>
        <w:ind w:left="357" w:hanging="357"/>
        <w:rPr>
          <w:rFonts w:cs="Arial"/>
        </w:rPr>
      </w:pPr>
      <w:r w:rsidRPr="009F63CE">
        <w:rPr>
          <w:rFonts w:cs="Arial"/>
        </w:rPr>
        <w:t>birthing unit: stand-alone birthing centre</w:t>
      </w:r>
    </w:p>
    <w:p w14:paraId="1DF02EFA" w14:textId="77777777" w:rsidR="009327A9" w:rsidRPr="009F63CE" w:rsidRDefault="009327A9" w:rsidP="00257ED9">
      <w:pPr>
        <w:pStyle w:val="ListBullet"/>
        <w:spacing w:before="0" w:after="60"/>
        <w:ind w:left="357" w:hanging="357"/>
        <w:rPr>
          <w:rFonts w:cs="Arial"/>
        </w:rPr>
      </w:pPr>
      <w:r w:rsidRPr="009F63CE">
        <w:rPr>
          <w:rFonts w:cs="Arial"/>
        </w:rPr>
        <w:t>hospital level 1: a hospital with no neonatal or caesarean section facilities</w:t>
      </w:r>
    </w:p>
    <w:p w14:paraId="2246FC8C" w14:textId="77777777" w:rsidR="009327A9" w:rsidRPr="009F63CE" w:rsidRDefault="009327A9" w:rsidP="00257ED9">
      <w:pPr>
        <w:pStyle w:val="ListBullet"/>
        <w:spacing w:before="0" w:after="60"/>
        <w:ind w:left="357" w:hanging="357"/>
        <w:rPr>
          <w:rFonts w:cs="Arial"/>
        </w:rPr>
      </w:pPr>
      <w:r w:rsidRPr="009F63CE">
        <w:rPr>
          <w:rFonts w:cs="Arial"/>
        </w:rPr>
        <w:t>hospital level 2: a hospital that is unable to provide long-term ventilation for babies</w:t>
      </w:r>
    </w:p>
    <w:p w14:paraId="18534487" w14:textId="77777777" w:rsidR="009327A9" w:rsidRPr="009F63CE" w:rsidRDefault="009327A9" w:rsidP="00257ED9">
      <w:pPr>
        <w:pStyle w:val="ListBullet"/>
        <w:spacing w:before="0" w:after="60"/>
        <w:ind w:left="357" w:hanging="357"/>
        <w:rPr>
          <w:rFonts w:cs="Arial"/>
        </w:rPr>
      </w:pPr>
      <w:r w:rsidRPr="009F63CE">
        <w:rPr>
          <w:rFonts w:cs="Arial"/>
        </w:rPr>
        <w:t>hospital level 3: a hospital with full neonatal intensive care inc</w:t>
      </w:r>
      <w:r w:rsidR="00312B36" w:rsidRPr="009F63CE">
        <w:rPr>
          <w:rFonts w:cs="Arial"/>
        </w:rPr>
        <w:t xml:space="preserve">luding facilities for long-term </w:t>
      </w:r>
      <w:r w:rsidRPr="009F63CE">
        <w:rPr>
          <w:rFonts w:cs="Arial"/>
        </w:rPr>
        <w:t>ventilation</w:t>
      </w:r>
    </w:p>
    <w:p w14:paraId="4D78B553" w14:textId="77777777" w:rsidR="009327A9" w:rsidRPr="009F63CE" w:rsidRDefault="009327A9" w:rsidP="00257ED9">
      <w:pPr>
        <w:pStyle w:val="ListBullet"/>
        <w:spacing w:before="0" w:after="60"/>
        <w:ind w:left="357" w:hanging="357"/>
        <w:rPr>
          <w:rFonts w:cs="Arial"/>
        </w:rPr>
      </w:pPr>
      <w:r w:rsidRPr="009F63CE">
        <w:rPr>
          <w:rFonts w:cs="Arial"/>
        </w:rPr>
        <w:t>other: for example, car, ambulance</w:t>
      </w:r>
    </w:p>
    <w:p w14:paraId="2AD11987" w14:textId="77777777" w:rsidR="009327A9" w:rsidRPr="009F63CE" w:rsidRDefault="009327A9" w:rsidP="00257ED9">
      <w:pPr>
        <w:pStyle w:val="ListBullet"/>
        <w:spacing w:before="0"/>
        <w:ind w:left="357" w:hanging="357"/>
        <w:rPr>
          <w:rFonts w:cs="Arial"/>
        </w:rPr>
      </w:pPr>
      <w:r w:rsidRPr="009F63CE">
        <w:rPr>
          <w:rFonts w:cs="Arial"/>
        </w:rPr>
        <w:t>not registered: the woman has not registered at any facility.</w:t>
      </w:r>
    </w:p>
    <w:p w14:paraId="32CD2ADB" w14:textId="32459AE4" w:rsidR="009327A9" w:rsidRPr="009F63CE" w:rsidRDefault="009327A9" w:rsidP="002D24D2">
      <w:pPr>
        <w:pStyle w:val="H3"/>
      </w:pPr>
      <w:bookmarkStart w:id="92" w:name="_Toc119317838"/>
      <w:bookmarkStart w:id="93" w:name="_Toc119317914"/>
      <w:bookmarkStart w:id="94" w:name="_Toc119407140"/>
      <w:r w:rsidRPr="009F63CE">
        <w:lastRenderedPageBreak/>
        <w:t>Registration with a</w:t>
      </w:r>
      <w:r w:rsidR="005A3481">
        <w:t>n</w:t>
      </w:r>
      <w:r w:rsidRPr="009F63CE">
        <w:t xml:space="preserve"> LMC</w:t>
      </w:r>
      <w:bookmarkEnd w:id="92"/>
      <w:bookmarkEnd w:id="93"/>
      <w:bookmarkEnd w:id="94"/>
    </w:p>
    <w:p w14:paraId="03F1F319" w14:textId="3353FC83" w:rsidR="009327A9" w:rsidRDefault="009327A9" w:rsidP="00F76130">
      <w:pPr>
        <w:spacing w:before="120" w:after="120"/>
        <w:rPr>
          <w:rFonts w:cs="Arial"/>
        </w:rPr>
      </w:pPr>
      <w:r w:rsidRPr="009F63CE">
        <w:rPr>
          <w:rFonts w:cs="Arial"/>
        </w:rPr>
        <w:t xml:space="preserve">Registration with </w:t>
      </w:r>
      <w:r w:rsidR="0058794C" w:rsidRPr="009F63CE">
        <w:rPr>
          <w:rFonts w:cs="Arial"/>
        </w:rPr>
        <w:t xml:space="preserve">an </w:t>
      </w:r>
      <w:r w:rsidRPr="009F63CE">
        <w:rPr>
          <w:rFonts w:cs="Arial"/>
        </w:rPr>
        <w:t>LMC is the process by which a woman selects her LMC. This generally occurs at the time of the first antenatal visit with the LMC. Upon registration</w:t>
      </w:r>
      <w:r w:rsidR="00C0339A">
        <w:rPr>
          <w:rFonts w:cs="Arial"/>
        </w:rPr>
        <w:t>,</w:t>
      </w:r>
      <w:r w:rsidRPr="009F63CE">
        <w:rPr>
          <w:rFonts w:cs="Arial"/>
        </w:rPr>
        <w:t xml:space="preserve"> the LMC assumes clinical responsibility for maternity care. Clinical responsibility for care may transfer from the LMC to another service or provider</w:t>
      </w:r>
      <w:r w:rsidR="00C0339A">
        <w:rPr>
          <w:rFonts w:cs="Arial"/>
        </w:rPr>
        <w:t>,</w:t>
      </w:r>
      <w:r w:rsidRPr="009F63CE">
        <w:rPr>
          <w:rFonts w:cs="Arial"/>
        </w:rPr>
        <w:t xml:space="preserve"> for example, if a woman’s condition warrants transfer of clinical responsibility to a specialist.</w:t>
      </w:r>
    </w:p>
    <w:p w14:paraId="6A038DCC" w14:textId="0550C39A" w:rsidR="00167701" w:rsidRDefault="00167701" w:rsidP="002D24D2">
      <w:pPr>
        <w:pStyle w:val="H3"/>
      </w:pPr>
      <w:bookmarkStart w:id="95" w:name="_Toc119317839"/>
      <w:bookmarkStart w:id="96" w:name="_Toc119317915"/>
      <w:bookmarkStart w:id="97" w:name="_Toc119407141"/>
      <w:r>
        <w:t>Parity</w:t>
      </w:r>
      <w:bookmarkEnd w:id="95"/>
      <w:bookmarkEnd w:id="96"/>
      <w:bookmarkEnd w:id="97"/>
    </w:p>
    <w:p w14:paraId="066CB14F" w14:textId="7FA94E8A" w:rsidR="00167701" w:rsidRPr="00167701" w:rsidRDefault="00E016DF" w:rsidP="00167701">
      <w:r>
        <w:t xml:space="preserve">Parity is described </w:t>
      </w:r>
      <w:r w:rsidR="001D4E8A">
        <w:t xml:space="preserve">in this report </w:t>
      </w:r>
      <w:r>
        <w:t xml:space="preserve">by </w:t>
      </w:r>
      <w:r w:rsidR="00DB0662">
        <w:t xml:space="preserve">the terms ‘primiparous’ and ‘multiparous’. A primiparous </w:t>
      </w:r>
      <w:r w:rsidR="00C0339A">
        <w:t>woman</w:t>
      </w:r>
      <w:r w:rsidR="00DB0662">
        <w:t xml:space="preserve"> is defined here as having her first baby/babies after 20 weeks gestation. In figures and tables, this is called ‘parity 0’. </w:t>
      </w:r>
      <w:r w:rsidR="00F8094A">
        <w:t>A m</w:t>
      </w:r>
      <w:r w:rsidR="00DB0662">
        <w:t xml:space="preserve">ultiparous </w:t>
      </w:r>
      <w:r w:rsidR="00F8094A">
        <w:t xml:space="preserve">woman has </w:t>
      </w:r>
      <w:r w:rsidR="00DB0662">
        <w:t>already had a ba</w:t>
      </w:r>
      <w:r w:rsidR="001D4E8A">
        <w:t xml:space="preserve">by after 20 weeks gestation, and parity is </w:t>
      </w:r>
      <w:r w:rsidR="001D4E8A">
        <w:rPr>
          <w:rFonts w:cs="Arial"/>
        </w:rPr>
        <w:t>≥</w:t>
      </w:r>
      <w:r w:rsidR="001D4E8A">
        <w:t>1.</w:t>
      </w:r>
    </w:p>
    <w:p w14:paraId="788DD1C6" w14:textId="61946805" w:rsidR="00167701" w:rsidRPr="009F63CE" w:rsidRDefault="00167701" w:rsidP="002D24D2">
      <w:pPr>
        <w:pStyle w:val="H3"/>
      </w:pPr>
      <w:bookmarkStart w:id="98" w:name="_Toc119317840"/>
      <w:bookmarkStart w:id="99" w:name="_Toc119317916"/>
      <w:bookmarkStart w:id="100" w:name="_Toc119407142"/>
      <w:r w:rsidRPr="009F63CE">
        <w:t>NE</w:t>
      </w:r>
      <w:bookmarkEnd w:id="98"/>
      <w:bookmarkEnd w:id="99"/>
      <w:bookmarkEnd w:id="100"/>
    </w:p>
    <w:p w14:paraId="73B587F8" w14:textId="36F61B7F" w:rsidR="00167701" w:rsidRPr="009F63CE" w:rsidRDefault="008B6072" w:rsidP="00167701">
      <w:pPr>
        <w:rPr>
          <w:rFonts w:cs="Arial"/>
        </w:rPr>
      </w:pPr>
      <w:bookmarkStart w:id="101" w:name="_Hlk103157484"/>
      <w:r w:rsidRPr="008B6072">
        <w:rPr>
          <w:rFonts w:cs="Arial"/>
        </w:rPr>
        <w:t xml:space="preserve">NE is a clinically defined syndrome of disturbed neurological function within the first week after birth in an infant born from 35 weeks gestation, manifested by difficulty in initiating and maintaining respiration, depression of tone and reflexes, subnormal level of consciousness and often seizures </w:t>
      </w:r>
      <w:r w:rsidR="00167701" w:rsidRPr="009F63CE">
        <w:rPr>
          <w:rFonts w:cs="Arial"/>
        </w:rPr>
        <w:t xml:space="preserve">(Nelson and Leviton 1991). </w:t>
      </w:r>
      <w:r w:rsidR="00167701" w:rsidRPr="009F63CE">
        <w:rPr>
          <w:rFonts w:eastAsia="Futura Hv BT" w:cs="Arial"/>
          <w:iCs/>
          <w:szCs w:val="24"/>
        </w:rPr>
        <w:t>The PMMRC data set of NE cases includes Sarnat stages 2 or 3 (equivalent to moderate and severe) only.</w:t>
      </w:r>
    </w:p>
    <w:p w14:paraId="06DEE96D" w14:textId="1A899CAD" w:rsidR="00167701" w:rsidRPr="009F63CE" w:rsidRDefault="0074668C" w:rsidP="00167701">
      <w:pPr>
        <w:rPr>
          <w:rFonts w:eastAsia="Futura Hv BT" w:cs="Arial"/>
          <w:iCs/>
          <w:szCs w:val="24"/>
        </w:rPr>
      </w:pPr>
      <w:r>
        <w:rPr>
          <w:rFonts w:eastAsia="Futura Hv BT" w:cs="Arial"/>
          <w:iCs/>
          <w:szCs w:val="24"/>
        </w:rPr>
        <w:t>All</w:t>
      </w:r>
      <w:r w:rsidR="00167701" w:rsidRPr="009F63CE">
        <w:rPr>
          <w:rFonts w:eastAsia="Futura Hv BT" w:cs="Arial"/>
          <w:iCs/>
          <w:szCs w:val="24"/>
        </w:rPr>
        <w:t xml:space="preserve"> reported cases of term infants with NE are included in this data set</w:t>
      </w:r>
      <w:r w:rsidR="006236B9">
        <w:rPr>
          <w:rFonts w:eastAsia="Futura Hv BT" w:cs="Arial"/>
          <w:iCs/>
          <w:szCs w:val="24"/>
        </w:rPr>
        <w:t>,</w:t>
      </w:r>
      <w:r w:rsidR="00167701" w:rsidRPr="009F63CE">
        <w:rPr>
          <w:rFonts w:eastAsia="Futura Hv BT" w:cs="Arial"/>
          <w:iCs/>
          <w:szCs w:val="24"/>
        </w:rPr>
        <w:t xml:space="preserve"> whatever the cause. Therefore, the full cohort </w:t>
      </w:r>
      <w:r>
        <w:rPr>
          <w:rFonts w:eastAsia="Futura Hv BT" w:cs="Arial"/>
          <w:iCs/>
          <w:szCs w:val="24"/>
        </w:rPr>
        <w:t>include</w:t>
      </w:r>
      <w:r w:rsidR="00036E27">
        <w:rPr>
          <w:rFonts w:eastAsia="Futura Hv BT" w:cs="Arial"/>
          <w:iCs/>
          <w:szCs w:val="24"/>
        </w:rPr>
        <w:t>s</w:t>
      </w:r>
      <w:r>
        <w:rPr>
          <w:rFonts w:eastAsia="Futura Hv BT" w:cs="Arial"/>
          <w:iCs/>
          <w:szCs w:val="24"/>
        </w:rPr>
        <w:t xml:space="preserve"> </w:t>
      </w:r>
      <w:r w:rsidR="00167701" w:rsidRPr="009F63CE">
        <w:rPr>
          <w:rFonts w:eastAsia="Futura Hv BT" w:cs="Arial"/>
          <w:iCs/>
          <w:szCs w:val="24"/>
        </w:rPr>
        <w:t xml:space="preserve">cases where NE is associated with hypoglycaemia, congenital </w:t>
      </w:r>
      <w:r w:rsidR="00B46023">
        <w:rPr>
          <w:rFonts w:eastAsia="Futura Hv BT" w:cs="Arial"/>
          <w:iCs/>
          <w:szCs w:val="24"/>
        </w:rPr>
        <w:t>anomaly</w:t>
      </w:r>
      <w:r w:rsidR="00167701" w:rsidRPr="009F63CE">
        <w:rPr>
          <w:rFonts w:eastAsia="Futura Hv BT" w:cs="Arial"/>
          <w:iCs/>
          <w:szCs w:val="24"/>
        </w:rPr>
        <w:t xml:space="preserve"> of the central nervous system or infection.</w:t>
      </w:r>
    </w:p>
    <w:p w14:paraId="30ADBE7C" w14:textId="6B7561A2" w:rsidR="00167701" w:rsidRPr="009F63CE" w:rsidRDefault="00167701" w:rsidP="00167701">
      <w:pPr>
        <w:rPr>
          <w:rFonts w:cs="Arial"/>
        </w:rPr>
      </w:pPr>
      <w:r w:rsidRPr="009F63CE">
        <w:rPr>
          <w:rFonts w:cs="Arial"/>
        </w:rPr>
        <w:t>From 2016</w:t>
      </w:r>
      <w:r w:rsidR="00920D05">
        <w:rPr>
          <w:rFonts w:cs="Arial"/>
        </w:rPr>
        <w:t>,</w:t>
      </w:r>
      <w:r w:rsidRPr="009F63CE">
        <w:rPr>
          <w:rFonts w:cs="Arial"/>
        </w:rPr>
        <w:t xml:space="preserve"> the Neonatal Encephalopathy Working Group widened the inclusion criteria for the NE cohort and included cases from 35 weeks gestation at birth in line with international </w:t>
      </w:r>
      <w:r w:rsidR="00D02996">
        <w:rPr>
          <w:rFonts w:cs="Arial"/>
        </w:rPr>
        <w:t>definitions</w:t>
      </w:r>
      <w:r w:rsidRPr="009F63CE">
        <w:rPr>
          <w:rFonts w:cs="Arial"/>
        </w:rPr>
        <w:t xml:space="preserve"> and practice of cooling from this gestation (</w:t>
      </w:r>
      <w:hyperlink r:id="rId34" w:history="1">
        <w:r w:rsidRPr="006848ED">
          <w:rPr>
            <w:rStyle w:val="Hyperlink"/>
            <w:rFonts w:cs="Arial"/>
            <w:color w:val="auto"/>
            <w:u w:val="none"/>
          </w:rPr>
          <w:t>American College of Obstetricians and Gynecologists</w:t>
        </w:r>
        <w:r w:rsidRPr="006848ED" w:rsidDel="00002C81">
          <w:rPr>
            <w:rStyle w:val="Hyperlink"/>
            <w:rFonts w:cs="Arial"/>
            <w:color w:val="auto"/>
            <w:u w:val="none"/>
          </w:rPr>
          <w:t xml:space="preserve"> </w:t>
        </w:r>
        <w:r w:rsidRPr="006848ED">
          <w:rPr>
            <w:rStyle w:val="Hyperlink"/>
            <w:rFonts w:cs="Arial"/>
            <w:color w:val="auto"/>
            <w:u w:val="none"/>
          </w:rPr>
          <w:t>2014</w:t>
        </w:r>
      </w:hyperlink>
      <w:r w:rsidR="00D02996" w:rsidRPr="006848ED">
        <w:rPr>
          <w:rFonts w:cs="Arial"/>
        </w:rPr>
        <w:t>).</w:t>
      </w:r>
      <w:r w:rsidRPr="006848ED">
        <w:rPr>
          <w:rFonts w:cs="Arial"/>
          <w:color w:val="auto"/>
        </w:rPr>
        <w:t xml:space="preserve"> </w:t>
      </w:r>
      <w:r w:rsidR="009924AA" w:rsidRPr="006848ED">
        <w:rPr>
          <w:rFonts w:cs="Arial"/>
          <w:color w:val="auto"/>
        </w:rPr>
        <w:t>Reporting on 35</w:t>
      </w:r>
      <w:r w:rsidR="00920D05">
        <w:rPr>
          <w:rFonts w:cs="Arial"/>
          <w:color w:val="auto"/>
        </w:rPr>
        <w:t>-</w:t>
      </w:r>
      <w:r w:rsidR="009924AA" w:rsidRPr="006848ED">
        <w:rPr>
          <w:rFonts w:cs="Arial"/>
          <w:color w:val="auto"/>
        </w:rPr>
        <w:t xml:space="preserve"> and 36</w:t>
      </w:r>
      <w:r w:rsidR="00920D05">
        <w:rPr>
          <w:rFonts w:cs="Arial"/>
          <w:color w:val="auto"/>
        </w:rPr>
        <w:t>-</w:t>
      </w:r>
      <w:r w:rsidR="009924AA" w:rsidRPr="006848ED">
        <w:rPr>
          <w:rFonts w:cs="Arial"/>
          <w:color w:val="auto"/>
        </w:rPr>
        <w:t xml:space="preserve">week gestations begins in the </w:t>
      </w:r>
      <w:r w:rsidR="009924AA" w:rsidRPr="00920D05">
        <w:rPr>
          <w:rFonts w:cs="Arial"/>
          <w:color w:val="auto"/>
        </w:rPr>
        <w:t>1</w:t>
      </w:r>
      <w:r w:rsidR="00FB41F4" w:rsidRPr="00920D05">
        <w:rPr>
          <w:rFonts w:cs="Arial"/>
          <w:color w:val="auto"/>
        </w:rPr>
        <w:t>5</w:t>
      </w:r>
      <w:r w:rsidR="009924AA" w:rsidRPr="00920D05">
        <w:rPr>
          <w:rFonts w:cs="Arial"/>
          <w:color w:val="auto"/>
        </w:rPr>
        <w:t xml:space="preserve">th </w:t>
      </w:r>
      <w:r w:rsidR="006848ED" w:rsidRPr="006848ED">
        <w:rPr>
          <w:rFonts w:cs="Arial"/>
          <w:color w:val="auto"/>
        </w:rPr>
        <w:t xml:space="preserve">annual </w:t>
      </w:r>
      <w:r w:rsidR="009924AA" w:rsidRPr="006848ED">
        <w:rPr>
          <w:rFonts w:cs="Arial"/>
          <w:color w:val="auto"/>
        </w:rPr>
        <w:t xml:space="preserve">report when five years of data became available. The appended </w:t>
      </w:r>
      <w:r w:rsidR="00FB41F4">
        <w:rPr>
          <w:rFonts w:cs="Arial"/>
          <w:color w:val="auto"/>
        </w:rPr>
        <w:t>data up to 2019</w:t>
      </w:r>
      <w:r w:rsidR="009924AA" w:rsidRPr="006848ED">
        <w:rPr>
          <w:rFonts w:cs="Arial"/>
          <w:color w:val="auto"/>
        </w:rPr>
        <w:t xml:space="preserve"> only includes data from 37</w:t>
      </w:r>
      <w:r w:rsidR="00920D05">
        <w:rPr>
          <w:rFonts w:cs="Arial"/>
          <w:color w:val="auto"/>
        </w:rPr>
        <w:t>-</w:t>
      </w:r>
      <w:r w:rsidR="009924AA" w:rsidRPr="006848ED">
        <w:rPr>
          <w:rFonts w:cs="Arial"/>
          <w:color w:val="auto"/>
        </w:rPr>
        <w:t>week gestations onwards</w:t>
      </w:r>
      <w:r w:rsidR="006848ED" w:rsidRPr="006848ED">
        <w:rPr>
          <w:rFonts w:cs="Arial"/>
          <w:color w:val="auto"/>
        </w:rPr>
        <w:t>.</w:t>
      </w:r>
    </w:p>
    <w:bookmarkEnd w:id="101"/>
    <w:p w14:paraId="43A9D6C1" w14:textId="77777777" w:rsidR="00361FDD" w:rsidRDefault="00361FDD">
      <w:pPr>
        <w:rPr>
          <w:rFonts w:eastAsiaTheme="majorEastAsia" w:cstheme="majorBidi"/>
          <w:b/>
          <w:color w:val="A9141A"/>
          <w:sz w:val="32"/>
          <w:szCs w:val="32"/>
        </w:rPr>
      </w:pPr>
      <w:r>
        <w:rPr>
          <w:b/>
          <w:color w:val="A9141A"/>
          <w:sz w:val="32"/>
          <w:szCs w:val="32"/>
        </w:rPr>
        <w:br w:type="page"/>
      </w:r>
    </w:p>
    <w:p w14:paraId="7407A9E5" w14:textId="0E3A3AC6" w:rsidR="008C3279" w:rsidRPr="00361FDD" w:rsidRDefault="005025AD" w:rsidP="002D24D2">
      <w:pPr>
        <w:pStyle w:val="Heading1"/>
      </w:pPr>
      <w:bookmarkStart w:id="102" w:name="_Toc119407143"/>
      <w:r w:rsidRPr="00361FDD">
        <w:lastRenderedPageBreak/>
        <w:t xml:space="preserve">Numerator </w:t>
      </w:r>
      <w:r w:rsidR="003920DB" w:rsidRPr="00361FDD">
        <w:t>Data</w:t>
      </w:r>
      <w:r w:rsidR="003920DB">
        <w:t xml:space="preserve"> | </w:t>
      </w:r>
      <w:r w:rsidR="003920DB" w:rsidRPr="003920DB">
        <w:t>Raraunga Taurunga</w:t>
      </w:r>
      <w:bookmarkEnd w:id="102"/>
    </w:p>
    <w:p w14:paraId="650DAFA6" w14:textId="4D0C98D0" w:rsidR="00B71ACA" w:rsidRPr="00737D2D" w:rsidRDefault="00B71ACA" w:rsidP="002D24D2">
      <w:pPr>
        <w:pStyle w:val="Heading2"/>
      </w:pPr>
      <w:bookmarkStart w:id="103" w:name="_Toc119317627"/>
      <w:bookmarkStart w:id="104" w:name="_Toc119407144"/>
      <w:r w:rsidRPr="00737D2D">
        <w:t xml:space="preserve">Case </w:t>
      </w:r>
      <w:r w:rsidR="00AC3547" w:rsidRPr="00737D2D">
        <w:t xml:space="preserve">Ascertainment </w:t>
      </w:r>
      <w:r w:rsidRPr="00737D2D">
        <w:t xml:space="preserve">and </w:t>
      </w:r>
      <w:r w:rsidR="00AC3547" w:rsidRPr="00737D2D">
        <w:t>Data Collection</w:t>
      </w:r>
      <w:bookmarkEnd w:id="103"/>
      <w:bookmarkEnd w:id="104"/>
    </w:p>
    <w:p w14:paraId="59185E14" w14:textId="77777777" w:rsidR="004C7490" w:rsidRPr="009F63CE" w:rsidRDefault="005025AD" w:rsidP="009E7CD2">
      <w:pPr>
        <w:pStyle w:val="Heading3"/>
      </w:pPr>
      <w:bookmarkStart w:id="105" w:name="_Toc119317628"/>
      <w:bookmarkStart w:id="106" w:name="_Toc119317843"/>
      <w:bookmarkStart w:id="107" w:name="_Toc119317919"/>
      <w:bookmarkStart w:id="108" w:name="_Toc119407145"/>
      <w:r w:rsidRPr="009F63CE">
        <w:t>Perinatal mortality</w:t>
      </w:r>
      <w:bookmarkEnd w:id="105"/>
      <w:bookmarkEnd w:id="106"/>
      <w:bookmarkEnd w:id="107"/>
      <w:bookmarkEnd w:id="108"/>
    </w:p>
    <w:p w14:paraId="16DDF8E3" w14:textId="3A1C7B04" w:rsidR="005025AD" w:rsidRPr="009F63CE" w:rsidRDefault="005025AD" w:rsidP="005025AD">
      <w:pPr>
        <w:rPr>
          <w:rFonts w:cs="Arial"/>
        </w:rPr>
      </w:pPr>
      <w:bookmarkStart w:id="109" w:name="_Toc480797197"/>
      <w:bookmarkStart w:id="110" w:name="_Toc483987233"/>
      <w:r w:rsidRPr="009F63CE">
        <w:rPr>
          <w:rFonts w:cs="Arial"/>
        </w:rPr>
        <w:t xml:space="preserve">The perinatal deaths presented in PMMRC reports occurred between 1 January and 31 December of the </w:t>
      </w:r>
      <w:r w:rsidR="008509B9">
        <w:rPr>
          <w:rFonts w:cs="Arial"/>
        </w:rPr>
        <w:t xml:space="preserve">stated </w:t>
      </w:r>
      <w:r w:rsidR="00167701">
        <w:rPr>
          <w:rFonts w:cs="Arial"/>
        </w:rPr>
        <w:t xml:space="preserve">year. </w:t>
      </w:r>
      <w:r w:rsidR="00906DC5">
        <w:rPr>
          <w:rFonts w:cs="Arial"/>
        </w:rPr>
        <w:t xml:space="preserve">The denominator </w:t>
      </w:r>
      <w:r w:rsidR="00597D3D">
        <w:rPr>
          <w:rFonts w:cs="Arial"/>
        </w:rPr>
        <w:t>contain</w:t>
      </w:r>
      <w:r w:rsidR="00906DC5">
        <w:rPr>
          <w:rFonts w:cs="Arial"/>
        </w:rPr>
        <w:t>s</w:t>
      </w:r>
      <w:r w:rsidR="00597D3D" w:rsidRPr="009F63CE">
        <w:rPr>
          <w:rFonts w:cs="Arial"/>
        </w:rPr>
        <w:t xml:space="preserve"> all births that occurred between 1 January and 31 December of the </w:t>
      </w:r>
      <w:r w:rsidR="00597D3D">
        <w:rPr>
          <w:rFonts w:cs="Arial"/>
        </w:rPr>
        <w:t xml:space="preserve">stated </w:t>
      </w:r>
      <w:r w:rsidR="00597D3D" w:rsidRPr="009F63CE">
        <w:rPr>
          <w:rFonts w:cs="Arial"/>
        </w:rPr>
        <w:t>year.</w:t>
      </w:r>
      <w:r w:rsidR="00597D3D">
        <w:rPr>
          <w:rFonts w:cs="Arial"/>
        </w:rPr>
        <w:t xml:space="preserve"> There is therefore some </w:t>
      </w:r>
      <w:r w:rsidRPr="009F63CE">
        <w:rPr>
          <w:rFonts w:cs="Arial"/>
        </w:rPr>
        <w:t>inconsisten</w:t>
      </w:r>
      <w:r w:rsidR="00597D3D">
        <w:rPr>
          <w:rFonts w:cs="Arial"/>
        </w:rPr>
        <w:t>cy</w:t>
      </w:r>
      <w:r w:rsidRPr="009F63CE">
        <w:rPr>
          <w:rFonts w:cs="Arial"/>
        </w:rPr>
        <w:t xml:space="preserve"> with denominator data</w:t>
      </w:r>
      <w:r w:rsidR="00301802">
        <w:rPr>
          <w:rFonts w:cs="Arial"/>
        </w:rPr>
        <w:t>,</w:t>
      </w:r>
      <w:r w:rsidR="0050349F" w:rsidRPr="009F63CE">
        <w:rPr>
          <w:rFonts w:cs="Arial"/>
        </w:rPr>
        <w:t xml:space="preserve"> as some deaths of</w:t>
      </w:r>
      <w:r w:rsidR="008509B9">
        <w:rPr>
          <w:rFonts w:cs="Arial"/>
        </w:rPr>
        <w:t xml:space="preserve"> babies born</w:t>
      </w:r>
      <w:r w:rsidR="0050349F" w:rsidRPr="009F63CE">
        <w:rPr>
          <w:rFonts w:cs="Arial"/>
        </w:rPr>
        <w:t xml:space="preserve"> in one year will occur in the next year</w:t>
      </w:r>
      <w:r w:rsidR="008509B9">
        <w:rPr>
          <w:rFonts w:cs="Arial"/>
        </w:rPr>
        <w:t>.</w:t>
      </w:r>
      <w:r w:rsidR="00597D3D">
        <w:rPr>
          <w:rFonts w:cs="Arial"/>
        </w:rPr>
        <w:t xml:space="preserve"> </w:t>
      </w:r>
      <w:r w:rsidRPr="009F63CE">
        <w:rPr>
          <w:rFonts w:cs="Arial"/>
        </w:rPr>
        <w:t>For fetal deaths, the date of birth is used in place of the date of death. For neonatal deaths, the actual date of death is used.</w:t>
      </w:r>
    </w:p>
    <w:p w14:paraId="5CA1EB37" w14:textId="77777777" w:rsidR="005025AD" w:rsidRPr="009F63CE" w:rsidRDefault="005025AD" w:rsidP="005025AD">
      <w:pPr>
        <w:rPr>
          <w:rFonts w:cs="Arial"/>
        </w:rPr>
      </w:pPr>
      <w:r w:rsidRPr="009F63CE">
        <w:rPr>
          <w:rFonts w:cs="Arial"/>
        </w:rPr>
        <w:t>An expanded description of data collection methods is available in the first PMMRC report (</w:t>
      </w:r>
      <w:hyperlink r:id="rId35" w:history="1">
        <w:r w:rsidRPr="009F63CE">
          <w:rPr>
            <w:rStyle w:val="Hyperlink"/>
            <w:rFonts w:cs="Arial"/>
            <w:color w:val="auto"/>
            <w:u w:val="none"/>
          </w:rPr>
          <w:t>PMMRC 2007</w:t>
        </w:r>
      </w:hyperlink>
      <w:r w:rsidR="00C64FF2" w:rsidRPr="009F63CE">
        <w:rPr>
          <w:rFonts w:cs="Arial"/>
        </w:rPr>
        <w:t>).</w:t>
      </w:r>
    </w:p>
    <w:p w14:paraId="4AC97326" w14:textId="112F68B5" w:rsidR="005025AD" w:rsidRPr="009F63CE" w:rsidRDefault="005025AD" w:rsidP="005025AD">
      <w:pPr>
        <w:rPr>
          <w:rFonts w:cs="Arial"/>
        </w:rPr>
      </w:pPr>
      <w:bookmarkStart w:id="111" w:name="_Hlk103159788"/>
      <w:r w:rsidRPr="009F63CE">
        <w:rPr>
          <w:rFonts w:cs="Arial"/>
        </w:rPr>
        <w:t xml:space="preserve">Individual PMMRC local coordinators within each DHB identify perinatal deaths and oversee the collection of the required data. These data are submitted to the </w:t>
      </w:r>
      <w:r w:rsidR="00597D3D">
        <w:rPr>
          <w:rFonts w:cs="Arial"/>
        </w:rPr>
        <w:t xml:space="preserve">New Zealand </w:t>
      </w:r>
      <w:r w:rsidRPr="009F63CE">
        <w:rPr>
          <w:rFonts w:cs="Arial"/>
        </w:rPr>
        <w:t>Mortality Review Data Group at the University of Otago. The coordinators are also responsible for initiating local clinical reviews of each case, including assigning PSANZ-PDCs for cause of death, determining contributory factors and potentially avoidable deaths and ensuring appropriate, timely follow-up with parents.</w:t>
      </w:r>
    </w:p>
    <w:bookmarkEnd w:id="111"/>
    <w:p w14:paraId="2D534E4D" w14:textId="77777777" w:rsidR="005025AD" w:rsidRPr="009F63CE" w:rsidRDefault="005025AD" w:rsidP="005025AD">
      <w:pPr>
        <w:rPr>
          <w:rFonts w:cs="Arial"/>
        </w:rPr>
      </w:pPr>
      <w:r w:rsidRPr="009F63CE">
        <w:rPr>
          <w:rFonts w:cs="Arial"/>
        </w:rPr>
        <w:t xml:space="preserve">The </w:t>
      </w:r>
      <w:r w:rsidR="009F63CE" w:rsidRPr="009F63CE">
        <w:rPr>
          <w:rFonts w:cs="Arial"/>
        </w:rPr>
        <w:t>data set</w:t>
      </w:r>
      <w:r w:rsidRPr="009F63CE">
        <w:rPr>
          <w:rFonts w:cs="Arial"/>
        </w:rPr>
        <w:t xml:space="preserve"> of perinatal deaths is a compilation of data submitted by LMCs, local coordinators, the Ministry of Health and BDM. A website commissioned by the PMMRC and run by the University of Otago enables web-based data entry. </w:t>
      </w:r>
    </w:p>
    <w:p w14:paraId="6FEF9D1D" w14:textId="33A6FE6E" w:rsidR="005025AD" w:rsidRPr="009F63CE" w:rsidRDefault="005025AD" w:rsidP="005025AD">
      <w:pPr>
        <w:rPr>
          <w:rFonts w:cs="Arial"/>
        </w:rPr>
      </w:pPr>
      <w:bookmarkStart w:id="112" w:name="_Hlk103160653"/>
      <w:r w:rsidRPr="009F63CE">
        <w:rPr>
          <w:rFonts w:cs="Arial"/>
        </w:rPr>
        <w:t>LMCs and/or local coordinators are required to complete rapid reporting forms within 48 hours of a perinatal death. One form contains information on the mother (</w:t>
      </w:r>
      <w:r w:rsidR="000F19A5" w:rsidRPr="009F63CE">
        <w:rPr>
          <w:rFonts w:cs="Arial"/>
        </w:rPr>
        <w:t>eg</w:t>
      </w:r>
      <w:r w:rsidRPr="009F63CE">
        <w:rPr>
          <w:rFonts w:cs="Arial"/>
        </w:rPr>
        <w:t xml:space="preserve">, her past medical and obstetric history and details of the birth), and the other form contains information on the baby. The questions are reviewed and adjusted </w:t>
      </w:r>
      <w:r w:rsidR="00A548A3">
        <w:rPr>
          <w:rFonts w:cs="Arial"/>
        </w:rPr>
        <w:t>regularly</w:t>
      </w:r>
      <w:r w:rsidR="00A548A3" w:rsidRPr="009F63CE">
        <w:rPr>
          <w:rFonts w:cs="Arial"/>
        </w:rPr>
        <w:t xml:space="preserve"> </w:t>
      </w:r>
      <w:r w:rsidRPr="009F63CE">
        <w:rPr>
          <w:rFonts w:cs="Arial"/>
        </w:rPr>
        <w:t>to ensure the data collection remains relevant and robust.</w:t>
      </w:r>
    </w:p>
    <w:bookmarkEnd w:id="112"/>
    <w:p w14:paraId="566B43C4" w14:textId="455184BC" w:rsidR="005025AD" w:rsidRPr="009F63CE" w:rsidRDefault="005025AD" w:rsidP="005025AD">
      <w:pPr>
        <w:rPr>
          <w:rFonts w:cs="Arial"/>
        </w:rPr>
      </w:pPr>
      <w:r w:rsidRPr="009F63CE">
        <w:rPr>
          <w:rFonts w:cs="Arial"/>
        </w:rPr>
        <w:t>After local review, a multidisciplinary team led by the local coordinator completes the PMMRC classification form. The classification system that has been adopted is the PSANZ system of classificat</w:t>
      </w:r>
      <w:r w:rsidR="00D6538A">
        <w:rPr>
          <w:rFonts w:cs="Arial"/>
        </w:rPr>
        <w:t>ion of cause of perinatal death.</w:t>
      </w:r>
      <w:r w:rsidR="00D6538A">
        <w:rPr>
          <w:rStyle w:val="FootnoteReference"/>
          <w:rFonts w:cs="Arial"/>
        </w:rPr>
        <w:footnoteReference w:id="5"/>
      </w:r>
      <w:r w:rsidRPr="009F63CE">
        <w:rPr>
          <w:rFonts w:cs="Arial"/>
        </w:rPr>
        <w:t xml:space="preserve"> This system includes both perinatal and neonatal classifications. The local coordinator also submits </w:t>
      </w:r>
      <w:r w:rsidR="00077C33">
        <w:rPr>
          <w:rFonts w:cs="Arial"/>
        </w:rPr>
        <w:t>any</w:t>
      </w:r>
      <w:r w:rsidRPr="009F63CE">
        <w:rPr>
          <w:rFonts w:cs="Arial"/>
        </w:rPr>
        <w:t xml:space="preserve"> post-mortem and histology reports with the classification form.</w:t>
      </w:r>
    </w:p>
    <w:p w14:paraId="45F8A780" w14:textId="77777777" w:rsidR="00025586" w:rsidRDefault="00B334E6">
      <w:pPr>
        <w:rPr>
          <w:rFonts w:eastAsia="Futura Hv BT" w:cs="Arial"/>
          <w:color w:val="C00000"/>
          <w:sz w:val="24"/>
          <w:szCs w:val="24"/>
        </w:rPr>
      </w:pPr>
      <w:r>
        <w:rPr>
          <w:rFonts w:cs="Arial"/>
        </w:rPr>
        <w:fldChar w:fldCharType="begin"/>
      </w:r>
      <w:r>
        <w:rPr>
          <w:rFonts w:cs="Arial"/>
        </w:rPr>
        <w:instrText xml:space="preserve"> REF _Ref61529507 \h </w:instrText>
      </w:r>
      <w:r>
        <w:rPr>
          <w:rFonts w:cs="Arial"/>
        </w:rPr>
      </w:r>
      <w:r>
        <w:rPr>
          <w:rFonts w:cs="Arial"/>
        </w:rPr>
        <w:fldChar w:fldCharType="separate"/>
      </w:r>
      <w:r w:rsidR="00025586">
        <w:rPr>
          <w:rFonts w:cs="Arial"/>
        </w:rPr>
        <w:br w:type="page"/>
      </w:r>
    </w:p>
    <w:p w14:paraId="6C139523" w14:textId="50EC1F60" w:rsidR="005025AD" w:rsidRPr="009F63CE" w:rsidRDefault="00025586" w:rsidP="005025AD">
      <w:pPr>
        <w:rPr>
          <w:rFonts w:cs="Arial"/>
        </w:rPr>
      </w:pPr>
      <w:r w:rsidRPr="00487EE3">
        <w:rPr>
          <w:rFonts w:cs="Arial"/>
        </w:rPr>
        <w:lastRenderedPageBreak/>
        <w:t xml:space="preserve">Figure </w:t>
      </w:r>
      <w:r>
        <w:rPr>
          <w:rFonts w:cs="Arial"/>
          <w:noProof/>
        </w:rPr>
        <w:t>1</w:t>
      </w:r>
      <w:r w:rsidR="00B334E6">
        <w:rPr>
          <w:rFonts w:cs="Arial"/>
        </w:rPr>
        <w:fldChar w:fldCharType="end"/>
      </w:r>
      <w:r w:rsidR="00B334E6">
        <w:rPr>
          <w:rFonts w:cs="Arial"/>
        </w:rPr>
        <w:t xml:space="preserve"> </w:t>
      </w:r>
      <w:r w:rsidR="005025AD" w:rsidRPr="009F63CE">
        <w:rPr>
          <w:rFonts w:cs="Arial"/>
        </w:rPr>
        <w:t>outlines the PMMRC process. A user guide describing the definitions and data elements used by the PMMRC is available online at:</w:t>
      </w:r>
      <w:r w:rsidR="00384455">
        <w:rPr>
          <w:rFonts w:cs="Arial"/>
        </w:rPr>
        <w:t xml:space="preserve"> </w:t>
      </w:r>
      <w:bookmarkStart w:id="113" w:name="_Toc448930995"/>
      <w:bookmarkStart w:id="114" w:name="_Toc449104520"/>
      <w:bookmarkStart w:id="115" w:name="_Toc481582569"/>
      <w:bookmarkStart w:id="116" w:name="_Toc481582634"/>
      <w:bookmarkStart w:id="117" w:name="_Toc484094444"/>
      <w:r w:rsidR="00487EE3">
        <w:fldChar w:fldCharType="begin"/>
      </w:r>
      <w:r w:rsidR="00487EE3">
        <w:instrText xml:space="preserve"> HYPERLINK "http://</w:instrText>
      </w:r>
      <w:r w:rsidR="00487EE3" w:rsidRPr="00487EE3">
        <w:instrText>www.hqsc.govt.nz/our-programmes/mrc/pmmrc/publications-and-resources/publication/1566</w:instrText>
      </w:r>
      <w:r w:rsidR="00487EE3">
        <w:instrText xml:space="preserve">" </w:instrText>
      </w:r>
      <w:r w:rsidR="00487EE3">
        <w:fldChar w:fldCharType="separate"/>
      </w:r>
      <w:r w:rsidR="00487EE3" w:rsidRPr="00843D72">
        <w:rPr>
          <w:rStyle w:val="Hyperlink"/>
        </w:rPr>
        <w:t>www.hqsc.govt.nz/our-programmes/mrc/pmmrc/publications-and-resources/publication/1566</w:t>
      </w:r>
      <w:r w:rsidR="00487EE3">
        <w:fldChar w:fldCharType="end"/>
      </w:r>
      <w:r w:rsidR="00384455">
        <w:t xml:space="preserve">. </w:t>
      </w:r>
    </w:p>
    <w:p w14:paraId="464D3EE0" w14:textId="43A962E0" w:rsidR="00525E4D" w:rsidRPr="009F63CE" w:rsidRDefault="00F30367" w:rsidP="005025AD">
      <w:pPr>
        <w:rPr>
          <w:rFonts w:cs="Arial"/>
        </w:rPr>
      </w:pPr>
      <w:r>
        <w:rPr>
          <w:rFonts w:cs="Arial"/>
        </w:rPr>
        <w:t>From</w:t>
      </w:r>
      <w:r w:rsidR="00525E4D" w:rsidRPr="009F63CE">
        <w:rPr>
          <w:rFonts w:cs="Arial"/>
        </w:rPr>
        <w:t xml:space="preserve"> 2017 </w:t>
      </w:r>
      <w:r>
        <w:rPr>
          <w:rFonts w:cs="Arial"/>
        </w:rPr>
        <w:t>(</w:t>
      </w:r>
      <w:r w:rsidR="00525E4D" w:rsidRPr="009F63CE">
        <w:rPr>
          <w:rFonts w:cs="Arial"/>
        </w:rPr>
        <w:t xml:space="preserve">11th </w:t>
      </w:r>
      <w:r w:rsidR="004F7A0B" w:rsidRPr="009F63CE">
        <w:rPr>
          <w:rFonts w:cs="Arial"/>
        </w:rPr>
        <w:t xml:space="preserve">PMMRC </w:t>
      </w:r>
      <w:r w:rsidR="00525E4D" w:rsidRPr="009F63CE">
        <w:rPr>
          <w:rFonts w:cs="Arial"/>
        </w:rPr>
        <w:t>report</w:t>
      </w:r>
      <w:r>
        <w:rPr>
          <w:rFonts w:cs="Arial"/>
        </w:rPr>
        <w:t>)</w:t>
      </w:r>
      <w:r w:rsidR="00525E4D" w:rsidRPr="009F63CE">
        <w:rPr>
          <w:rFonts w:cs="Arial"/>
        </w:rPr>
        <w:t>, the numerator</w:t>
      </w:r>
      <w:r w:rsidR="00BC67EF" w:rsidRPr="009F63CE">
        <w:rPr>
          <w:rFonts w:cs="Arial"/>
        </w:rPr>
        <w:t xml:space="preserve"> </w:t>
      </w:r>
      <w:r w:rsidR="009F63CE" w:rsidRPr="009F63CE">
        <w:rPr>
          <w:rFonts w:cs="Arial"/>
        </w:rPr>
        <w:t>data set</w:t>
      </w:r>
      <w:r w:rsidR="00525E4D" w:rsidRPr="009F63CE">
        <w:rPr>
          <w:rFonts w:cs="Arial"/>
        </w:rPr>
        <w:t xml:space="preserve"> of perinatal mortalities </w:t>
      </w:r>
      <w:r w:rsidR="002F576F">
        <w:rPr>
          <w:rFonts w:cs="Arial"/>
        </w:rPr>
        <w:t>has been</w:t>
      </w:r>
      <w:r w:rsidR="002F576F" w:rsidRPr="009F63CE">
        <w:rPr>
          <w:rFonts w:cs="Arial"/>
        </w:rPr>
        <w:t xml:space="preserve"> </w:t>
      </w:r>
      <w:r w:rsidR="00525E4D" w:rsidRPr="009F63CE">
        <w:rPr>
          <w:rFonts w:cs="Arial"/>
        </w:rPr>
        <w:t>merged with</w:t>
      </w:r>
      <w:r w:rsidR="00E82AA2" w:rsidRPr="009F63CE">
        <w:rPr>
          <w:rFonts w:cs="Arial"/>
        </w:rPr>
        <w:t xml:space="preserve"> the</w:t>
      </w:r>
      <w:r w:rsidR="00525E4D" w:rsidRPr="009F63CE">
        <w:rPr>
          <w:rFonts w:cs="Arial"/>
        </w:rPr>
        <w:t xml:space="preserve"> MAT denominator </w:t>
      </w:r>
      <w:r w:rsidR="009F63CE" w:rsidRPr="009F63CE">
        <w:rPr>
          <w:rFonts w:cs="Arial"/>
        </w:rPr>
        <w:t>data set</w:t>
      </w:r>
      <w:r w:rsidR="00525E4D" w:rsidRPr="009F63CE">
        <w:rPr>
          <w:rFonts w:cs="Arial"/>
        </w:rPr>
        <w:t xml:space="preserve"> so that compatible data could be used for analyses where there was a potential issue of numerator</w:t>
      </w:r>
      <w:r w:rsidR="00C13590" w:rsidRPr="009F63CE">
        <w:rPr>
          <w:rFonts w:cs="Arial"/>
        </w:rPr>
        <w:t>–</w:t>
      </w:r>
      <w:r w:rsidR="00525E4D" w:rsidRPr="009F63CE">
        <w:rPr>
          <w:rFonts w:cs="Arial"/>
        </w:rPr>
        <w:t xml:space="preserve">denominator bias. The development of this amended numerator </w:t>
      </w:r>
      <w:r w:rsidR="009F63CE" w:rsidRPr="009F63CE">
        <w:rPr>
          <w:rFonts w:cs="Arial"/>
        </w:rPr>
        <w:t>data set</w:t>
      </w:r>
      <w:r w:rsidR="00525E4D" w:rsidRPr="009F63CE">
        <w:rPr>
          <w:rFonts w:cs="Arial"/>
        </w:rPr>
        <w:t xml:space="preserve"> is described below under </w:t>
      </w:r>
      <w:r w:rsidR="00C13590" w:rsidRPr="009F63CE">
        <w:rPr>
          <w:rFonts w:cs="Arial"/>
          <w:color w:val="auto"/>
        </w:rPr>
        <w:t>‘</w:t>
      </w:r>
      <w:r w:rsidR="00C13590" w:rsidRPr="009F63CE">
        <w:rPr>
          <w:rFonts w:cs="Arial"/>
          <w:color w:val="auto"/>
        </w:rPr>
        <w:fldChar w:fldCharType="begin"/>
      </w:r>
      <w:r w:rsidR="00C13590" w:rsidRPr="009F63CE">
        <w:rPr>
          <w:rFonts w:cs="Arial"/>
          <w:color w:val="auto"/>
        </w:rPr>
        <w:instrText xml:space="preserve"> REF _Ref480555972 \h </w:instrText>
      </w:r>
      <w:r w:rsidR="000F3AC7" w:rsidRPr="009F63CE">
        <w:rPr>
          <w:rFonts w:cs="Arial"/>
          <w:color w:val="auto"/>
        </w:rPr>
        <w:instrText xml:space="preserve"> \* MERGEFORMAT </w:instrText>
      </w:r>
      <w:r w:rsidR="00C13590" w:rsidRPr="009F63CE">
        <w:rPr>
          <w:rFonts w:cs="Arial"/>
          <w:color w:val="auto"/>
        </w:rPr>
      </w:r>
      <w:r w:rsidR="00C13590" w:rsidRPr="009F63CE">
        <w:rPr>
          <w:rFonts w:cs="Arial"/>
          <w:color w:val="auto"/>
        </w:rPr>
        <w:fldChar w:fldCharType="separate"/>
      </w:r>
      <w:r w:rsidR="00025586" w:rsidRPr="00025586">
        <w:rPr>
          <w:rFonts w:cs="Arial"/>
        </w:rPr>
        <w:t>Compiling the MAT denominator and numerator data</w:t>
      </w:r>
      <w:r w:rsidR="00C13590" w:rsidRPr="009F63CE">
        <w:rPr>
          <w:rFonts w:cs="Arial"/>
          <w:color w:val="auto"/>
        </w:rPr>
        <w:fldChar w:fldCharType="end"/>
      </w:r>
      <w:r w:rsidR="00C13590" w:rsidRPr="009F63CE">
        <w:rPr>
          <w:rFonts w:cs="Arial"/>
          <w:color w:val="auto"/>
        </w:rPr>
        <w:t>’.</w:t>
      </w:r>
    </w:p>
    <w:p w14:paraId="1C71E53A" w14:textId="77777777" w:rsidR="005025AD" w:rsidRPr="009E7CD2" w:rsidRDefault="005025AD" w:rsidP="009E7CD2">
      <w:pPr>
        <w:pStyle w:val="Heading3"/>
      </w:pPr>
      <w:bookmarkStart w:id="118" w:name="_Toc119317629"/>
      <w:bookmarkStart w:id="119" w:name="_Toc119317844"/>
      <w:bookmarkStart w:id="120" w:name="_Toc119317920"/>
      <w:bookmarkStart w:id="121" w:name="_Toc119407146"/>
      <w:r w:rsidRPr="009E7CD2">
        <w:t>Maternal mortality</w:t>
      </w:r>
      <w:bookmarkEnd w:id="118"/>
      <w:bookmarkEnd w:id="119"/>
      <w:bookmarkEnd w:id="120"/>
      <w:bookmarkEnd w:id="121"/>
    </w:p>
    <w:p w14:paraId="5873B158" w14:textId="62D0AE1C" w:rsidR="005025AD" w:rsidRPr="009F63CE" w:rsidRDefault="005025AD" w:rsidP="005025AD">
      <w:pPr>
        <w:rPr>
          <w:rFonts w:cs="Arial"/>
        </w:rPr>
      </w:pPr>
      <w:r w:rsidRPr="009F63CE">
        <w:rPr>
          <w:rFonts w:cs="Arial"/>
        </w:rPr>
        <w:t xml:space="preserve">Since 2006, the PMMRC has </w:t>
      </w:r>
      <w:r w:rsidR="00534AAF" w:rsidRPr="009F63CE">
        <w:rPr>
          <w:rFonts w:cs="Arial"/>
        </w:rPr>
        <w:t xml:space="preserve">asked </w:t>
      </w:r>
      <w:r w:rsidRPr="009F63CE">
        <w:rPr>
          <w:rFonts w:cs="Arial"/>
        </w:rPr>
        <w:t xml:space="preserve">that all clinicians aware of a maternal death notify either their PMMRC local coordinator or the PMMRC national coordinator. </w:t>
      </w:r>
    </w:p>
    <w:p w14:paraId="3D7CC93B" w14:textId="7AB45783" w:rsidR="005025AD" w:rsidRPr="009F63CE" w:rsidRDefault="005025AD" w:rsidP="005025AD">
      <w:pPr>
        <w:rPr>
          <w:rFonts w:cs="Arial"/>
        </w:rPr>
      </w:pPr>
      <w:r w:rsidRPr="009F63CE">
        <w:rPr>
          <w:rFonts w:cs="Arial"/>
        </w:rPr>
        <w:t xml:space="preserve">Deaths are brought to the </w:t>
      </w:r>
      <w:r w:rsidR="00487EE3">
        <w:rPr>
          <w:rFonts w:cs="Arial"/>
        </w:rPr>
        <w:t xml:space="preserve">attention of the </w:t>
      </w:r>
      <w:r w:rsidR="00C13590" w:rsidRPr="009F63CE">
        <w:rPr>
          <w:rFonts w:cs="Arial"/>
        </w:rPr>
        <w:t>Maternal Mortality Review Working Group (</w:t>
      </w:r>
      <w:bookmarkStart w:id="122" w:name="_Hlk17365997"/>
      <w:r w:rsidRPr="009F63CE">
        <w:rPr>
          <w:rFonts w:cs="Arial"/>
        </w:rPr>
        <w:t>MMRWG</w:t>
      </w:r>
      <w:bookmarkEnd w:id="122"/>
      <w:r w:rsidR="00C13590" w:rsidRPr="009F63CE">
        <w:rPr>
          <w:rFonts w:cs="Arial"/>
        </w:rPr>
        <w:t>)</w:t>
      </w:r>
      <w:r w:rsidRPr="009F63CE">
        <w:rPr>
          <w:rFonts w:cs="Arial"/>
        </w:rPr>
        <w:t xml:space="preserve"> in the main by PMMRC local coordinators and other clinicians within DHBs. Other sources include pathologists, Coronial Services and media reports. </w:t>
      </w:r>
      <w:r w:rsidR="00F30367" w:rsidRPr="009F63CE">
        <w:rPr>
          <w:rFonts w:cs="Arial"/>
        </w:rPr>
        <w:t>The Coroners Act 2006 requires that maternal deaths are notified to Coronial Services</w:t>
      </w:r>
      <w:r w:rsidR="00F30367">
        <w:rPr>
          <w:rFonts w:cs="Arial"/>
        </w:rPr>
        <w:t>.</w:t>
      </w:r>
      <w:r w:rsidR="00F30367" w:rsidRPr="009F63CE">
        <w:rPr>
          <w:rFonts w:cs="Arial"/>
        </w:rPr>
        <w:t xml:space="preserve"> </w:t>
      </w:r>
      <w:r w:rsidRPr="009F63CE">
        <w:rPr>
          <w:rFonts w:cs="Arial"/>
        </w:rPr>
        <w:t>Often</w:t>
      </w:r>
      <w:r w:rsidR="00B3165D">
        <w:rPr>
          <w:rFonts w:cs="Arial"/>
        </w:rPr>
        <w:t>,</w:t>
      </w:r>
      <w:r w:rsidRPr="009F63CE">
        <w:rPr>
          <w:rFonts w:cs="Arial"/>
        </w:rPr>
        <w:t xml:space="preserve"> multiple notifications are received. At the end of each year, known deaths are cross-referenced with the Mortality Collection at the BDM </w:t>
      </w:r>
      <w:r w:rsidR="00534AAF" w:rsidRPr="009F63CE">
        <w:rPr>
          <w:rFonts w:cs="Arial"/>
        </w:rPr>
        <w:t>r</w:t>
      </w:r>
      <w:r w:rsidRPr="009F63CE">
        <w:rPr>
          <w:rFonts w:cs="Arial"/>
        </w:rPr>
        <w:t xml:space="preserve">egistry to ensure the collection is complete. </w:t>
      </w:r>
    </w:p>
    <w:p w14:paraId="7740C28F" w14:textId="77777777" w:rsidR="005025AD" w:rsidRPr="009F63CE" w:rsidRDefault="005025AD" w:rsidP="005025AD">
      <w:pPr>
        <w:rPr>
          <w:rFonts w:cs="Arial"/>
        </w:rPr>
      </w:pPr>
      <w:r w:rsidRPr="009F63CE">
        <w:rPr>
          <w:rFonts w:cs="Arial"/>
        </w:rPr>
        <w:t>The MMRWG has developed a data collection tool for maternal deaths. Following notification of a maternal death, the PMMRC national coordinator issues maternal death reporting forms to the appropriate local coordinator, who is then responsible for gathering the relevant clinical information from practitioners involved with the woman’s care.</w:t>
      </w:r>
    </w:p>
    <w:p w14:paraId="0A74D7E5" w14:textId="42BCABDC" w:rsidR="005025AD" w:rsidRDefault="005025AD" w:rsidP="005025AD">
      <w:pPr>
        <w:spacing w:after="120"/>
        <w:rPr>
          <w:rFonts w:cs="Arial"/>
        </w:rPr>
      </w:pPr>
      <w:r w:rsidRPr="009F63CE">
        <w:rPr>
          <w:rFonts w:cs="Arial"/>
        </w:rPr>
        <w:t xml:space="preserve">All completed reporting forms, along with relevant clinical information and reports from DHBs, Coronial Services and any other relevant investigative processes, are reviewed by designated members of the MMRWG, who present a summary of each case to the working group. The MMRWG then discusses each case in detail, including assessing the presence of contributory factors and potential </w:t>
      </w:r>
      <w:r w:rsidR="00077C33">
        <w:rPr>
          <w:rFonts w:cs="Arial"/>
        </w:rPr>
        <w:t>a</w:t>
      </w:r>
      <w:r w:rsidR="00077C33" w:rsidRPr="009F63CE">
        <w:rPr>
          <w:rFonts w:cs="Arial"/>
        </w:rPr>
        <w:t>voidability</w:t>
      </w:r>
      <w:r w:rsidRPr="009F63CE">
        <w:rPr>
          <w:rFonts w:cs="Arial"/>
        </w:rPr>
        <w:t xml:space="preserve">. </w:t>
      </w:r>
    </w:p>
    <w:p w14:paraId="6DE14A78" w14:textId="77777777" w:rsidR="008A7695" w:rsidRDefault="008A7695">
      <w:pPr>
        <w:rPr>
          <w:rFonts w:eastAsia="Futura Hv BT" w:cs="Arial"/>
          <w:color w:val="C00000"/>
          <w:sz w:val="24"/>
          <w:szCs w:val="24"/>
        </w:rPr>
      </w:pPr>
      <w:bookmarkStart w:id="123" w:name="_Ref61529507"/>
      <w:bookmarkStart w:id="124" w:name="_Ref511832903"/>
      <w:bookmarkStart w:id="125" w:name="_Ref505767307"/>
      <w:r>
        <w:rPr>
          <w:rFonts w:cs="Arial"/>
        </w:rPr>
        <w:br w:type="page"/>
      </w:r>
    </w:p>
    <w:p w14:paraId="3F8B2E0E" w14:textId="749E3726" w:rsidR="005025AD" w:rsidRDefault="00B334E6" w:rsidP="00597D3D">
      <w:pPr>
        <w:pStyle w:val="FiguresTOC"/>
        <w:spacing w:before="360"/>
        <w:rPr>
          <w:rFonts w:cs="Arial"/>
        </w:rPr>
      </w:pPr>
      <w:r w:rsidRPr="00487EE3">
        <w:rPr>
          <w:rFonts w:cs="Arial"/>
        </w:rPr>
        <w:lastRenderedPageBreak/>
        <w:t xml:space="preserve">Figure </w:t>
      </w:r>
      <w:r w:rsidRPr="00487EE3">
        <w:rPr>
          <w:rFonts w:cs="Arial"/>
        </w:rPr>
        <w:fldChar w:fldCharType="begin"/>
      </w:r>
      <w:r w:rsidRPr="00487EE3">
        <w:rPr>
          <w:rFonts w:cs="Arial"/>
        </w:rPr>
        <w:instrText xml:space="preserve"> SEQ Figure \* ARABIC </w:instrText>
      </w:r>
      <w:r w:rsidRPr="00487EE3">
        <w:rPr>
          <w:rFonts w:cs="Arial"/>
        </w:rPr>
        <w:fldChar w:fldCharType="separate"/>
      </w:r>
      <w:r w:rsidR="00025586">
        <w:rPr>
          <w:rFonts w:cs="Arial"/>
          <w:noProof/>
        </w:rPr>
        <w:t>1</w:t>
      </w:r>
      <w:r w:rsidRPr="00487EE3">
        <w:rPr>
          <w:rFonts w:cs="Arial"/>
        </w:rPr>
        <w:fldChar w:fldCharType="end"/>
      </w:r>
      <w:bookmarkEnd w:id="123"/>
      <w:bookmarkEnd w:id="124"/>
      <w:r w:rsidR="005025AD" w:rsidRPr="00487EE3">
        <w:rPr>
          <w:rFonts w:cs="Arial"/>
        </w:rPr>
        <w:t>: Flow of information in the PMMRC’s perinatal data collection process</w:t>
      </w:r>
      <w:bookmarkEnd w:id="113"/>
      <w:bookmarkEnd w:id="114"/>
      <w:bookmarkEnd w:id="115"/>
      <w:bookmarkEnd w:id="116"/>
      <w:bookmarkEnd w:id="117"/>
      <w:bookmarkEnd w:id="125"/>
    </w:p>
    <w:p w14:paraId="1AA541E1" w14:textId="77777777" w:rsidR="008A7695" w:rsidRDefault="008A7695" w:rsidP="008A7695">
      <w:pPr>
        <w:spacing w:before="60" w:after="60"/>
      </w:pPr>
      <w:r>
        <w:rPr>
          <w:noProof/>
        </w:rPr>
        <mc:AlternateContent>
          <mc:Choice Requires="wps">
            <w:drawing>
              <wp:anchor distT="0" distB="0" distL="114300" distR="114300" simplePos="0" relativeHeight="251658270" behindDoc="0" locked="0" layoutInCell="1" allowOverlap="1" wp14:anchorId="50DD182C" wp14:editId="4CF53C1B">
                <wp:simplePos x="0" y="0"/>
                <wp:positionH relativeFrom="margin">
                  <wp:align>center</wp:align>
                </wp:positionH>
                <wp:positionV relativeFrom="paragraph">
                  <wp:posOffset>5080386</wp:posOffset>
                </wp:positionV>
                <wp:extent cx="0" cy="342900"/>
                <wp:effectExtent l="76200" t="0" r="76200" b="57150"/>
                <wp:wrapNone/>
                <wp:docPr id="5" name="Straight Arrow Connector 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1E574968" id="Straight Arrow Connector 5" o:spid="_x0000_s1026" type="#_x0000_t32" style="position:absolute;margin-left:0;margin-top:400.05pt;width:0;height:27pt;z-index:25165827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" strokecolor="windowText" strokeweight=".5pt">
                <v:stroke endarrow="classic" joinstyle="miter"/>
                <w10:wrap anchorx="margin"/>
              </v:shape>
            </w:pict>
          </mc:Fallback>
        </mc:AlternateContent>
      </w:r>
      <w:r>
        <w:rPr>
          <w:noProof/>
        </w:rPr>
        <mc:AlternateContent>
          <mc:Choice Requires="wps">
            <w:drawing>
              <wp:anchor distT="0" distB="0" distL="114300" distR="114300" simplePos="0" relativeHeight="251658262" behindDoc="0" locked="0" layoutInCell="1" allowOverlap="1" wp14:anchorId="770FB5C4" wp14:editId="30BD17DD">
                <wp:simplePos x="0" y="0"/>
                <wp:positionH relativeFrom="column">
                  <wp:posOffset>2098371</wp:posOffset>
                </wp:positionH>
                <wp:positionV relativeFrom="paragraph">
                  <wp:posOffset>5479802</wp:posOffset>
                </wp:positionV>
                <wp:extent cx="1584960" cy="633095"/>
                <wp:effectExtent l="0" t="0" r="15240" b="14605"/>
                <wp:wrapNone/>
                <wp:docPr id="15" name="Rectangle: Rounded Corners 15"/>
                <wp:cNvGraphicFramePr/>
                <a:graphic xmlns:a="http://schemas.openxmlformats.org/drawingml/2006/main">
                  <a:graphicData uri="http://schemas.microsoft.com/office/word/2010/wordprocessingShape">
                    <wps:wsp>
                      <wps:cNvSpPr/>
                      <wps:spPr>
                        <a:xfrm>
                          <a:off x="0" y="0"/>
                          <a:ext cx="1584960" cy="633095"/>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7BD83E71" w14:textId="77777777" w:rsidR="008A7695" w:rsidRPr="0085458D" w:rsidRDefault="008A7695" w:rsidP="008A7695">
                            <w:pPr>
                              <w:spacing w:after="0"/>
                              <w:jc w:val="center"/>
                              <w:rPr>
                                <w:rFonts w:cs="Arial"/>
                                <w:sz w:val="20"/>
                                <w:szCs w:val="20"/>
                              </w:rPr>
                            </w:pPr>
                            <w:r>
                              <w:rPr>
                                <w:rFonts w:cs="Arial"/>
                                <w:sz w:val="20"/>
                                <w:szCs w:val="20"/>
                              </w:rPr>
                              <w:t>Wide circulation to the public and other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FB5C4" id="Rectangle: Rounded Corners 15" o:spid="_x0000_s1054" style="position:absolute;margin-left:165.25pt;margin-top:431.5pt;width:124.8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" fillcolor="#f2f2f2 [3052]" strokecolor="windowText" strokeweight=".5pt">
                <v:stroke joinstyle="miter"/>
                <v:textbox>
                  <w:txbxContent>
                    <w:p w14:paraId="7BD83E71" w14:textId="77777777" w:rsidR="008A7695" w:rsidRPr="0085458D" w:rsidRDefault="008A7695" w:rsidP="008A7695">
                      <w:pPr>
                        <w:spacing w:after="0"/>
                        <w:jc w:val="center"/>
                        <w:rPr>
                          <w:rFonts w:cs="Arial"/>
                          <w:sz w:val="20"/>
                          <w:szCs w:val="20"/>
                        </w:rPr>
                      </w:pPr>
                      <w:r>
                        <w:rPr>
                          <w:rFonts w:cs="Arial"/>
                          <w:sz w:val="20"/>
                          <w:szCs w:val="20"/>
                        </w:rPr>
                        <w:t>Wide circulation to the public and other stakeholders</w:t>
                      </w:r>
                    </w:p>
                  </w:txbxContent>
                </v:textbox>
              </v:roundrect>
            </w:pict>
          </mc:Fallback>
        </mc:AlternateContent>
      </w:r>
      <w:r>
        <w:rPr>
          <w:noProof/>
        </w:rPr>
        <mc:AlternateContent>
          <mc:Choice Requires="wps">
            <w:drawing>
              <wp:anchor distT="0" distB="0" distL="114300" distR="114300" simplePos="0" relativeHeight="251658249" behindDoc="0" locked="0" layoutInCell="1" allowOverlap="1" wp14:anchorId="61495645" wp14:editId="557F7EDD">
                <wp:simplePos x="0" y="0"/>
                <wp:positionH relativeFrom="column">
                  <wp:posOffset>3678555</wp:posOffset>
                </wp:positionH>
                <wp:positionV relativeFrom="paragraph">
                  <wp:posOffset>3912235</wp:posOffset>
                </wp:positionV>
                <wp:extent cx="464820" cy="0"/>
                <wp:effectExtent l="38100" t="76200" r="11430" b="95250"/>
                <wp:wrapNone/>
                <wp:docPr id="30" name="Straight Arrow Connector 30"/>
                <wp:cNvGraphicFramePr/>
                <a:graphic xmlns:a="http://schemas.openxmlformats.org/drawingml/2006/main">
                  <a:graphicData uri="http://schemas.microsoft.com/office/word/2010/wordprocessingShape">
                    <wps:wsp>
                      <wps:cNvCnPr/>
                      <wps:spPr>
                        <a:xfrm>
                          <a:off x="0" y="0"/>
                          <a:ext cx="464820" cy="0"/>
                        </a:xfrm>
                        <a:prstGeom prst="straightConnector1">
                          <a:avLst/>
                        </a:prstGeom>
                        <a:ln w="6350">
                          <a:headEnd type="stealth"/>
                          <a:tailEnd type="stealt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2863AF9" id="Straight Arrow Connector 30" o:spid="_x0000_s1026" type="#_x0000_t32" style="position:absolute;margin-left:289.65pt;margin-top:308.05pt;width:36.6pt;height:0;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" strokecolor="black [3200]" strokeweight=".5pt">
                <v:stroke startarrow="classic" endarrow="classic"/>
                <v:shadow on="t" color="black" opacity="24903f" origin=",.5" offset="0,.55556mm"/>
              </v:shape>
            </w:pict>
          </mc:Fallback>
        </mc:AlternateContent>
      </w:r>
      <w:r>
        <w:rPr>
          <w:noProof/>
        </w:rPr>
        <mc:AlternateContent>
          <mc:Choice Requires="wps">
            <w:drawing>
              <wp:anchor distT="0" distB="0" distL="114300" distR="114300" simplePos="0" relativeHeight="251658268" behindDoc="0" locked="0" layoutInCell="1" allowOverlap="1" wp14:anchorId="1732D069" wp14:editId="137203BF">
                <wp:simplePos x="0" y="0"/>
                <wp:positionH relativeFrom="column">
                  <wp:posOffset>3640616</wp:posOffset>
                </wp:positionH>
                <wp:positionV relativeFrom="paragraph">
                  <wp:posOffset>2371090</wp:posOffset>
                </wp:positionV>
                <wp:extent cx="534670" cy="503555"/>
                <wp:effectExtent l="38100" t="38100" r="55880" b="48895"/>
                <wp:wrapNone/>
                <wp:docPr id="33" name="Straight Arrow Connector 33"/>
                <wp:cNvGraphicFramePr/>
                <a:graphic xmlns:a="http://schemas.openxmlformats.org/drawingml/2006/main">
                  <a:graphicData uri="http://schemas.microsoft.com/office/word/2010/wordprocessingShape">
                    <wps:wsp>
                      <wps:cNvCnPr/>
                      <wps:spPr>
                        <a:xfrm>
                          <a:off x="0" y="0"/>
                          <a:ext cx="534670" cy="503555"/>
                        </a:xfrm>
                        <a:prstGeom prst="straightConnector1">
                          <a:avLst/>
                        </a:prstGeom>
                        <a:ln w="6350">
                          <a:headEnd type="stealth"/>
                          <a:tailEnd type="stealt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940E4D" id="Straight Arrow Connector 33" o:spid="_x0000_s1026" type="#_x0000_t32" style="position:absolute;margin-left:286.65pt;margin-top:186.7pt;width:42.1pt;height:39.6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" strokecolor="black [3200]" strokeweight=".5pt">
                <v:stroke startarrow="classic" endarrow="classic"/>
                <v:shadow on="t" color="black" opacity="24903f" origin=",.5" offset="0,.55556mm"/>
              </v:shape>
            </w:pict>
          </mc:Fallback>
        </mc:AlternateContent>
      </w:r>
      <w:r>
        <w:rPr>
          <w:noProof/>
        </w:rPr>
        <mc:AlternateContent>
          <mc:Choice Requires="wps">
            <w:drawing>
              <wp:anchor distT="0" distB="0" distL="114300" distR="114300" simplePos="0" relativeHeight="251658246" behindDoc="0" locked="0" layoutInCell="1" allowOverlap="1" wp14:anchorId="18066153" wp14:editId="47D063B3">
                <wp:simplePos x="0" y="0"/>
                <wp:positionH relativeFrom="column">
                  <wp:posOffset>2854325</wp:posOffset>
                </wp:positionH>
                <wp:positionV relativeFrom="paragraph">
                  <wp:posOffset>3213100</wp:posOffset>
                </wp:positionV>
                <wp:extent cx="0" cy="342900"/>
                <wp:effectExtent l="7620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42900"/>
                        </a:xfrm>
                        <a:prstGeom prst="straightConnector1">
                          <a:avLst/>
                        </a:prstGeom>
                        <a:ln w="6350">
                          <a:tailEnd type="stealt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D0B57D5" id="Straight Arrow Connector 32" o:spid="_x0000_s1026" type="#_x0000_t32" style="position:absolute;margin-left:224.75pt;margin-top:253pt;width:0;height:27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" strokecolor="black [3200]" strokeweight=".5pt">
                <v:stroke endarrow="classic"/>
                <v:shadow on="t" color="black" opacity="24903f" origin=",.5" offset="0,.55556mm"/>
              </v:shape>
            </w:pict>
          </mc:Fallback>
        </mc:AlternateContent>
      </w:r>
      <w:r>
        <w:rPr>
          <w:noProof/>
        </w:rPr>
        <mc:AlternateContent>
          <mc:Choice Requires="wps">
            <w:drawing>
              <wp:anchor distT="0" distB="0" distL="114300" distR="114300" simplePos="0" relativeHeight="251658244" behindDoc="0" locked="0" layoutInCell="1" allowOverlap="1" wp14:anchorId="208DACDC" wp14:editId="762D3DCC">
                <wp:simplePos x="0" y="0"/>
                <wp:positionH relativeFrom="column">
                  <wp:posOffset>2854325</wp:posOffset>
                </wp:positionH>
                <wp:positionV relativeFrom="paragraph">
                  <wp:posOffset>4229735</wp:posOffset>
                </wp:positionV>
                <wp:extent cx="0" cy="342900"/>
                <wp:effectExtent l="76200" t="0" r="76200" b="57150"/>
                <wp:wrapNone/>
                <wp:docPr id="6" name="Straight Arrow Connector 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1150EF1F" id="Straight Arrow Connector 6" o:spid="_x0000_s1026" type="#_x0000_t32" style="position:absolute;margin-left:224.75pt;margin-top:333.05pt;width:0;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" strokecolor="windowText" strokeweight=".5pt">
                <v:stroke endarrow="classic" joinstyle="miter"/>
              </v:shape>
            </w:pict>
          </mc:Fallback>
        </mc:AlternateContent>
      </w:r>
      <w:r>
        <w:rPr>
          <w:noProof/>
        </w:rPr>
        <mc:AlternateContent>
          <mc:Choice Requires="wps">
            <w:drawing>
              <wp:anchor distT="0" distB="0" distL="114300" distR="114300" simplePos="0" relativeHeight="251658253" behindDoc="0" locked="0" layoutInCell="1" allowOverlap="1" wp14:anchorId="40A8BF0F" wp14:editId="24B67758">
                <wp:simplePos x="0" y="0"/>
                <wp:positionH relativeFrom="column">
                  <wp:posOffset>2061210</wp:posOffset>
                </wp:positionH>
                <wp:positionV relativeFrom="paragraph">
                  <wp:posOffset>2870835</wp:posOffset>
                </wp:positionV>
                <wp:extent cx="1584960" cy="457200"/>
                <wp:effectExtent l="0" t="0" r="15240" b="19050"/>
                <wp:wrapNone/>
                <wp:docPr id="7" name="Rectangle: Rounded Corners 7"/>
                <wp:cNvGraphicFramePr/>
                <a:graphic xmlns:a="http://schemas.openxmlformats.org/drawingml/2006/main">
                  <a:graphicData uri="http://schemas.microsoft.com/office/word/2010/wordprocessingShape">
                    <wps:wsp>
                      <wps:cNvSpPr/>
                      <wps:spPr>
                        <a:xfrm>
                          <a:off x="0" y="0"/>
                          <a:ext cx="1584960" cy="457200"/>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0C9CFDBE" w14:textId="77777777" w:rsidR="008A7695" w:rsidRPr="0085458D" w:rsidRDefault="008A7695" w:rsidP="008A7695">
                            <w:pPr>
                              <w:spacing w:after="0"/>
                              <w:jc w:val="center"/>
                              <w:rPr>
                                <w:rFonts w:cs="Arial"/>
                                <w:sz w:val="20"/>
                                <w:szCs w:val="20"/>
                              </w:rPr>
                            </w:pPr>
                            <w:r w:rsidRPr="0085458D">
                              <w:rPr>
                                <w:rFonts w:cs="Arial"/>
                                <w:sz w:val="20"/>
                                <w:szCs w:val="20"/>
                              </w:rPr>
                              <w:t>PMMRC reviews</w:t>
                            </w:r>
                            <w:r>
                              <w:rPr>
                                <w:rFonts w:cs="Arial"/>
                                <w:sz w:val="20"/>
                                <w:szCs w:val="20"/>
                              </w:rPr>
                              <w:br/>
                            </w:r>
                            <w:r w:rsidRPr="0085458D">
                              <w:rPr>
                                <w:rFonts w:cs="Arial"/>
                                <w:sz w:val="20"/>
                                <w:szCs w:val="20"/>
                              </w:rPr>
                              <w:t>all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8BF0F" id="Rectangle: Rounded Corners 7" o:spid="_x0000_s1055" style="position:absolute;margin-left:162.3pt;margin-top:226.05pt;width:124.8pt;height:3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" fillcolor="#f2f2f2 [3052]" strokecolor="windowText" strokeweight=".5pt">
                <v:stroke joinstyle="miter"/>
                <v:textbox>
                  <w:txbxContent>
                    <w:p w14:paraId="0C9CFDBE" w14:textId="77777777" w:rsidR="008A7695" w:rsidRPr="0085458D" w:rsidRDefault="008A7695" w:rsidP="008A7695">
                      <w:pPr>
                        <w:spacing w:after="0"/>
                        <w:jc w:val="center"/>
                        <w:rPr>
                          <w:rFonts w:cs="Arial"/>
                          <w:sz w:val="20"/>
                          <w:szCs w:val="20"/>
                        </w:rPr>
                      </w:pPr>
                      <w:r w:rsidRPr="0085458D">
                        <w:rPr>
                          <w:rFonts w:cs="Arial"/>
                          <w:sz w:val="20"/>
                          <w:szCs w:val="20"/>
                        </w:rPr>
                        <w:t>PMMRC reviews</w:t>
                      </w:r>
                      <w:r>
                        <w:rPr>
                          <w:rFonts w:cs="Arial"/>
                          <w:sz w:val="20"/>
                          <w:szCs w:val="20"/>
                        </w:rPr>
                        <w:br/>
                      </w:r>
                      <w:r w:rsidRPr="0085458D">
                        <w:rPr>
                          <w:rFonts w:cs="Arial"/>
                          <w:sz w:val="20"/>
                          <w:szCs w:val="20"/>
                        </w:rPr>
                        <w:t>all data</w:t>
                      </w:r>
                    </w:p>
                  </w:txbxContent>
                </v:textbox>
              </v:roundrect>
            </w:pict>
          </mc:Fallback>
        </mc:AlternateContent>
      </w:r>
      <w:r>
        <w:rPr>
          <w:noProof/>
        </w:rPr>
        <mc:AlternateContent>
          <mc:Choice Requires="wps">
            <w:drawing>
              <wp:anchor distT="0" distB="0" distL="114300" distR="114300" simplePos="0" relativeHeight="251658254" behindDoc="0" locked="0" layoutInCell="1" allowOverlap="1" wp14:anchorId="070D3D18" wp14:editId="21ED7832">
                <wp:simplePos x="0" y="0"/>
                <wp:positionH relativeFrom="column">
                  <wp:posOffset>2061210</wp:posOffset>
                </wp:positionH>
                <wp:positionV relativeFrom="paragraph">
                  <wp:posOffset>3594735</wp:posOffset>
                </wp:positionV>
                <wp:extent cx="1584960" cy="633095"/>
                <wp:effectExtent l="0" t="0" r="15240" b="14605"/>
                <wp:wrapNone/>
                <wp:docPr id="8" name="Rectangle: Rounded Corners 8"/>
                <wp:cNvGraphicFramePr/>
                <a:graphic xmlns:a="http://schemas.openxmlformats.org/drawingml/2006/main">
                  <a:graphicData uri="http://schemas.microsoft.com/office/word/2010/wordprocessingShape">
                    <wps:wsp>
                      <wps:cNvSpPr/>
                      <wps:spPr>
                        <a:xfrm>
                          <a:off x="0" y="0"/>
                          <a:ext cx="1584960" cy="633095"/>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24F0D4F6" w14:textId="77777777" w:rsidR="008A7695" w:rsidRPr="0085458D" w:rsidRDefault="008A7695" w:rsidP="008A7695">
                            <w:pPr>
                              <w:spacing w:after="0"/>
                              <w:jc w:val="center"/>
                              <w:rPr>
                                <w:rFonts w:cs="Arial"/>
                                <w:sz w:val="20"/>
                                <w:szCs w:val="20"/>
                              </w:rPr>
                            </w:pPr>
                            <w:r w:rsidRPr="0085458D">
                              <w:rPr>
                                <w:rFonts w:cs="Arial"/>
                                <w:sz w:val="20"/>
                                <w:szCs w:val="20"/>
                              </w:rPr>
                              <w:t>Annual PMMRC report is produced with recommendations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D3D18" id="Rectangle: Rounded Corners 8" o:spid="_x0000_s1056" style="position:absolute;margin-left:162.3pt;margin-top:283.05pt;width:124.8pt;height:49.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" fillcolor="#f2f2f2 [3052]" strokecolor="windowText" strokeweight=".5pt">
                <v:stroke joinstyle="miter"/>
                <v:textbox>
                  <w:txbxContent>
                    <w:p w14:paraId="24F0D4F6" w14:textId="77777777" w:rsidR="008A7695" w:rsidRPr="0085458D" w:rsidRDefault="008A7695" w:rsidP="008A7695">
                      <w:pPr>
                        <w:spacing w:after="0"/>
                        <w:jc w:val="center"/>
                        <w:rPr>
                          <w:rFonts w:cs="Arial"/>
                          <w:sz w:val="20"/>
                          <w:szCs w:val="20"/>
                        </w:rPr>
                      </w:pPr>
                      <w:r w:rsidRPr="0085458D">
                        <w:rPr>
                          <w:rFonts w:cs="Arial"/>
                          <w:sz w:val="20"/>
                          <w:szCs w:val="20"/>
                        </w:rPr>
                        <w:t>Annual PMMRC report is produced with recommendations</w:t>
                      </w:r>
                    </w:p>
                  </w:txbxContent>
                </v:textbox>
              </v:roundrect>
            </w:pict>
          </mc:Fallback>
        </mc:AlternateContent>
      </w:r>
      <w:r>
        <w:rPr>
          <w:noProof/>
        </w:rPr>
        <mc:AlternateContent>
          <mc:Choice Requires="wps">
            <w:drawing>
              <wp:anchor distT="0" distB="0" distL="114300" distR="114300" simplePos="0" relativeHeight="251658260" behindDoc="0" locked="0" layoutInCell="1" allowOverlap="1" wp14:anchorId="2E28CBAA" wp14:editId="6E1A06C1">
                <wp:simplePos x="0" y="0"/>
                <wp:positionH relativeFrom="column">
                  <wp:posOffset>4184015</wp:posOffset>
                </wp:positionH>
                <wp:positionV relativeFrom="paragraph">
                  <wp:posOffset>2869565</wp:posOffset>
                </wp:positionV>
                <wp:extent cx="1584960" cy="457200"/>
                <wp:effectExtent l="0" t="0" r="15240" b="19050"/>
                <wp:wrapNone/>
                <wp:docPr id="13" name="Rectangle: Rounded Corners 13"/>
                <wp:cNvGraphicFramePr/>
                <a:graphic xmlns:a="http://schemas.openxmlformats.org/drawingml/2006/main">
                  <a:graphicData uri="http://schemas.microsoft.com/office/word/2010/wordprocessingShape">
                    <wps:wsp>
                      <wps:cNvSpPr/>
                      <wps:spPr>
                        <a:xfrm>
                          <a:off x="0" y="0"/>
                          <a:ext cx="1584960" cy="457200"/>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539B97F2" w14:textId="77777777" w:rsidR="008A7695" w:rsidRPr="0085458D" w:rsidRDefault="008A7695" w:rsidP="008A7695">
                            <w:pPr>
                              <w:spacing w:after="0"/>
                              <w:jc w:val="center"/>
                              <w:rPr>
                                <w:rFonts w:cs="Arial"/>
                                <w:sz w:val="20"/>
                                <w:szCs w:val="20"/>
                              </w:rPr>
                            </w:pPr>
                            <w:r>
                              <w:rPr>
                                <w:rFonts w:cs="Arial"/>
                                <w:sz w:val="20"/>
                                <w:szCs w:val="20"/>
                              </w:rPr>
                              <w:t>PMMRC national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8CBAA" id="Rectangle: Rounded Corners 13" o:spid="_x0000_s1057" style="position:absolute;margin-left:329.45pt;margin-top:225.95pt;width:124.8pt;height:3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" fillcolor="#f2f2f2 [3052]" strokecolor="windowText" strokeweight=".5pt">
                <v:stroke joinstyle="miter"/>
                <v:textbox>
                  <w:txbxContent>
                    <w:p w14:paraId="539B97F2" w14:textId="77777777" w:rsidR="008A7695" w:rsidRPr="0085458D" w:rsidRDefault="008A7695" w:rsidP="008A7695">
                      <w:pPr>
                        <w:spacing w:after="0"/>
                        <w:jc w:val="center"/>
                        <w:rPr>
                          <w:rFonts w:cs="Arial"/>
                          <w:sz w:val="20"/>
                          <w:szCs w:val="20"/>
                        </w:rPr>
                      </w:pPr>
                      <w:r>
                        <w:rPr>
                          <w:rFonts w:cs="Arial"/>
                          <w:sz w:val="20"/>
                          <w:szCs w:val="20"/>
                        </w:rPr>
                        <w:t>PMMRC national coordinator</w:t>
                      </w:r>
                    </w:p>
                  </w:txbxContent>
                </v:textbox>
              </v:roundrect>
            </w:pict>
          </mc:Fallback>
        </mc:AlternateContent>
      </w:r>
      <w:r>
        <w:rPr>
          <w:noProof/>
        </w:rPr>
        <mc:AlternateContent>
          <mc:Choice Requires="wps">
            <w:drawing>
              <wp:anchor distT="0" distB="0" distL="114300" distR="114300" simplePos="0" relativeHeight="251658261" behindDoc="0" locked="0" layoutInCell="1" allowOverlap="1" wp14:anchorId="77821DAF" wp14:editId="55B9C147">
                <wp:simplePos x="0" y="0"/>
                <wp:positionH relativeFrom="column">
                  <wp:posOffset>4185920</wp:posOffset>
                </wp:positionH>
                <wp:positionV relativeFrom="paragraph">
                  <wp:posOffset>3590290</wp:posOffset>
                </wp:positionV>
                <wp:extent cx="1584960" cy="633095"/>
                <wp:effectExtent l="0" t="0" r="15240" b="14605"/>
                <wp:wrapNone/>
                <wp:docPr id="14" name="Rectangle: Rounded Corners 14"/>
                <wp:cNvGraphicFramePr/>
                <a:graphic xmlns:a="http://schemas.openxmlformats.org/drawingml/2006/main">
                  <a:graphicData uri="http://schemas.microsoft.com/office/word/2010/wordprocessingShape">
                    <wps:wsp>
                      <wps:cNvSpPr/>
                      <wps:spPr>
                        <a:xfrm>
                          <a:off x="0" y="0"/>
                          <a:ext cx="1584960" cy="633095"/>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763B3005" w14:textId="77777777" w:rsidR="008A7695" w:rsidRPr="0085458D" w:rsidRDefault="008A7695" w:rsidP="008A7695">
                            <w:pPr>
                              <w:spacing w:after="0"/>
                              <w:jc w:val="center"/>
                              <w:rPr>
                                <w:rFonts w:cs="Arial"/>
                                <w:sz w:val="20"/>
                                <w:szCs w:val="20"/>
                              </w:rPr>
                            </w:pPr>
                            <w:r>
                              <w:rPr>
                                <w:rFonts w:cs="Arial"/>
                                <w:sz w:val="20"/>
                                <w:szCs w:val="20"/>
                              </w:rPr>
                              <w:t>Peer review and consultation with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21DAF" id="Rectangle: Rounded Corners 14" o:spid="_x0000_s1058" style="position:absolute;margin-left:329.6pt;margin-top:282.7pt;width:124.8pt;height:49.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" fillcolor="#f2f2f2 [3052]" strokecolor="windowText" strokeweight=".5pt">
                <v:stroke joinstyle="miter"/>
                <v:textbox>
                  <w:txbxContent>
                    <w:p w14:paraId="763B3005" w14:textId="77777777" w:rsidR="008A7695" w:rsidRPr="0085458D" w:rsidRDefault="008A7695" w:rsidP="008A7695">
                      <w:pPr>
                        <w:spacing w:after="0"/>
                        <w:jc w:val="center"/>
                        <w:rPr>
                          <w:rFonts w:cs="Arial"/>
                          <w:sz w:val="20"/>
                          <w:szCs w:val="20"/>
                        </w:rPr>
                      </w:pPr>
                      <w:r>
                        <w:rPr>
                          <w:rFonts w:cs="Arial"/>
                          <w:sz w:val="20"/>
                          <w:szCs w:val="20"/>
                        </w:rPr>
                        <w:t>Peer review and consultation with stakeholders</w:t>
                      </w:r>
                    </w:p>
                  </w:txbxContent>
                </v:textbox>
              </v:roundrect>
            </w:pict>
          </mc:Fallback>
        </mc:AlternateContent>
      </w:r>
      <w:r>
        <w:rPr>
          <w:noProof/>
        </w:rPr>
        <mc:AlternateContent>
          <mc:Choice Requires="wps">
            <w:drawing>
              <wp:anchor distT="0" distB="0" distL="114300" distR="114300" simplePos="0" relativeHeight="251658267" behindDoc="0" locked="0" layoutInCell="1" allowOverlap="1" wp14:anchorId="5238A0A0" wp14:editId="6177002D">
                <wp:simplePos x="0" y="0"/>
                <wp:positionH relativeFrom="column">
                  <wp:posOffset>3684905</wp:posOffset>
                </wp:positionH>
                <wp:positionV relativeFrom="paragraph">
                  <wp:posOffset>3097530</wp:posOffset>
                </wp:positionV>
                <wp:extent cx="464820" cy="0"/>
                <wp:effectExtent l="38100" t="76200" r="11430" b="95250"/>
                <wp:wrapNone/>
                <wp:docPr id="31" name="Straight Arrow Connector 31"/>
                <wp:cNvGraphicFramePr/>
                <a:graphic xmlns:a="http://schemas.openxmlformats.org/drawingml/2006/main">
                  <a:graphicData uri="http://schemas.microsoft.com/office/word/2010/wordprocessingShape">
                    <wps:wsp>
                      <wps:cNvCnPr/>
                      <wps:spPr>
                        <a:xfrm>
                          <a:off x="0" y="0"/>
                          <a:ext cx="464820" cy="0"/>
                        </a:xfrm>
                        <a:prstGeom prst="straightConnector1">
                          <a:avLst/>
                        </a:prstGeom>
                        <a:ln w="6350">
                          <a:headEnd type="stealth"/>
                          <a:tailEnd type="stealt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D43480A" id="Straight Arrow Connector 31" o:spid="_x0000_s1026" type="#_x0000_t32" style="position:absolute;margin-left:290.15pt;margin-top:243.9pt;width:36.6pt;height:0;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" strokecolor="black [3200]" strokeweight=".5pt">
                <v:stroke startarrow="classic" endarrow="classic"/>
                <v:shadow on="t" color="black" opacity="24903f" origin=",.5" offset="0,.55556mm"/>
              </v:shape>
            </w:pict>
          </mc:Fallback>
        </mc:AlternateContent>
      </w:r>
      <w:r>
        <w:rPr>
          <w:noProof/>
        </w:rPr>
        <mc:AlternateContent>
          <mc:Choice Requires="wps">
            <w:drawing>
              <wp:anchor distT="0" distB="0" distL="114300" distR="114300" simplePos="0" relativeHeight="251658255" behindDoc="0" locked="0" layoutInCell="1" allowOverlap="1" wp14:anchorId="2D4EA753" wp14:editId="3D75E0FC">
                <wp:simplePos x="0" y="0"/>
                <wp:positionH relativeFrom="column">
                  <wp:posOffset>2061845</wp:posOffset>
                </wp:positionH>
                <wp:positionV relativeFrom="paragraph">
                  <wp:posOffset>4612005</wp:posOffset>
                </wp:positionV>
                <wp:extent cx="1584960" cy="457200"/>
                <wp:effectExtent l="0" t="0" r="15240" b="19050"/>
                <wp:wrapNone/>
                <wp:docPr id="9" name="Rectangle: Rounded Corners 9"/>
                <wp:cNvGraphicFramePr/>
                <a:graphic xmlns:a="http://schemas.openxmlformats.org/drawingml/2006/main">
                  <a:graphicData uri="http://schemas.microsoft.com/office/word/2010/wordprocessingShape">
                    <wps:wsp>
                      <wps:cNvSpPr/>
                      <wps:spPr>
                        <a:xfrm>
                          <a:off x="0" y="0"/>
                          <a:ext cx="1584960" cy="457200"/>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4E475AA7" w14:textId="77777777" w:rsidR="008A7695" w:rsidRPr="0085458D" w:rsidRDefault="008A7695" w:rsidP="008A7695">
                            <w:pPr>
                              <w:spacing w:after="0"/>
                              <w:jc w:val="center"/>
                              <w:rPr>
                                <w:rFonts w:cs="Arial"/>
                                <w:sz w:val="20"/>
                                <w:szCs w:val="20"/>
                              </w:rPr>
                            </w:pPr>
                            <w:r>
                              <w:rPr>
                                <w:rFonts w:cs="Arial"/>
                                <w:sz w:val="20"/>
                                <w:szCs w:val="20"/>
                              </w:rPr>
                              <w:t xml:space="preserve">Health Quality &amp; </w:t>
                            </w:r>
                            <w:r>
                              <w:rPr>
                                <w:rFonts w:cs="Arial"/>
                                <w:sz w:val="20"/>
                                <w:szCs w:val="20"/>
                              </w:rPr>
                              <w:br/>
                              <w:t>Safety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EA753" id="Rectangle: Rounded Corners 9" o:spid="_x0000_s1059" style="position:absolute;margin-left:162.35pt;margin-top:363.15pt;width:124.8pt;height:3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" fillcolor="#f2f2f2 [3052]" strokecolor="windowText" strokeweight=".5pt">
                <v:stroke joinstyle="miter"/>
                <v:textbox>
                  <w:txbxContent>
                    <w:p w14:paraId="4E475AA7" w14:textId="77777777" w:rsidR="008A7695" w:rsidRPr="0085458D" w:rsidRDefault="008A7695" w:rsidP="008A7695">
                      <w:pPr>
                        <w:spacing w:after="0"/>
                        <w:jc w:val="center"/>
                        <w:rPr>
                          <w:rFonts w:cs="Arial"/>
                          <w:sz w:val="20"/>
                          <w:szCs w:val="20"/>
                        </w:rPr>
                      </w:pPr>
                      <w:r>
                        <w:rPr>
                          <w:rFonts w:cs="Arial"/>
                          <w:sz w:val="20"/>
                          <w:szCs w:val="20"/>
                        </w:rPr>
                        <w:t xml:space="preserve">Health Quality &amp; </w:t>
                      </w:r>
                      <w:r>
                        <w:rPr>
                          <w:rFonts w:cs="Arial"/>
                          <w:sz w:val="20"/>
                          <w:szCs w:val="20"/>
                        </w:rPr>
                        <w:br/>
                        <w:t>Safety Commission</w:t>
                      </w:r>
                    </w:p>
                  </w:txbxContent>
                </v:textbox>
              </v:roundrect>
            </w:pict>
          </mc:Fallback>
        </mc:AlternateContent>
      </w:r>
      <w:r>
        <w:rPr>
          <w:noProof/>
        </w:rPr>
        <mc:AlternateContent>
          <mc:Choice Requires="wps">
            <w:drawing>
              <wp:anchor distT="0" distB="0" distL="114300" distR="114300" simplePos="0" relativeHeight="251658269" behindDoc="0" locked="0" layoutInCell="1" allowOverlap="1" wp14:anchorId="6E450879" wp14:editId="6962FD7F">
                <wp:simplePos x="0" y="0"/>
                <wp:positionH relativeFrom="column">
                  <wp:posOffset>4977765</wp:posOffset>
                </wp:positionH>
                <wp:positionV relativeFrom="paragraph">
                  <wp:posOffset>2668270</wp:posOffset>
                </wp:positionV>
                <wp:extent cx="0" cy="180000"/>
                <wp:effectExtent l="76200" t="38100" r="57150" b="48895"/>
                <wp:wrapNone/>
                <wp:docPr id="10" name="Straight Arrow Connector 10"/>
                <wp:cNvGraphicFramePr/>
                <a:graphic xmlns:a="http://schemas.openxmlformats.org/drawingml/2006/main">
                  <a:graphicData uri="http://schemas.microsoft.com/office/word/2010/wordprocessingShape">
                    <wps:wsp>
                      <wps:cNvCnPr/>
                      <wps:spPr>
                        <a:xfrm>
                          <a:off x="0" y="0"/>
                          <a:ext cx="0" cy="180000"/>
                        </a:xfrm>
                        <a:prstGeom prst="straightConnector1">
                          <a:avLst/>
                        </a:prstGeom>
                        <a:ln w="6350">
                          <a:headEnd type="stealth"/>
                          <a:tailEnd type="stealt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7198146" id="Straight Arrow Connector 10" o:spid="_x0000_s1026" type="#_x0000_t32" style="position:absolute;margin-left:391.95pt;margin-top:210.1pt;width:0;height:14.1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" strokecolor="black [3200]" strokeweight=".5pt">
                <v:stroke startarrow="classic" endarrow="classic"/>
                <v:shadow on="t" color="black" opacity="24903f" origin=",.5" offset="0,.55556mm"/>
              </v:shape>
            </w:pict>
          </mc:Fallback>
        </mc:AlternateContent>
      </w:r>
      <w:r>
        <w:rPr>
          <w:noProof/>
        </w:rPr>
        <mc:AlternateContent>
          <mc:Choice Requires="wps">
            <w:drawing>
              <wp:anchor distT="0" distB="0" distL="114300" distR="114300" simplePos="0" relativeHeight="251658266" behindDoc="0" locked="0" layoutInCell="1" allowOverlap="1" wp14:anchorId="15A3CE93" wp14:editId="4838A449">
                <wp:simplePos x="0" y="0"/>
                <wp:positionH relativeFrom="column">
                  <wp:posOffset>3647914</wp:posOffset>
                </wp:positionH>
                <wp:positionV relativeFrom="paragraph">
                  <wp:posOffset>1402715</wp:posOffset>
                </wp:positionV>
                <wp:extent cx="535106" cy="159793"/>
                <wp:effectExtent l="38100" t="38100" r="55880" b="69215"/>
                <wp:wrapNone/>
                <wp:docPr id="27" name="Straight Arrow Connector 27"/>
                <wp:cNvGraphicFramePr/>
                <a:graphic xmlns:a="http://schemas.openxmlformats.org/drawingml/2006/main">
                  <a:graphicData uri="http://schemas.microsoft.com/office/word/2010/wordprocessingShape">
                    <wps:wsp>
                      <wps:cNvCnPr/>
                      <wps:spPr>
                        <a:xfrm rot="10800000">
                          <a:off x="0" y="0"/>
                          <a:ext cx="535106" cy="159793"/>
                        </a:xfrm>
                        <a:prstGeom prst="straightConnector1">
                          <a:avLst/>
                        </a:prstGeom>
                        <a:ln w="6350">
                          <a:headEnd type="stealth"/>
                          <a:tailEnd type="stealt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F1CD6" id="Straight Arrow Connector 27" o:spid="_x0000_s1026" type="#_x0000_t32" style="position:absolute;margin-left:287.25pt;margin-top:110.45pt;width:42.15pt;height:12.6pt;rotation:18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" strokecolor="black [3200]" strokeweight=".5pt">
                <v:stroke startarrow="classic" endarrow="classic"/>
                <v:shadow on="t" color="black" opacity="24903f" origin=",.5" offset="0,.55556mm"/>
              </v:shape>
            </w:pict>
          </mc:Fallback>
        </mc:AlternateContent>
      </w:r>
      <w:r>
        <w:rPr>
          <w:noProof/>
        </w:rPr>
        <mc:AlternateContent>
          <mc:Choice Requires="wps">
            <w:drawing>
              <wp:anchor distT="0" distB="0" distL="114300" distR="114300" simplePos="0" relativeHeight="251658265" behindDoc="0" locked="0" layoutInCell="1" allowOverlap="1" wp14:anchorId="400357EA" wp14:editId="5B508C37">
                <wp:simplePos x="0" y="0"/>
                <wp:positionH relativeFrom="column">
                  <wp:posOffset>3684270</wp:posOffset>
                </wp:positionH>
                <wp:positionV relativeFrom="paragraph">
                  <wp:posOffset>2071370</wp:posOffset>
                </wp:positionV>
                <wp:extent cx="464820" cy="0"/>
                <wp:effectExtent l="38100" t="76200" r="11430" b="95250"/>
                <wp:wrapNone/>
                <wp:docPr id="25" name="Straight Arrow Connector 25"/>
                <wp:cNvGraphicFramePr/>
                <a:graphic xmlns:a="http://schemas.openxmlformats.org/drawingml/2006/main">
                  <a:graphicData uri="http://schemas.microsoft.com/office/word/2010/wordprocessingShape">
                    <wps:wsp>
                      <wps:cNvCnPr/>
                      <wps:spPr>
                        <a:xfrm>
                          <a:off x="0" y="0"/>
                          <a:ext cx="464820" cy="0"/>
                        </a:xfrm>
                        <a:prstGeom prst="straightConnector1">
                          <a:avLst/>
                        </a:prstGeom>
                        <a:ln w="6350">
                          <a:headEnd type="stealth"/>
                          <a:tailEnd type="stealt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DB24D77" id="Straight Arrow Connector 25" o:spid="_x0000_s1026" type="#_x0000_t32" style="position:absolute;margin-left:290.1pt;margin-top:163.1pt;width:36.6pt;height:0;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" strokecolor="black [3200]" strokeweight=".5pt">
                <v:stroke startarrow="classic" endarrow="classic"/>
                <v:shadow on="t" color="black" opacity="24903f" origin=",.5" offset="0,.55556mm"/>
              </v:shape>
            </w:pict>
          </mc:Fallback>
        </mc:AlternateContent>
      </w:r>
      <w:r>
        <w:rPr>
          <w:noProof/>
        </w:rPr>
        <mc:AlternateContent>
          <mc:Choice Requires="wps">
            <w:drawing>
              <wp:anchor distT="0" distB="0" distL="114300" distR="114300" simplePos="0" relativeHeight="251658259" behindDoc="0" locked="0" layoutInCell="1" allowOverlap="1" wp14:anchorId="3C1FFC83" wp14:editId="322701F6">
                <wp:simplePos x="0" y="0"/>
                <wp:positionH relativeFrom="column">
                  <wp:posOffset>4189095</wp:posOffset>
                </wp:positionH>
                <wp:positionV relativeFrom="paragraph">
                  <wp:posOffset>1499870</wp:posOffset>
                </wp:positionV>
                <wp:extent cx="1584960" cy="1133475"/>
                <wp:effectExtent l="0" t="0" r="15240" b="28575"/>
                <wp:wrapNone/>
                <wp:docPr id="12" name="Rectangle: Rounded Corners 12"/>
                <wp:cNvGraphicFramePr/>
                <a:graphic xmlns:a="http://schemas.openxmlformats.org/drawingml/2006/main">
                  <a:graphicData uri="http://schemas.microsoft.com/office/word/2010/wordprocessingShape">
                    <wps:wsp>
                      <wps:cNvSpPr/>
                      <wps:spPr>
                        <a:xfrm>
                          <a:off x="0" y="0"/>
                          <a:ext cx="1584960" cy="1133475"/>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60A8B640" w14:textId="77777777" w:rsidR="008A7695" w:rsidRPr="0085458D" w:rsidRDefault="008A7695" w:rsidP="008A7695">
                            <w:pPr>
                              <w:spacing w:after="0"/>
                              <w:jc w:val="center"/>
                              <w:rPr>
                                <w:rFonts w:cs="Arial"/>
                                <w:sz w:val="20"/>
                                <w:szCs w:val="20"/>
                              </w:rPr>
                            </w:pPr>
                            <w:r>
                              <w:rPr>
                                <w:rFonts w:cs="Arial"/>
                                <w:sz w:val="20"/>
                                <w:szCs w:val="20"/>
                              </w:rPr>
                              <w:t>Local PMMRC coordinator provides additional information and completes classification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FFC83" id="Rectangle: Rounded Corners 12" o:spid="_x0000_s1060" style="position:absolute;margin-left:329.85pt;margin-top:118.1pt;width:124.8pt;height:89.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" fillcolor="#f2f2f2 [3052]" strokecolor="windowText" strokeweight=".5pt">
                <v:stroke joinstyle="miter"/>
                <v:textbox>
                  <w:txbxContent>
                    <w:p w14:paraId="60A8B640" w14:textId="77777777" w:rsidR="008A7695" w:rsidRPr="0085458D" w:rsidRDefault="008A7695" w:rsidP="008A7695">
                      <w:pPr>
                        <w:spacing w:after="0"/>
                        <w:jc w:val="center"/>
                        <w:rPr>
                          <w:rFonts w:cs="Arial"/>
                          <w:sz w:val="20"/>
                          <w:szCs w:val="20"/>
                        </w:rPr>
                      </w:pPr>
                      <w:r>
                        <w:rPr>
                          <w:rFonts w:cs="Arial"/>
                          <w:sz w:val="20"/>
                          <w:szCs w:val="20"/>
                        </w:rPr>
                        <w:t>Local PMMRC coordinator provides additional information and completes classification form</w:t>
                      </w:r>
                    </w:p>
                  </w:txbxContent>
                </v:textbox>
              </v:roundrect>
            </w:pict>
          </mc:Fallback>
        </mc:AlternateContent>
      </w:r>
      <w:r>
        <w:rPr>
          <w:noProof/>
        </w:rPr>
        <mc:AlternateContent>
          <mc:Choice Requires="wps">
            <w:drawing>
              <wp:anchor distT="0" distB="0" distL="114300" distR="114300" simplePos="0" relativeHeight="251658257" behindDoc="0" locked="0" layoutInCell="1" allowOverlap="1" wp14:anchorId="1D830213" wp14:editId="45F36639">
                <wp:simplePos x="0" y="0"/>
                <wp:positionH relativeFrom="column">
                  <wp:posOffset>4183380</wp:posOffset>
                </wp:positionH>
                <wp:positionV relativeFrom="paragraph">
                  <wp:posOffset>873760</wp:posOffset>
                </wp:positionV>
                <wp:extent cx="1584960" cy="457200"/>
                <wp:effectExtent l="0" t="0" r="15240" b="19050"/>
                <wp:wrapNone/>
                <wp:docPr id="11" name="Rectangle: Rounded Corners 11"/>
                <wp:cNvGraphicFramePr/>
                <a:graphic xmlns:a="http://schemas.openxmlformats.org/drawingml/2006/main">
                  <a:graphicData uri="http://schemas.microsoft.com/office/word/2010/wordprocessingShape">
                    <wps:wsp>
                      <wps:cNvSpPr/>
                      <wps:spPr>
                        <a:xfrm>
                          <a:off x="0" y="0"/>
                          <a:ext cx="1584960" cy="457200"/>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066A3928" w14:textId="77777777" w:rsidR="008A7695" w:rsidRPr="0085458D" w:rsidRDefault="008A7695" w:rsidP="008A7695">
                            <w:pPr>
                              <w:spacing w:after="0"/>
                              <w:jc w:val="center"/>
                              <w:rPr>
                                <w:rFonts w:cs="Arial"/>
                                <w:sz w:val="20"/>
                                <w:szCs w:val="20"/>
                              </w:rPr>
                            </w:pPr>
                            <w:r>
                              <w:rPr>
                                <w:rFonts w:cs="Arial"/>
                                <w:sz w:val="20"/>
                                <w:szCs w:val="20"/>
                              </w:rPr>
                              <w:t>DHB perinatal</w:t>
                            </w:r>
                            <w:r>
                              <w:rPr>
                                <w:rFonts w:cs="Arial"/>
                                <w:sz w:val="20"/>
                                <w:szCs w:val="20"/>
                              </w:rPr>
                              <w:br/>
                              <w:t>mortality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30213" id="Rectangle: Rounded Corners 11" o:spid="_x0000_s1061" style="position:absolute;margin-left:329.4pt;margin-top:68.8pt;width:124.8pt;height: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" fillcolor="#f2f2f2 [3052]" strokecolor="windowText" strokeweight=".5pt">
                <v:stroke joinstyle="miter"/>
                <v:textbox>
                  <w:txbxContent>
                    <w:p w14:paraId="066A3928" w14:textId="77777777" w:rsidR="008A7695" w:rsidRPr="0085458D" w:rsidRDefault="008A7695" w:rsidP="008A7695">
                      <w:pPr>
                        <w:spacing w:after="0"/>
                        <w:jc w:val="center"/>
                        <w:rPr>
                          <w:rFonts w:cs="Arial"/>
                          <w:sz w:val="20"/>
                          <w:szCs w:val="20"/>
                        </w:rPr>
                      </w:pPr>
                      <w:r>
                        <w:rPr>
                          <w:rFonts w:cs="Arial"/>
                          <w:sz w:val="20"/>
                          <w:szCs w:val="20"/>
                        </w:rPr>
                        <w:t>DHB perinatal</w:t>
                      </w:r>
                      <w:r>
                        <w:rPr>
                          <w:rFonts w:cs="Arial"/>
                          <w:sz w:val="20"/>
                          <w:szCs w:val="20"/>
                        </w:rPr>
                        <w:br/>
                        <w:t>mortality meeting</w:t>
                      </w:r>
                    </w:p>
                  </w:txbxContent>
                </v:textbox>
              </v:roundrect>
            </w:pict>
          </mc:Fallback>
        </mc:AlternateContent>
      </w:r>
      <w:r>
        <w:rPr>
          <w:noProof/>
        </w:rPr>
        <mc:AlternateContent>
          <mc:Choice Requires="wps">
            <w:drawing>
              <wp:anchor distT="0" distB="0" distL="114300" distR="114300" simplePos="0" relativeHeight="251658252" behindDoc="0" locked="0" layoutInCell="1" allowOverlap="1" wp14:anchorId="25A571F3" wp14:editId="57113791">
                <wp:simplePos x="0" y="0"/>
                <wp:positionH relativeFrom="column">
                  <wp:posOffset>2061210</wp:posOffset>
                </wp:positionH>
                <wp:positionV relativeFrom="paragraph">
                  <wp:posOffset>1753235</wp:posOffset>
                </wp:positionV>
                <wp:extent cx="1584960" cy="633095"/>
                <wp:effectExtent l="0" t="0" r="15240" b="14605"/>
                <wp:wrapNone/>
                <wp:docPr id="16" name="Rectangle: Rounded Corners 16"/>
                <wp:cNvGraphicFramePr/>
                <a:graphic xmlns:a="http://schemas.openxmlformats.org/drawingml/2006/main">
                  <a:graphicData uri="http://schemas.microsoft.com/office/word/2010/wordprocessingShape">
                    <wps:wsp>
                      <wps:cNvSpPr/>
                      <wps:spPr>
                        <a:xfrm>
                          <a:off x="0" y="0"/>
                          <a:ext cx="1584960" cy="633095"/>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34BF5DE4" w14:textId="77777777" w:rsidR="008A7695" w:rsidRPr="0085458D" w:rsidRDefault="008A7695" w:rsidP="008A7695">
                            <w:pPr>
                              <w:spacing w:after="0"/>
                              <w:jc w:val="center"/>
                              <w:rPr>
                                <w:rFonts w:cs="Arial"/>
                                <w:sz w:val="20"/>
                                <w:szCs w:val="20"/>
                              </w:rPr>
                            </w:pPr>
                            <w:r w:rsidRPr="0085458D">
                              <w:rPr>
                                <w:rFonts w:cs="Arial"/>
                                <w:sz w:val="20"/>
                                <w:szCs w:val="20"/>
                              </w:rPr>
                              <w:t>National mortal</w:t>
                            </w:r>
                            <w:r>
                              <w:rPr>
                                <w:rFonts w:cs="Arial"/>
                                <w:sz w:val="20"/>
                                <w:szCs w:val="20"/>
                              </w:rPr>
                              <w:t>i</w:t>
                            </w:r>
                            <w:r w:rsidRPr="0085458D">
                              <w:rPr>
                                <w:rFonts w:cs="Arial"/>
                                <w:sz w:val="20"/>
                                <w:szCs w:val="20"/>
                              </w:rPr>
                              <w:t>ty data entry website and storage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571F3" id="Rectangle: Rounded Corners 16" o:spid="_x0000_s1062" style="position:absolute;margin-left:162.3pt;margin-top:138.05pt;width:124.8pt;height:49.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" fillcolor="#f2f2f2 [3052]" strokecolor="windowText" strokeweight=".5pt">
                <v:stroke joinstyle="miter"/>
                <v:textbox>
                  <w:txbxContent>
                    <w:p w14:paraId="34BF5DE4" w14:textId="77777777" w:rsidR="008A7695" w:rsidRPr="0085458D" w:rsidRDefault="008A7695" w:rsidP="008A7695">
                      <w:pPr>
                        <w:spacing w:after="0"/>
                        <w:jc w:val="center"/>
                        <w:rPr>
                          <w:rFonts w:cs="Arial"/>
                          <w:sz w:val="20"/>
                          <w:szCs w:val="20"/>
                        </w:rPr>
                      </w:pPr>
                      <w:r w:rsidRPr="0085458D">
                        <w:rPr>
                          <w:rFonts w:cs="Arial"/>
                          <w:sz w:val="20"/>
                          <w:szCs w:val="20"/>
                        </w:rPr>
                        <w:t>National mortal</w:t>
                      </w:r>
                      <w:r>
                        <w:rPr>
                          <w:rFonts w:cs="Arial"/>
                          <w:sz w:val="20"/>
                          <w:szCs w:val="20"/>
                        </w:rPr>
                        <w:t>i</w:t>
                      </w:r>
                      <w:r w:rsidRPr="0085458D">
                        <w:rPr>
                          <w:rFonts w:cs="Arial"/>
                          <w:sz w:val="20"/>
                          <w:szCs w:val="20"/>
                        </w:rPr>
                        <w:t>ty data entry website and storage database</w:t>
                      </w:r>
                    </w:p>
                  </w:txbxContent>
                </v:textbox>
              </v:roundrect>
            </w:pict>
          </mc:Fallback>
        </mc:AlternateContent>
      </w:r>
      <w:r>
        <w:rPr>
          <w:noProof/>
        </w:rPr>
        <mc:AlternateContent>
          <mc:Choice Requires="wps">
            <w:drawing>
              <wp:anchor distT="0" distB="0" distL="114300" distR="114300" simplePos="0" relativeHeight="251658258" behindDoc="0" locked="0" layoutInCell="1" allowOverlap="1" wp14:anchorId="4A8D89AC" wp14:editId="32E756B7">
                <wp:simplePos x="0" y="0"/>
                <wp:positionH relativeFrom="column">
                  <wp:posOffset>-66675</wp:posOffset>
                </wp:positionH>
                <wp:positionV relativeFrom="paragraph">
                  <wp:posOffset>1503045</wp:posOffset>
                </wp:positionV>
                <wp:extent cx="1584960" cy="1132840"/>
                <wp:effectExtent l="0" t="0" r="15240" b="10160"/>
                <wp:wrapNone/>
                <wp:docPr id="17" name="Rectangle: Rounded Corners 17"/>
                <wp:cNvGraphicFramePr/>
                <a:graphic xmlns:a="http://schemas.openxmlformats.org/drawingml/2006/main">
                  <a:graphicData uri="http://schemas.microsoft.com/office/word/2010/wordprocessingShape">
                    <wps:wsp>
                      <wps:cNvSpPr/>
                      <wps:spPr>
                        <a:xfrm>
                          <a:off x="0" y="0"/>
                          <a:ext cx="1584960" cy="1132840"/>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0771B0B0" w14:textId="77777777" w:rsidR="008A7695" w:rsidRPr="0085458D" w:rsidRDefault="008A7695" w:rsidP="008A7695">
                            <w:pPr>
                              <w:spacing w:after="0"/>
                              <w:jc w:val="center"/>
                              <w:rPr>
                                <w:rFonts w:cs="Arial"/>
                                <w:sz w:val="20"/>
                                <w:szCs w:val="20"/>
                              </w:rPr>
                            </w:pPr>
                            <w:r>
                              <w:rPr>
                                <w:rFonts w:cs="Arial"/>
                                <w:sz w:val="20"/>
                                <w:szCs w:val="20"/>
                              </w:rPr>
                              <w:t>Births, Deaths and Marriages; Ministry of Health; Coronial Services; Ministry of Transport; Ministry of Justice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D89AC" id="Rectangle: Rounded Corners 17" o:spid="_x0000_s1063" style="position:absolute;margin-left:-5.25pt;margin-top:118.35pt;width:124.8pt;height:89.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" fillcolor="#f2f2f2 [3052]" strokecolor="windowText" strokeweight=".5pt">
                <v:stroke joinstyle="miter"/>
                <v:textbox>
                  <w:txbxContent>
                    <w:p w14:paraId="0771B0B0" w14:textId="77777777" w:rsidR="008A7695" w:rsidRPr="0085458D" w:rsidRDefault="008A7695" w:rsidP="008A7695">
                      <w:pPr>
                        <w:spacing w:after="0"/>
                        <w:jc w:val="center"/>
                        <w:rPr>
                          <w:rFonts w:cs="Arial"/>
                          <w:sz w:val="20"/>
                          <w:szCs w:val="20"/>
                        </w:rPr>
                      </w:pPr>
                      <w:r>
                        <w:rPr>
                          <w:rFonts w:cs="Arial"/>
                          <w:sz w:val="20"/>
                          <w:szCs w:val="20"/>
                        </w:rPr>
                        <w:t xml:space="preserve">Births, </w:t>
                      </w:r>
                      <w:proofErr w:type="gramStart"/>
                      <w:r>
                        <w:rPr>
                          <w:rFonts w:cs="Arial"/>
                          <w:sz w:val="20"/>
                          <w:szCs w:val="20"/>
                        </w:rPr>
                        <w:t>Deaths</w:t>
                      </w:r>
                      <w:proofErr w:type="gramEnd"/>
                      <w:r>
                        <w:rPr>
                          <w:rFonts w:cs="Arial"/>
                          <w:sz w:val="20"/>
                          <w:szCs w:val="20"/>
                        </w:rPr>
                        <w:t xml:space="preserve"> and Marriages; Ministry of Health; Coronial Services; Ministry of Transport; Ministry of Justice</w:t>
                      </w:r>
                    </w:p>
                  </w:txbxContent>
                </v:textbox>
              </v:roundrect>
            </w:pict>
          </mc:Fallback>
        </mc:AlternateContent>
      </w:r>
      <w:r>
        <w:rPr>
          <w:noProof/>
        </w:rPr>
        <mc:AlternateContent>
          <mc:Choice Requires="wps">
            <w:drawing>
              <wp:anchor distT="0" distB="0" distL="114300" distR="114300" simplePos="0" relativeHeight="251658248" behindDoc="0" locked="0" layoutInCell="1" allowOverlap="1" wp14:anchorId="6FF66C0A" wp14:editId="5B9BB95C">
                <wp:simplePos x="0" y="0"/>
                <wp:positionH relativeFrom="column">
                  <wp:posOffset>1446530</wp:posOffset>
                </wp:positionH>
                <wp:positionV relativeFrom="paragraph">
                  <wp:posOffset>2070735</wp:posOffset>
                </wp:positionV>
                <wp:extent cx="581025" cy="0"/>
                <wp:effectExtent l="0" t="76200" r="9525" b="95250"/>
                <wp:wrapNone/>
                <wp:docPr id="20" name="Straight Arrow Connector 20"/>
                <wp:cNvGraphicFramePr/>
                <a:graphic xmlns:a="http://schemas.openxmlformats.org/drawingml/2006/main">
                  <a:graphicData uri="http://schemas.microsoft.com/office/word/2010/wordprocessingShape">
                    <wps:wsp>
                      <wps:cNvCnPr/>
                      <wps:spPr>
                        <a:xfrm>
                          <a:off x="0" y="0"/>
                          <a:ext cx="581025" cy="0"/>
                        </a:xfrm>
                        <a:prstGeom prst="straightConnector1">
                          <a:avLst/>
                        </a:prstGeom>
                        <a:ln w="6350">
                          <a:tailEnd type="stealt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2B618086" id="Straight Arrow Connector 20" o:spid="_x0000_s1026" type="#_x0000_t32" style="position:absolute;margin-left:113.9pt;margin-top:163.05pt;width:45.75pt;height:0;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" strokecolor="black [3200]" strokeweight=".5pt">
                <v:stroke endarrow="classic"/>
                <v:shadow on="t" color="black" opacity="24903f" origin=",.5" offset="0,.55556mm"/>
              </v:shape>
            </w:pict>
          </mc:Fallback>
        </mc:AlternateContent>
      </w:r>
      <w:r>
        <w:rPr>
          <w:noProof/>
        </w:rPr>
        <mc:AlternateContent>
          <mc:Choice Requires="wps">
            <w:drawing>
              <wp:anchor distT="0" distB="0" distL="114300" distR="114300" simplePos="0" relativeHeight="251658247" behindDoc="0" locked="0" layoutInCell="1" allowOverlap="1" wp14:anchorId="0022F6D6" wp14:editId="58641F3F">
                <wp:simplePos x="0" y="0"/>
                <wp:positionH relativeFrom="column">
                  <wp:posOffset>2854325</wp:posOffset>
                </wp:positionH>
                <wp:positionV relativeFrom="paragraph">
                  <wp:posOffset>1381125</wp:posOffset>
                </wp:positionV>
                <wp:extent cx="0" cy="342900"/>
                <wp:effectExtent l="76200" t="0" r="76200" b="57150"/>
                <wp:wrapNone/>
                <wp:docPr id="23" name="Straight Arrow Connector 23"/>
                <wp:cNvGraphicFramePr/>
                <a:graphic xmlns:a="http://schemas.openxmlformats.org/drawingml/2006/main">
                  <a:graphicData uri="http://schemas.microsoft.com/office/word/2010/wordprocessingShape">
                    <wps:wsp>
                      <wps:cNvCnPr/>
                      <wps:spPr>
                        <a:xfrm>
                          <a:off x="0" y="0"/>
                          <a:ext cx="0" cy="342900"/>
                        </a:xfrm>
                        <a:prstGeom prst="straightConnector1">
                          <a:avLst/>
                        </a:prstGeom>
                        <a:ln w="6350">
                          <a:tailEnd type="stealt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62A1B0D" id="Straight Arrow Connector 23" o:spid="_x0000_s1026" type="#_x0000_t32" style="position:absolute;margin-left:224.75pt;margin-top:108.75pt;width:0;height:27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" strokecolor="black [3200]" strokeweight=".5pt">
                <v:stroke endarrow="classic"/>
                <v:shadow on="t" color="black" opacity="24903f" origin=",.5" offset="0,.55556mm"/>
              </v:shape>
            </w:pict>
          </mc:Fallback>
        </mc:AlternateContent>
      </w:r>
      <w:r>
        <w:rPr>
          <w:noProof/>
        </w:rPr>
        <mc:AlternateContent>
          <mc:Choice Requires="wps">
            <w:drawing>
              <wp:anchor distT="0" distB="0" distL="114300" distR="114300" simplePos="0" relativeHeight="251658243" behindDoc="0" locked="0" layoutInCell="1" allowOverlap="1" wp14:anchorId="140F93E0" wp14:editId="34A8AE06">
                <wp:simplePos x="0" y="0"/>
                <wp:positionH relativeFrom="column">
                  <wp:posOffset>2854325</wp:posOffset>
                </wp:positionH>
                <wp:positionV relativeFrom="paragraph">
                  <wp:posOffset>506730</wp:posOffset>
                </wp:positionV>
                <wp:extent cx="0" cy="236220"/>
                <wp:effectExtent l="76200" t="0" r="57150" b="49530"/>
                <wp:wrapNone/>
                <wp:docPr id="22" name="Straight Arrow Connector 22"/>
                <wp:cNvGraphicFramePr/>
                <a:graphic xmlns:a="http://schemas.openxmlformats.org/drawingml/2006/main">
                  <a:graphicData uri="http://schemas.microsoft.com/office/word/2010/wordprocessingShape">
                    <wps:wsp>
                      <wps:cNvCnPr/>
                      <wps:spPr>
                        <a:xfrm>
                          <a:off x="0" y="0"/>
                          <a:ext cx="0" cy="236220"/>
                        </a:xfrm>
                        <a:prstGeom prst="straightConnector1">
                          <a:avLst/>
                        </a:prstGeom>
                        <a:ln w="6350">
                          <a:tailEnd type="stealt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06628E0" id="Straight Arrow Connector 22" o:spid="_x0000_s1026" type="#_x0000_t32" style="position:absolute;margin-left:224.75pt;margin-top:39.9pt;width:0;height:18.6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" strokecolor="black [3200]" strokeweight=".5pt">
                <v:stroke endarrow="classic"/>
                <v:shadow on="t" color="black" opacity="24903f" origin=",.5" offset="0,.55556mm"/>
              </v:shape>
            </w:pict>
          </mc:Fallback>
        </mc:AlternateContent>
      </w:r>
      <w:r>
        <w:rPr>
          <w:noProof/>
        </w:rPr>
        <mc:AlternateContent>
          <mc:Choice Requires="wps">
            <w:drawing>
              <wp:anchor distT="0" distB="0" distL="114300" distR="114300" simplePos="0" relativeHeight="251658250" behindDoc="0" locked="0" layoutInCell="1" allowOverlap="1" wp14:anchorId="4628F81E" wp14:editId="2CC36BDE">
                <wp:simplePos x="0" y="0"/>
                <wp:positionH relativeFrom="column">
                  <wp:posOffset>2061845</wp:posOffset>
                </wp:positionH>
                <wp:positionV relativeFrom="paragraph">
                  <wp:posOffset>171450</wp:posOffset>
                </wp:positionV>
                <wp:extent cx="1584960" cy="342900"/>
                <wp:effectExtent l="0" t="0" r="15240" b="19050"/>
                <wp:wrapNone/>
                <wp:docPr id="18" name="Rectangle: Rounded Corners 18"/>
                <wp:cNvGraphicFramePr/>
                <a:graphic xmlns:a="http://schemas.openxmlformats.org/drawingml/2006/main">
                  <a:graphicData uri="http://schemas.microsoft.com/office/word/2010/wordprocessingShape">
                    <wps:wsp>
                      <wps:cNvSpPr/>
                      <wps:spPr>
                        <a:xfrm>
                          <a:off x="0" y="0"/>
                          <a:ext cx="1584960" cy="342900"/>
                        </a:xfrm>
                        <a:prstGeom prst="round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5EFD0C87" w14:textId="77777777" w:rsidR="008A7695" w:rsidRPr="00643182" w:rsidRDefault="008A7695" w:rsidP="008A7695">
                            <w:pPr>
                              <w:spacing w:after="0"/>
                              <w:jc w:val="center"/>
                              <w:rPr>
                                <w:rFonts w:cs="Arial"/>
                                <w:b/>
                                <w:bCs/>
                                <w:sz w:val="28"/>
                                <w:szCs w:val="28"/>
                              </w:rPr>
                            </w:pPr>
                            <w:r w:rsidRPr="00643182">
                              <w:rPr>
                                <w:rFonts w:cs="Arial"/>
                                <w:b/>
                                <w:bCs/>
                                <w:sz w:val="28"/>
                                <w:szCs w:val="28"/>
                              </w:rPr>
                              <w:t>Perinatal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8F81E" id="Rectangle: Rounded Corners 18" o:spid="_x0000_s1064" style="position:absolute;margin-left:162.35pt;margin-top:13.5pt;width:124.8pt;height: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" fillcolor="#f2f2f2 [3052]" strokecolor="black [3040]">
                <v:shadow on="t" color="black" opacity="24903f" origin=",.5" offset="0,.55556mm"/>
                <v:textbox>
                  <w:txbxContent>
                    <w:p w14:paraId="5EFD0C87" w14:textId="77777777" w:rsidR="008A7695" w:rsidRPr="00643182" w:rsidRDefault="008A7695" w:rsidP="008A7695">
                      <w:pPr>
                        <w:spacing w:after="0"/>
                        <w:jc w:val="center"/>
                        <w:rPr>
                          <w:rFonts w:cs="Arial"/>
                          <w:b/>
                          <w:bCs/>
                          <w:sz w:val="28"/>
                          <w:szCs w:val="28"/>
                        </w:rPr>
                      </w:pPr>
                      <w:r w:rsidRPr="00643182">
                        <w:rPr>
                          <w:rFonts w:cs="Arial"/>
                          <w:b/>
                          <w:bCs/>
                          <w:sz w:val="28"/>
                          <w:szCs w:val="28"/>
                        </w:rPr>
                        <w:t>Perinatal death</w:t>
                      </w:r>
                    </w:p>
                  </w:txbxContent>
                </v:textbox>
              </v:roundrect>
            </w:pict>
          </mc:Fallback>
        </mc:AlternateContent>
      </w:r>
      <w:r>
        <w:rPr>
          <w:noProof/>
        </w:rPr>
        <mc:AlternateContent>
          <mc:Choice Requires="wps">
            <w:drawing>
              <wp:anchor distT="0" distB="0" distL="114300" distR="114300" simplePos="0" relativeHeight="251658264" behindDoc="0" locked="0" layoutInCell="1" allowOverlap="1" wp14:anchorId="600DFCBD" wp14:editId="13A5B761">
                <wp:simplePos x="0" y="0"/>
                <wp:positionH relativeFrom="column">
                  <wp:posOffset>3684270</wp:posOffset>
                </wp:positionH>
                <wp:positionV relativeFrom="paragraph">
                  <wp:posOffset>1098550</wp:posOffset>
                </wp:positionV>
                <wp:extent cx="464820" cy="0"/>
                <wp:effectExtent l="38100" t="76200" r="11430" b="95250"/>
                <wp:wrapNone/>
                <wp:docPr id="19" name="Straight Arrow Connector 19"/>
                <wp:cNvGraphicFramePr/>
                <a:graphic xmlns:a="http://schemas.openxmlformats.org/drawingml/2006/main">
                  <a:graphicData uri="http://schemas.microsoft.com/office/word/2010/wordprocessingShape">
                    <wps:wsp>
                      <wps:cNvCnPr/>
                      <wps:spPr>
                        <a:xfrm>
                          <a:off x="0" y="0"/>
                          <a:ext cx="464820" cy="0"/>
                        </a:xfrm>
                        <a:prstGeom prst="straightConnector1">
                          <a:avLst/>
                        </a:prstGeom>
                        <a:ln w="6350">
                          <a:headEnd type="stealth"/>
                          <a:tailEnd type="stealt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63A5B46" id="Straight Arrow Connector 19" o:spid="_x0000_s1026" type="#_x0000_t32" style="position:absolute;margin-left:290.1pt;margin-top:86.5pt;width:36.6pt;height:0;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" strokecolor="black [3200]" strokeweight=".5pt">
                <v:stroke startarrow="classic" endarrow="classic"/>
                <v:shadow on="t" color="black" opacity="24903f" origin=",.5" offset="0,.55556mm"/>
              </v:shape>
            </w:pict>
          </mc:Fallback>
        </mc:AlternateContent>
      </w:r>
      <w:r>
        <w:rPr>
          <w:noProof/>
        </w:rPr>
        <mc:AlternateContent>
          <mc:Choice Requires="wps">
            <w:drawing>
              <wp:anchor distT="0" distB="0" distL="114300" distR="114300" simplePos="0" relativeHeight="251658256" behindDoc="0" locked="0" layoutInCell="1" allowOverlap="1" wp14:anchorId="5778BA1C" wp14:editId="4D88B503">
                <wp:simplePos x="0" y="0"/>
                <wp:positionH relativeFrom="column">
                  <wp:posOffset>-67310</wp:posOffset>
                </wp:positionH>
                <wp:positionV relativeFrom="paragraph">
                  <wp:posOffset>870585</wp:posOffset>
                </wp:positionV>
                <wp:extent cx="1584960" cy="457200"/>
                <wp:effectExtent l="0" t="0" r="15240" b="19050"/>
                <wp:wrapNone/>
                <wp:docPr id="21" name="Rectangle: Rounded Corners 21"/>
                <wp:cNvGraphicFramePr/>
                <a:graphic xmlns:a="http://schemas.openxmlformats.org/drawingml/2006/main">
                  <a:graphicData uri="http://schemas.microsoft.com/office/word/2010/wordprocessingShape">
                    <wps:wsp>
                      <wps:cNvSpPr/>
                      <wps:spPr>
                        <a:xfrm>
                          <a:off x="0" y="0"/>
                          <a:ext cx="1584960" cy="457200"/>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3CC05CBA" w14:textId="77777777" w:rsidR="008A7695" w:rsidRPr="0085458D" w:rsidRDefault="008A7695" w:rsidP="008A7695">
                            <w:pPr>
                              <w:spacing w:after="0"/>
                              <w:jc w:val="center"/>
                              <w:rPr>
                                <w:rFonts w:cs="Arial"/>
                                <w:sz w:val="20"/>
                                <w:szCs w:val="20"/>
                              </w:rPr>
                            </w:pPr>
                            <w:r>
                              <w:rPr>
                                <w:rFonts w:cs="Arial"/>
                                <w:sz w:val="20"/>
                                <w:szCs w:val="20"/>
                              </w:rPr>
                              <w:t>Liaison with and support for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8BA1C" id="Rectangle: Rounded Corners 21" o:spid="_x0000_s1065" style="position:absolute;margin-left:-5.3pt;margin-top:68.55pt;width:124.8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" fillcolor="#f2f2f2 [3052]" strokecolor="windowText" strokeweight=".5pt">
                <v:stroke joinstyle="miter"/>
                <v:textbox>
                  <w:txbxContent>
                    <w:p w14:paraId="3CC05CBA" w14:textId="77777777" w:rsidR="008A7695" w:rsidRPr="0085458D" w:rsidRDefault="008A7695" w:rsidP="008A7695">
                      <w:pPr>
                        <w:spacing w:after="0"/>
                        <w:jc w:val="center"/>
                        <w:rPr>
                          <w:rFonts w:cs="Arial"/>
                          <w:sz w:val="20"/>
                          <w:szCs w:val="20"/>
                        </w:rPr>
                      </w:pPr>
                      <w:r>
                        <w:rPr>
                          <w:rFonts w:cs="Arial"/>
                          <w:sz w:val="20"/>
                          <w:szCs w:val="20"/>
                        </w:rPr>
                        <w:t>Liaison with and support for family</w:t>
                      </w:r>
                    </w:p>
                  </w:txbxContent>
                </v:textbox>
              </v:roundrect>
            </w:pict>
          </mc:Fallback>
        </mc:AlternateContent>
      </w:r>
      <w:r>
        <w:rPr>
          <w:noProof/>
        </w:rPr>
        <mc:AlternateContent>
          <mc:Choice Requires="wps">
            <w:drawing>
              <wp:anchor distT="0" distB="0" distL="114300" distR="114300" simplePos="0" relativeHeight="251658263" behindDoc="0" locked="0" layoutInCell="1" allowOverlap="1" wp14:anchorId="10952310" wp14:editId="446ED0AA">
                <wp:simplePos x="0" y="0"/>
                <wp:positionH relativeFrom="column">
                  <wp:posOffset>1553210</wp:posOffset>
                </wp:positionH>
                <wp:positionV relativeFrom="paragraph">
                  <wp:posOffset>1098550</wp:posOffset>
                </wp:positionV>
                <wp:extent cx="472440" cy="0"/>
                <wp:effectExtent l="38100" t="76200" r="22860" b="95250"/>
                <wp:wrapNone/>
                <wp:docPr id="24" name="Straight Arrow Connector 24"/>
                <wp:cNvGraphicFramePr/>
                <a:graphic xmlns:a="http://schemas.openxmlformats.org/drawingml/2006/main">
                  <a:graphicData uri="http://schemas.microsoft.com/office/word/2010/wordprocessingShape">
                    <wps:wsp>
                      <wps:cNvCnPr/>
                      <wps:spPr>
                        <a:xfrm>
                          <a:off x="0" y="0"/>
                          <a:ext cx="472440" cy="0"/>
                        </a:xfrm>
                        <a:prstGeom prst="straightConnector1">
                          <a:avLst/>
                        </a:prstGeom>
                        <a:ln w="6350">
                          <a:headEnd type="stealth"/>
                          <a:tailEnd type="stealt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6D56BD5" id="Straight Arrow Connector 24" o:spid="_x0000_s1026" type="#_x0000_t32" style="position:absolute;margin-left:122.3pt;margin-top:86.5pt;width:37.2pt;height:0;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" strokecolor="black [3200]" strokeweight=".5pt">
                <v:stroke startarrow="classic" endarrow="classic"/>
                <v:shadow on="t" color="black" opacity="24903f" origin=",.5" offset="0,.55556mm"/>
              </v:shape>
            </w:pict>
          </mc:Fallback>
        </mc:AlternateContent>
      </w:r>
      <w:r>
        <w:rPr>
          <w:noProof/>
        </w:rPr>
        <mc:AlternateContent>
          <mc:Choice Requires="wps">
            <w:drawing>
              <wp:anchor distT="0" distB="0" distL="114300" distR="114300" simplePos="0" relativeHeight="251658251" behindDoc="0" locked="0" layoutInCell="1" allowOverlap="1" wp14:anchorId="6A47D7E8" wp14:editId="6132CA6D">
                <wp:simplePos x="0" y="0"/>
                <wp:positionH relativeFrom="column">
                  <wp:posOffset>2066925</wp:posOffset>
                </wp:positionH>
                <wp:positionV relativeFrom="paragraph">
                  <wp:posOffset>785495</wp:posOffset>
                </wp:positionV>
                <wp:extent cx="1584960" cy="632460"/>
                <wp:effectExtent l="0" t="0" r="15240" b="15240"/>
                <wp:wrapNone/>
                <wp:docPr id="26" name="Rectangle: Rounded Corners 26"/>
                <wp:cNvGraphicFramePr/>
                <a:graphic xmlns:a="http://schemas.openxmlformats.org/drawingml/2006/main">
                  <a:graphicData uri="http://schemas.microsoft.com/office/word/2010/wordprocessingShape">
                    <wps:wsp>
                      <wps:cNvSpPr/>
                      <wps:spPr>
                        <a:xfrm>
                          <a:off x="0" y="0"/>
                          <a:ext cx="1584960" cy="632460"/>
                        </a:xfrm>
                        <a:prstGeom prst="roundRect">
                          <a:avLst/>
                        </a:prstGeom>
                        <a:solidFill>
                          <a:schemeClr val="bg1">
                            <a:lumMod val="95000"/>
                          </a:schemeClr>
                        </a:solidFill>
                        <a:ln w="6350" cap="flat" cmpd="sng" algn="ctr">
                          <a:solidFill>
                            <a:sysClr val="windowText" lastClr="000000"/>
                          </a:solidFill>
                          <a:prstDash val="solid"/>
                          <a:miter lim="800000"/>
                        </a:ln>
                        <a:effectLst/>
                      </wps:spPr>
                      <wps:txbx>
                        <w:txbxContent>
                          <w:p w14:paraId="5E9CE6F6" w14:textId="77777777" w:rsidR="008A7695" w:rsidRPr="0085458D" w:rsidRDefault="008A7695" w:rsidP="008A7695">
                            <w:pPr>
                              <w:spacing w:after="0"/>
                              <w:jc w:val="center"/>
                              <w:rPr>
                                <w:rFonts w:cs="Arial"/>
                                <w:sz w:val="20"/>
                                <w:szCs w:val="20"/>
                              </w:rPr>
                            </w:pPr>
                            <w:r w:rsidRPr="0085458D">
                              <w:rPr>
                                <w:rFonts w:cs="Arial"/>
                                <w:sz w:val="20"/>
                                <w:szCs w:val="20"/>
                              </w:rPr>
                              <w:t>Clinician/LMC completes rapid reporting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7D7E8" id="Rectangle: Rounded Corners 26" o:spid="_x0000_s1066" style="position:absolute;margin-left:162.75pt;margin-top:61.85pt;width:124.8pt;height:49.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" fillcolor="#f2f2f2 [3052]" strokecolor="windowText" strokeweight=".5pt">
                <v:stroke joinstyle="miter"/>
                <v:textbox>
                  <w:txbxContent>
                    <w:p w14:paraId="5E9CE6F6" w14:textId="77777777" w:rsidR="008A7695" w:rsidRPr="0085458D" w:rsidRDefault="008A7695" w:rsidP="008A7695">
                      <w:pPr>
                        <w:spacing w:after="0"/>
                        <w:jc w:val="center"/>
                        <w:rPr>
                          <w:rFonts w:cs="Arial"/>
                          <w:sz w:val="20"/>
                          <w:szCs w:val="20"/>
                        </w:rPr>
                      </w:pPr>
                      <w:r w:rsidRPr="0085458D">
                        <w:rPr>
                          <w:rFonts w:cs="Arial"/>
                          <w:sz w:val="20"/>
                          <w:szCs w:val="20"/>
                        </w:rPr>
                        <w:t>Clinician/LMC completes rapid reporting form</w:t>
                      </w:r>
                    </w:p>
                  </w:txbxContent>
                </v:textbox>
              </v:roundrect>
            </w:pict>
          </mc:Fallback>
        </mc:AlternateContent>
      </w:r>
      <w:r>
        <w:rPr>
          <w:noProof/>
        </w:rPr>
        <mc:AlternateContent>
          <mc:Choice Requires="wps">
            <w:drawing>
              <wp:anchor distT="0" distB="0" distL="114300" distR="114300" simplePos="0" relativeHeight="251658245" behindDoc="0" locked="0" layoutInCell="1" allowOverlap="1" wp14:anchorId="748CAE0E" wp14:editId="53FE55F5">
                <wp:simplePos x="0" y="0"/>
                <wp:positionH relativeFrom="column">
                  <wp:posOffset>2854325</wp:posOffset>
                </wp:positionH>
                <wp:positionV relativeFrom="paragraph">
                  <wp:posOffset>2358390</wp:posOffset>
                </wp:positionV>
                <wp:extent cx="0" cy="468000"/>
                <wp:effectExtent l="76200" t="0" r="57150" b="65405"/>
                <wp:wrapNone/>
                <wp:docPr id="29" name="Straight Arrow Connector 29"/>
                <wp:cNvGraphicFramePr/>
                <a:graphic xmlns:a="http://schemas.openxmlformats.org/drawingml/2006/main">
                  <a:graphicData uri="http://schemas.microsoft.com/office/word/2010/wordprocessingShape">
                    <wps:wsp>
                      <wps:cNvCnPr/>
                      <wps:spPr>
                        <a:xfrm>
                          <a:off x="0" y="0"/>
                          <a:ext cx="0" cy="468000"/>
                        </a:xfrm>
                        <a:prstGeom prst="straightConnector1">
                          <a:avLst/>
                        </a:prstGeom>
                        <a:ln w="6350">
                          <a:tailEnd type="stealt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31C19" id="Straight Arrow Connector 29" o:spid="_x0000_s1026" type="#_x0000_t32" style="position:absolute;margin-left:224.75pt;margin-top:185.7pt;width:0;height:36.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" strokecolor="black [3200]" strokeweight=".5pt">
                <v:stroke endarrow="classic"/>
                <v:shadow on="t" color="black" opacity="24903f" origin=",.5" offset="0,.55556mm"/>
              </v:shape>
            </w:pict>
          </mc:Fallback>
        </mc:AlternateContent>
      </w:r>
    </w:p>
    <w:p w14:paraId="0A935235" w14:textId="262F3385" w:rsidR="00B334E6" w:rsidRPr="00B334E6" w:rsidRDefault="00B334E6" w:rsidP="00B334E6"/>
    <w:p w14:paraId="5D78D556" w14:textId="77777777" w:rsidR="008A7695" w:rsidRDefault="008A7695" w:rsidP="009E7CD2">
      <w:pPr>
        <w:pStyle w:val="Heading3"/>
      </w:pPr>
      <w:bookmarkStart w:id="126" w:name="_Toc119317630"/>
      <w:bookmarkStart w:id="127" w:name="_Toc119317845"/>
      <w:bookmarkStart w:id="128" w:name="_Toc119317921"/>
    </w:p>
    <w:p w14:paraId="4B86470E" w14:textId="77777777" w:rsidR="008A7695" w:rsidRDefault="008A7695" w:rsidP="009E7CD2">
      <w:pPr>
        <w:pStyle w:val="Heading3"/>
      </w:pPr>
    </w:p>
    <w:p w14:paraId="1259DCA1" w14:textId="77777777" w:rsidR="008A7695" w:rsidRDefault="008A7695" w:rsidP="009E7CD2">
      <w:pPr>
        <w:pStyle w:val="Heading3"/>
      </w:pPr>
    </w:p>
    <w:p w14:paraId="56818E80" w14:textId="77777777" w:rsidR="008A7695" w:rsidRDefault="008A7695" w:rsidP="009E7CD2">
      <w:pPr>
        <w:pStyle w:val="Heading3"/>
      </w:pPr>
    </w:p>
    <w:p w14:paraId="3B89751F" w14:textId="77777777" w:rsidR="008A7695" w:rsidRDefault="008A7695" w:rsidP="009E7CD2">
      <w:pPr>
        <w:pStyle w:val="Heading3"/>
      </w:pPr>
    </w:p>
    <w:p w14:paraId="0DF2BE5D" w14:textId="77777777" w:rsidR="008A7695" w:rsidRDefault="008A7695" w:rsidP="009E7CD2">
      <w:pPr>
        <w:pStyle w:val="Heading3"/>
      </w:pPr>
    </w:p>
    <w:p w14:paraId="53D900C1" w14:textId="77777777" w:rsidR="008A7695" w:rsidRDefault="008A7695" w:rsidP="009E7CD2">
      <w:pPr>
        <w:pStyle w:val="Heading3"/>
      </w:pPr>
    </w:p>
    <w:p w14:paraId="35AF8251" w14:textId="77777777" w:rsidR="008A7695" w:rsidRDefault="008A7695" w:rsidP="009E7CD2">
      <w:pPr>
        <w:pStyle w:val="Heading3"/>
      </w:pPr>
    </w:p>
    <w:p w14:paraId="5D5561D8" w14:textId="77777777" w:rsidR="008A7695" w:rsidRDefault="008A7695" w:rsidP="009E7CD2">
      <w:pPr>
        <w:pStyle w:val="Heading3"/>
      </w:pPr>
    </w:p>
    <w:p w14:paraId="621A16BF" w14:textId="77777777" w:rsidR="008A7695" w:rsidRDefault="008A7695" w:rsidP="009E7CD2">
      <w:pPr>
        <w:pStyle w:val="Heading3"/>
      </w:pPr>
    </w:p>
    <w:p w14:paraId="56D25B57" w14:textId="77777777" w:rsidR="008A7695" w:rsidRDefault="008A7695" w:rsidP="009E7CD2">
      <w:pPr>
        <w:pStyle w:val="Heading3"/>
      </w:pPr>
    </w:p>
    <w:p w14:paraId="2AF135AC" w14:textId="77777777" w:rsidR="008A7695" w:rsidRDefault="008A7695" w:rsidP="009E7CD2">
      <w:pPr>
        <w:pStyle w:val="Heading3"/>
      </w:pPr>
    </w:p>
    <w:p w14:paraId="05E172D1" w14:textId="77777777" w:rsidR="008A7695" w:rsidRDefault="008A7695" w:rsidP="009E7CD2">
      <w:pPr>
        <w:pStyle w:val="Heading3"/>
      </w:pPr>
    </w:p>
    <w:p w14:paraId="21019FB4" w14:textId="77777777" w:rsidR="008A7695" w:rsidRDefault="008A7695" w:rsidP="009E7CD2">
      <w:pPr>
        <w:pStyle w:val="Heading3"/>
      </w:pPr>
    </w:p>
    <w:p w14:paraId="1EF6FDA4" w14:textId="77777777" w:rsidR="008A7695" w:rsidRDefault="008A7695" w:rsidP="009E7CD2">
      <w:pPr>
        <w:pStyle w:val="Heading3"/>
      </w:pPr>
    </w:p>
    <w:p w14:paraId="1CD61425" w14:textId="56589272" w:rsidR="005025AD" w:rsidRPr="009E7CD2" w:rsidRDefault="005025AD" w:rsidP="009E7CD2">
      <w:pPr>
        <w:pStyle w:val="Heading3"/>
      </w:pPr>
      <w:bookmarkStart w:id="129" w:name="_Toc119407147"/>
      <w:r w:rsidRPr="009E7CD2">
        <w:t>NE</w:t>
      </w:r>
      <w:bookmarkEnd w:id="126"/>
      <w:bookmarkEnd w:id="127"/>
      <w:bookmarkEnd w:id="128"/>
      <w:bookmarkEnd w:id="129"/>
    </w:p>
    <w:bookmarkEnd w:id="109"/>
    <w:bookmarkEnd w:id="110"/>
    <w:p w14:paraId="5BCF98DF" w14:textId="77777777" w:rsidR="005025AD" w:rsidRPr="009F63CE" w:rsidRDefault="005025AD" w:rsidP="005025AD">
      <w:pPr>
        <w:rPr>
          <w:rFonts w:eastAsia="Futura Hv BT" w:cs="Arial"/>
          <w:iCs/>
          <w:szCs w:val="24"/>
        </w:rPr>
      </w:pPr>
      <w:r w:rsidRPr="009F63CE">
        <w:rPr>
          <w:rFonts w:eastAsia="Futura Hv BT" w:cs="Arial"/>
          <w:iCs/>
          <w:szCs w:val="24"/>
        </w:rPr>
        <w:t xml:space="preserve">Cases of NE were initially identified with the assistance of the New Zealand Paediatric Surveillance Unit and the collection of data facilitated by paediatricians, LMCs and the national coordination service of the PMMRC, as described in detail in the fifth </w:t>
      </w:r>
      <w:r w:rsidR="004F7A0B" w:rsidRPr="009F63CE">
        <w:rPr>
          <w:rFonts w:cs="Arial"/>
        </w:rPr>
        <w:t>PMMRC</w:t>
      </w:r>
      <w:r w:rsidR="004F7A0B" w:rsidRPr="009F63CE">
        <w:rPr>
          <w:rFonts w:eastAsia="Futura Hv BT" w:cs="Arial"/>
          <w:iCs/>
          <w:szCs w:val="24"/>
        </w:rPr>
        <w:t xml:space="preserve"> </w:t>
      </w:r>
      <w:r w:rsidRPr="009F63CE">
        <w:rPr>
          <w:rFonts w:eastAsia="Futura Hv BT" w:cs="Arial"/>
          <w:iCs/>
          <w:szCs w:val="24"/>
        </w:rPr>
        <w:t>report (</w:t>
      </w:r>
      <w:hyperlink r:id="rId36" w:history="1">
        <w:r w:rsidRPr="009F63CE">
          <w:rPr>
            <w:rStyle w:val="Hyperlink"/>
            <w:rFonts w:eastAsia="Futura Hv BT" w:cs="Arial"/>
            <w:iCs/>
            <w:color w:val="auto"/>
            <w:szCs w:val="24"/>
            <w:u w:val="none"/>
          </w:rPr>
          <w:t>PMMRC 2011</w:t>
        </w:r>
      </w:hyperlink>
      <w:r w:rsidRPr="009F63CE">
        <w:rPr>
          <w:rFonts w:eastAsia="Futura Hv BT" w:cs="Arial"/>
          <w:iCs/>
          <w:szCs w:val="24"/>
        </w:rPr>
        <w:t xml:space="preserve">). Since 2012, cases have been notified by key clinicians in neonatal and special care units and the PMMRC local coordinators. </w:t>
      </w:r>
    </w:p>
    <w:p w14:paraId="46287D27" w14:textId="1CB65B7C" w:rsidR="00525E4D" w:rsidRPr="009F63CE" w:rsidRDefault="002F576F" w:rsidP="00525E4D">
      <w:pPr>
        <w:rPr>
          <w:rFonts w:cs="Arial"/>
        </w:rPr>
      </w:pPr>
      <w:r>
        <w:rPr>
          <w:rFonts w:eastAsia="Futura Hv BT" w:cs="Arial"/>
          <w:iCs/>
          <w:szCs w:val="24"/>
        </w:rPr>
        <w:t>From</w:t>
      </w:r>
      <w:r w:rsidR="00525E4D" w:rsidRPr="009F63CE">
        <w:rPr>
          <w:rFonts w:eastAsia="Futura Hv BT" w:cs="Arial"/>
          <w:iCs/>
          <w:szCs w:val="24"/>
        </w:rPr>
        <w:t xml:space="preserve"> 2018 </w:t>
      </w:r>
      <w:r>
        <w:rPr>
          <w:rFonts w:eastAsia="Futura Hv BT" w:cs="Arial"/>
          <w:iCs/>
          <w:szCs w:val="24"/>
        </w:rPr>
        <w:t>(</w:t>
      </w:r>
      <w:r w:rsidR="00525E4D" w:rsidRPr="009F63CE">
        <w:rPr>
          <w:rFonts w:eastAsia="Futura Hv BT" w:cs="Arial"/>
          <w:iCs/>
          <w:szCs w:val="24"/>
        </w:rPr>
        <w:t xml:space="preserve">12th </w:t>
      </w:r>
      <w:r w:rsidR="004F7A0B" w:rsidRPr="009F63CE">
        <w:rPr>
          <w:rFonts w:cs="Arial"/>
        </w:rPr>
        <w:t>PMMRC</w:t>
      </w:r>
      <w:r w:rsidR="004F7A0B" w:rsidRPr="009F63CE">
        <w:rPr>
          <w:rFonts w:eastAsia="Futura Hv BT" w:cs="Arial"/>
          <w:iCs/>
          <w:szCs w:val="24"/>
        </w:rPr>
        <w:t xml:space="preserve"> </w:t>
      </w:r>
      <w:r w:rsidR="00525E4D" w:rsidRPr="009F63CE">
        <w:rPr>
          <w:rFonts w:eastAsia="Futura Hv BT" w:cs="Arial"/>
          <w:iCs/>
          <w:szCs w:val="24"/>
        </w:rPr>
        <w:t>report</w:t>
      </w:r>
      <w:r>
        <w:rPr>
          <w:rFonts w:eastAsia="Futura Hv BT" w:cs="Arial"/>
          <w:iCs/>
          <w:szCs w:val="24"/>
        </w:rPr>
        <w:t>)</w:t>
      </w:r>
      <w:r w:rsidR="00525E4D" w:rsidRPr="009F63CE">
        <w:rPr>
          <w:rFonts w:eastAsia="Futura Hv BT" w:cs="Arial"/>
          <w:iCs/>
          <w:szCs w:val="24"/>
        </w:rPr>
        <w:t xml:space="preserve">, </w:t>
      </w:r>
      <w:r w:rsidR="00525E4D" w:rsidRPr="009F63CE">
        <w:rPr>
          <w:rFonts w:cs="Arial"/>
        </w:rPr>
        <w:t>the numerator</w:t>
      </w:r>
      <w:r w:rsidR="00BC67EF" w:rsidRPr="009F63CE">
        <w:rPr>
          <w:rFonts w:cs="Arial"/>
        </w:rPr>
        <w:t xml:space="preserve"> </w:t>
      </w:r>
      <w:r w:rsidR="009F63CE" w:rsidRPr="009F63CE">
        <w:rPr>
          <w:rFonts w:cs="Arial"/>
        </w:rPr>
        <w:t>data set</w:t>
      </w:r>
      <w:r w:rsidR="00525E4D" w:rsidRPr="009F63CE">
        <w:rPr>
          <w:rFonts w:cs="Arial"/>
        </w:rPr>
        <w:t xml:space="preserve"> of babies with </w:t>
      </w:r>
      <w:r w:rsidR="00CC7DA4" w:rsidRPr="009F63CE">
        <w:rPr>
          <w:rFonts w:cs="Arial"/>
        </w:rPr>
        <w:t>NE</w:t>
      </w:r>
      <w:r w:rsidR="00525E4D" w:rsidRPr="009F63CE">
        <w:rPr>
          <w:rFonts w:cs="Arial"/>
        </w:rPr>
        <w:t xml:space="preserve"> </w:t>
      </w:r>
      <w:r w:rsidR="00BD30D6">
        <w:rPr>
          <w:rFonts w:cs="Arial"/>
        </w:rPr>
        <w:t>w</w:t>
      </w:r>
      <w:r>
        <w:rPr>
          <w:rFonts w:cs="Arial"/>
        </w:rPr>
        <w:t xml:space="preserve">as </w:t>
      </w:r>
      <w:r w:rsidR="00525E4D" w:rsidRPr="009F63CE">
        <w:rPr>
          <w:rFonts w:cs="Arial"/>
        </w:rPr>
        <w:t xml:space="preserve">merged with the MAT denominator </w:t>
      </w:r>
      <w:r w:rsidR="009F63CE" w:rsidRPr="009F63CE">
        <w:rPr>
          <w:rFonts w:cs="Arial"/>
        </w:rPr>
        <w:t>data set</w:t>
      </w:r>
      <w:r w:rsidR="00525E4D" w:rsidRPr="009F63CE">
        <w:rPr>
          <w:rFonts w:cs="Arial"/>
        </w:rPr>
        <w:t xml:space="preserve"> so that compatible data could be used for analyses where there was a potential issue of numerator</w:t>
      </w:r>
      <w:r w:rsidR="00CC7DA4" w:rsidRPr="009F63CE">
        <w:rPr>
          <w:rFonts w:cs="Arial"/>
        </w:rPr>
        <w:t>–</w:t>
      </w:r>
      <w:r w:rsidR="00525E4D" w:rsidRPr="009F63CE">
        <w:rPr>
          <w:rFonts w:cs="Arial"/>
        </w:rPr>
        <w:t xml:space="preserve">denominator bias. The development of this amended numerator </w:t>
      </w:r>
      <w:r w:rsidR="009F63CE" w:rsidRPr="009F63CE">
        <w:rPr>
          <w:rFonts w:cs="Arial"/>
        </w:rPr>
        <w:t>data set</w:t>
      </w:r>
      <w:r w:rsidR="00525E4D" w:rsidRPr="009F63CE">
        <w:rPr>
          <w:rFonts w:cs="Arial"/>
        </w:rPr>
        <w:t xml:space="preserve"> is described below under</w:t>
      </w:r>
      <w:r w:rsidR="00D544F3" w:rsidRPr="009F63CE">
        <w:rPr>
          <w:rFonts w:cs="Arial"/>
        </w:rPr>
        <w:t xml:space="preserve"> ‘</w:t>
      </w:r>
      <w:r w:rsidR="00D544F3" w:rsidRPr="009F63CE">
        <w:rPr>
          <w:rFonts w:cs="Arial"/>
        </w:rPr>
        <w:fldChar w:fldCharType="begin"/>
      </w:r>
      <w:r w:rsidR="00D544F3" w:rsidRPr="009F63CE">
        <w:rPr>
          <w:rFonts w:cs="Arial"/>
        </w:rPr>
        <w:instrText xml:space="preserve"> REF _Ref480555972 \h </w:instrText>
      </w:r>
      <w:r w:rsidR="000F3AC7" w:rsidRPr="009F63CE">
        <w:rPr>
          <w:rFonts w:cs="Arial"/>
        </w:rPr>
        <w:instrText xml:space="preserve"> \* MERGEFORMAT </w:instrText>
      </w:r>
      <w:r w:rsidR="00D544F3" w:rsidRPr="009F63CE">
        <w:rPr>
          <w:rFonts w:cs="Arial"/>
        </w:rPr>
      </w:r>
      <w:r w:rsidR="00D544F3" w:rsidRPr="009F63CE">
        <w:rPr>
          <w:rFonts w:cs="Arial"/>
        </w:rPr>
        <w:fldChar w:fldCharType="separate"/>
      </w:r>
      <w:r w:rsidR="00025586" w:rsidRPr="00025586">
        <w:rPr>
          <w:rFonts w:cs="Arial"/>
        </w:rPr>
        <w:t>Compiling the MAT denominator and numerator data</w:t>
      </w:r>
      <w:r w:rsidR="00D544F3" w:rsidRPr="009F63CE">
        <w:rPr>
          <w:rFonts w:cs="Arial"/>
        </w:rPr>
        <w:fldChar w:fldCharType="end"/>
      </w:r>
      <w:r w:rsidR="00D544F3" w:rsidRPr="009F63CE">
        <w:rPr>
          <w:rFonts w:cs="Arial"/>
        </w:rPr>
        <w:t>’.</w:t>
      </w:r>
      <w:r w:rsidR="00525E4D" w:rsidRPr="009F63CE">
        <w:rPr>
          <w:rFonts w:cs="Arial"/>
        </w:rPr>
        <w:t xml:space="preserve"> </w:t>
      </w:r>
      <w:r w:rsidR="000F19A5" w:rsidRPr="009F63CE">
        <w:rPr>
          <w:rFonts w:cs="Arial"/>
        </w:rPr>
        <w:t xml:space="preserve">These methods have been replicated for the </w:t>
      </w:r>
      <w:r w:rsidR="003B6FAC">
        <w:rPr>
          <w:rFonts w:cs="Arial"/>
        </w:rPr>
        <w:t>15th</w:t>
      </w:r>
      <w:r w:rsidRPr="009F63CE">
        <w:rPr>
          <w:rFonts w:cs="Arial"/>
        </w:rPr>
        <w:t xml:space="preserve"> </w:t>
      </w:r>
      <w:r w:rsidR="000F19A5" w:rsidRPr="009F63CE">
        <w:rPr>
          <w:rFonts w:cs="Arial"/>
        </w:rPr>
        <w:t>report.</w:t>
      </w:r>
    </w:p>
    <w:p w14:paraId="1A56085A" w14:textId="77777777" w:rsidR="005025AD" w:rsidRPr="009E7CD2" w:rsidRDefault="005025AD" w:rsidP="009E7CD2">
      <w:pPr>
        <w:pStyle w:val="Heading3"/>
      </w:pPr>
      <w:bookmarkStart w:id="130" w:name="_Toc119317631"/>
      <w:bookmarkStart w:id="131" w:name="_Toc119317846"/>
      <w:bookmarkStart w:id="132" w:name="_Toc119317922"/>
      <w:bookmarkStart w:id="133" w:name="_Toc119407148"/>
      <w:r w:rsidRPr="009E7CD2">
        <w:lastRenderedPageBreak/>
        <w:t>Data validation</w:t>
      </w:r>
      <w:bookmarkEnd w:id="130"/>
      <w:bookmarkEnd w:id="131"/>
      <w:bookmarkEnd w:id="132"/>
      <w:bookmarkEnd w:id="133"/>
    </w:p>
    <w:p w14:paraId="35AF8291" w14:textId="47BC7526" w:rsidR="00AF4FF8" w:rsidRDefault="005025AD" w:rsidP="004C7490">
      <w:pPr>
        <w:rPr>
          <w:rFonts w:cs="Arial"/>
        </w:rPr>
      </w:pPr>
      <w:r w:rsidRPr="009F63CE">
        <w:rPr>
          <w:rFonts w:cs="Arial"/>
        </w:rPr>
        <w:t>Data are regularly validated using a standard set of queries to eliminate duplicate records, complete missing mother or baby information, clarify DHB of residence (where this is inconsistent with the given residential address) and rectify other inconsistencies. The PMMRC national coordinator reviews all perinatal death classifications and discusses complicated cases with a PMMRC member with expertise in PSANZ classifications.</w:t>
      </w:r>
    </w:p>
    <w:p w14:paraId="03613CAC" w14:textId="23E71989" w:rsidR="004C7490" w:rsidRPr="009F63CE" w:rsidRDefault="004C7490" w:rsidP="004C7490">
      <w:pPr>
        <w:rPr>
          <w:rFonts w:cs="Arial"/>
        </w:rPr>
      </w:pPr>
      <w:r w:rsidRPr="009F63CE">
        <w:rPr>
          <w:rFonts w:cs="Arial"/>
        </w:rPr>
        <w:t xml:space="preserve">At the end of each year, PMMRC local coordinators and key clinicians in special care and neonatal units are contacted to ensure the </w:t>
      </w:r>
      <w:r w:rsidR="002461B5" w:rsidRPr="009F63CE">
        <w:rPr>
          <w:rFonts w:cs="Arial"/>
        </w:rPr>
        <w:t>NE</w:t>
      </w:r>
      <w:r w:rsidR="009327A9" w:rsidRPr="009F63CE">
        <w:rPr>
          <w:rFonts w:cs="Arial"/>
        </w:rPr>
        <w:t xml:space="preserve"> data </w:t>
      </w:r>
      <w:r w:rsidRPr="009F63CE">
        <w:rPr>
          <w:rFonts w:cs="Arial"/>
        </w:rPr>
        <w:t>collection is complete.</w:t>
      </w:r>
    </w:p>
    <w:p w14:paraId="44615027" w14:textId="274816F6" w:rsidR="009327A9" w:rsidRPr="009F63CE" w:rsidRDefault="009955DC" w:rsidP="004C7490">
      <w:pPr>
        <w:rPr>
          <w:rFonts w:cs="Arial"/>
        </w:rPr>
      </w:pPr>
      <w:r>
        <w:rPr>
          <w:rFonts w:cs="Arial"/>
        </w:rPr>
        <w:t>Once</w:t>
      </w:r>
      <w:r w:rsidR="009327A9" w:rsidRPr="009F63CE">
        <w:rPr>
          <w:rFonts w:cs="Arial"/>
        </w:rPr>
        <w:t xml:space="preserve"> a year</w:t>
      </w:r>
      <w:r w:rsidR="00F82487">
        <w:rPr>
          <w:rFonts w:cs="Arial"/>
        </w:rPr>
        <w:t>,</w:t>
      </w:r>
      <w:r w:rsidR="009327A9" w:rsidRPr="009F63CE">
        <w:rPr>
          <w:rFonts w:cs="Arial"/>
        </w:rPr>
        <w:t xml:space="preserve"> the </w:t>
      </w:r>
      <w:r w:rsidR="00BE7DF4" w:rsidRPr="009F63CE">
        <w:rPr>
          <w:rFonts w:cs="Arial"/>
        </w:rPr>
        <w:t xml:space="preserve">Mortality Collection at the BDM </w:t>
      </w:r>
      <w:r w:rsidR="002742EF" w:rsidRPr="009F63CE">
        <w:rPr>
          <w:rFonts w:cs="Arial"/>
        </w:rPr>
        <w:t>r</w:t>
      </w:r>
      <w:r w:rsidR="00BE7DF4" w:rsidRPr="009F63CE">
        <w:rPr>
          <w:rFonts w:cs="Arial"/>
        </w:rPr>
        <w:t xml:space="preserve">egistry </w:t>
      </w:r>
      <w:r w:rsidR="009327A9" w:rsidRPr="009F63CE">
        <w:rPr>
          <w:rFonts w:cs="Arial"/>
        </w:rPr>
        <w:t xml:space="preserve">is </w:t>
      </w:r>
      <w:r w:rsidR="00F75B38" w:rsidRPr="009F63CE">
        <w:rPr>
          <w:rFonts w:cs="Arial"/>
        </w:rPr>
        <w:t>cross-referenced</w:t>
      </w:r>
      <w:r w:rsidR="009327A9" w:rsidRPr="009F63CE">
        <w:rPr>
          <w:rFonts w:cs="Arial"/>
        </w:rPr>
        <w:t xml:space="preserve"> to ensure </w:t>
      </w:r>
      <w:r w:rsidR="002461B5" w:rsidRPr="009F63CE">
        <w:rPr>
          <w:rFonts w:cs="Arial"/>
        </w:rPr>
        <w:t>m</w:t>
      </w:r>
      <w:r w:rsidR="009327A9" w:rsidRPr="009F63CE">
        <w:rPr>
          <w:rFonts w:cs="Arial"/>
        </w:rPr>
        <w:t xml:space="preserve">aternal </w:t>
      </w:r>
      <w:r w:rsidR="002461B5" w:rsidRPr="009F63CE">
        <w:rPr>
          <w:rFonts w:cs="Arial"/>
        </w:rPr>
        <w:t>m</w:t>
      </w:r>
      <w:r w:rsidR="009327A9" w:rsidRPr="009F63CE">
        <w:rPr>
          <w:rFonts w:cs="Arial"/>
        </w:rPr>
        <w:t>ortality data collection is complete.</w:t>
      </w:r>
      <w:r w:rsidR="00365A61" w:rsidRPr="009F63CE">
        <w:rPr>
          <w:rFonts w:cs="Arial"/>
        </w:rPr>
        <w:t xml:space="preserve"> </w:t>
      </w:r>
    </w:p>
    <w:p w14:paraId="303DE27C" w14:textId="77777777" w:rsidR="00BA3515" w:rsidRDefault="00BA3515">
      <w:pPr>
        <w:rPr>
          <w:rFonts w:eastAsiaTheme="majorEastAsia" w:cstheme="majorBidi"/>
          <w:b/>
          <w:color w:val="A9141A"/>
          <w:sz w:val="32"/>
          <w:szCs w:val="32"/>
        </w:rPr>
      </w:pPr>
      <w:r>
        <w:rPr>
          <w:b/>
          <w:color w:val="A9141A"/>
          <w:sz w:val="32"/>
          <w:szCs w:val="32"/>
        </w:rPr>
        <w:br w:type="page"/>
      </w:r>
    </w:p>
    <w:p w14:paraId="644CAE73" w14:textId="1CAAF041" w:rsidR="00525E4D" w:rsidRPr="00BA3515" w:rsidRDefault="00525E4D" w:rsidP="002D24D2">
      <w:pPr>
        <w:pStyle w:val="Heading1"/>
      </w:pPr>
      <w:bookmarkStart w:id="134" w:name="_Toc119407149"/>
      <w:r w:rsidRPr="00BA3515">
        <w:lastRenderedPageBreak/>
        <w:t xml:space="preserve">Denominator </w:t>
      </w:r>
      <w:r w:rsidR="00AC3547" w:rsidRPr="00BA3515">
        <w:t>Data</w:t>
      </w:r>
      <w:r w:rsidR="004F57DC">
        <w:t xml:space="preserve"> | </w:t>
      </w:r>
      <w:r w:rsidR="004F57DC" w:rsidRPr="004F57DC">
        <w:t>Raraunga Tauraro</w:t>
      </w:r>
      <w:bookmarkEnd w:id="134"/>
    </w:p>
    <w:bookmarkEnd w:id="9"/>
    <w:bookmarkEnd w:id="10"/>
    <w:p w14:paraId="6CCD5A26" w14:textId="57AD338E" w:rsidR="00F3641B" w:rsidRPr="009F63CE" w:rsidRDefault="00F3641B" w:rsidP="00F3641B">
      <w:pPr>
        <w:rPr>
          <w:rFonts w:cs="Arial"/>
        </w:rPr>
      </w:pPr>
      <w:r w:rsidRPr="009F63CE">
        <w:rPr>
          <w:rFonts w:cs="Arial"/>
        </w:rPr>
        <w:t xml:space="preserve">Prior to the 11th report (published 2017), PMMRC reporting of perinatal and maternal mortality and morbidity used the New Zealand birth registrations </w:t>
      </w:r>
      <w:r w:rsidR="009F63CE" w:rsidRPr="009F63CE">
        <w:rPr>
          <w:rFonts w:cs="Arial"/>
        </w:rPr>
        <w:t>data set</w:t>
      </w:r>
      <w:r w:rsidRPr="009F63CE">
        <w:rPr>
          <w:rFonts w:cs="Arial"/>
        </w:rPr>
        <w:t xml:space="preserve"> (</w:t>
      </w:r>
      <w:r w:rsidR="00692539" w:rsidRPr="009F63CE">
        <w:rPr>
          <w:rFonts w:cs="Arial"/>
        </w:rPr>
        <w:t xml:space="preserve">administered by </w:t>
      </w:r>
      <w:r w:rsidR="00AA79A4" w:rsidRPr="009F63CE">
        <w:rPr>
          <w:rFonts w:cs="Arial"/>
        </w:rPr>
        <w:t>BDM</w:t>
      </w:r>
      <w:r w:rsidRPr="009F63CE">
        <w:rPr>
          <w:rFonts w:cs="Arial"/>
        </w:rPr>
        <w:t>) as the denominator</w:t>
      </w:r>
      <w:r w:rsidR="00BC67EF" w:rsidRPr="009F63CE">
        <w:rPr>
          <w:rFonts w:cs="Arial"/>
        </w:rPr>
        <w:t xml:space="preserve"> </w:t>
      </w:r>
      <w:r w:rsidR="009F63CE" w:rsidRPr="009F63CE">
        <w:rPr>
          <w:rFonts w:cs="Arial"/>
        </w:rPr>
        <w:t>data set</w:t>
      </w:r>
      <w:r w:rsidRPr="009F63CE">
        <w:rPr>
          <w:rFonts w:cs="Arial"/>
        </w:rPr>
        <w:t xml:space="preserve">. In 2017 (11th report), the birth registration </w:t>
      </w:r>
      <w:r w:rsidR="009F63CE" w:rsidRPr="009F63CE">
        <w:rPr>
          <w:rFonts w:cs="Arial"/>
        </w:rPr>
        <w:t>data set</w:t>
      </w:r>
      <w:r w:rsidRPr="009F63CE">
        <w:rPr>
          <w:rFonts w:cs="Arial"/>
        </w:rPr>
        <w:t xml:space="preserve"> was replaced by the New Zealand MAT </w:t>
      </w:r>
      <w:r w:rsidR="00DC31E2">
        <w:rPr>
          <w:rFonts w:cs="Arial"/>
        </w:rPr>
        <w:t>(</w:t>
      </w:r>
      <w:r w:rsidRPr="009F63CE">
        <w:rPr>
          <w:rFonts w:cs="Arial"/>
        </w:rPr>
        <w:t>administered by the Ministry of Health) for almost all analyses. In 2017 (11th report)</w:t>
      </w:r>
      <w:r w:rsidR="00D85A99" w:rsidRPr="009F63CE">
        <w:rPr>
          <w:rFonts w:cs="Arial"/>
        </w:rPr>
        <w:t>,</w:t>
      </w:r>
      <w:r w:rsidRPr="009F63CE">
        <w:rPr>
          <w:rFonts w:cs="Arial"/>
        </w:rPr>
        <w:t xml:space="preserve"> perinatal deaths were merged with the MAT </w:t>
      </w:r>
      <w:r w:rsidR="009F63CE" w:rsidRPr="009F63CE">
        <w:rPr>
          <w:rFonts w:cs="Arial"/>
        </w:rPr>
        <w:t>data set</w:t>
      </w:r>
      <w:r w:rsidRPr="009F63CE">
        <w:rPr>
          <w:rFonts w:cs="Arial"/>
        </w:rPr>
        <w:t xml:space="preserve"> to establish a compatible numerator for analyses, and in 2018 this</w:t>
      </w:r>
      <w:r w:rsidR="00D64C0D" w:rsidRPr="009F63CE">
        <w:rPr>
          <w:rFonts w:cs="Arial"/>
        </w:rPr>
        <w:t xml:space="preserve"> process was extended to a</w:t>
      </w:r>
      <w:r w:rsidRPr="009F63CE">
        <w:rPr>
          <w:rFonts w:cs="Arial"/>
        </w:rPr>
        <w:t xml:space="preserve"> merg</w:t>
      </w:r>
      <w:r w:rsidR="00D64C0D" w:rsidRPr="009F63CE">
        <w:rPr>
          <w:rFonts w:cs="Arial"/>
        </w:rPr>
        <w:t>e</w:t>
      </w:r>
      <w:r w:rsidRPr="009F63CE">
        <w:rPr>
          <w:rFonts w:cs="Arial"/>
        </w:rPr>
        <w:t xml:space="preserve"> of </w:t>
      </w:r>
      <w:r w:rsidR="002461B5" w:rsidRPr="009F63CE">
        <w:rPr>
          <w:rFonts w:cs="Arial"/>
        </w:rPr>
        <w:t>NE</w:t>
      </w:r>
      <w:r w:rsidRPr="009F63CE">
        <w:rPr>
          <w:rFonts w:cs="Arial"/>
        </w:rPr>
        <w:t xml:space="preserve"> cases with the MAT </w:t>
      </w:r>
      <w:r w:rsidR="009F63CE" w:rsidRPr="009F63CE">
        <w:rPr>
          <w:rFonts w:cs="Arial"/>
        </w:rPr>
        <w:t>data set</w:t>
      </w:r>
      <w:r w:rsidRPr="009F63CE">
        <w:rPr>
          <w:rFonts w:cs="Arial"/>
        </w:rPr>
        <w:t xml:space="preserve">. This process </w:t>
      </w:r>
      <w:r w:rsidR="008B24D6">
        <w:rPr>
          <w:rFonts w:cs="Arial"/>
        </w:rPr>
        <w:t>is</w:t>
      </w:r>
      <w:r w:rsidRPr="009F63CE">
        <w:rPr>
          <w:rFonts w:cs="Arial"/>
        </w:rPr>
        <w:t xml:space="preserve"> </w:t>
      </w:r>
      <w:r w:rsidR="003935BB">
        <w:rPr>
          <w:rFonts w:cs="Arial"/>
        </w:rPr>
        <w:t xml:space="preserve">not </w:t>
      </w:r>
      <w:r w:rsidRPr="009F63CE">
        <w:rPr>
          <w:rFonts w:cs="Arial"/>
        </w:rPr>
        <w:t>possible for maternal mortalities and morbidities as not all potential cases are included in the denominator</w:t>
      </w:r>
      <w:r w:rsidR="00BC67EF" w:rsidRPr="009F63CE">
        <w:rPr>
          <w:rFonts w:cs="Arial"/>
        </w:rPr>
        <w:t xml:space="preserve"> </w:t>
      </w:r>
      <w:r w:rsidR="009F63CE" w:rsidRPr="009F63CE">
        <w:rPr>
          <w:rFonts w:cs="Arial"/>
        </w:rPr>
        <w:t>data set</w:t>
      </w:r>
      <w:r w:rsidR="00AA79A4" w:rsidRPr="009F63CE">
        <w:rPr>
          <w:rFonts w:cs="Arial"/>
        </w:rPr>
        <w:t>,</w:t>
      </w:r>
      <w:r w:rsidRPr="009F63CE">
        <w:rPr>
          <w:rFonts w:cs="Arial"/>
        </w:rPr>
        <w:t xml:space="preserve"> which only includes births from 20 weeks of gestation.</w:t>
      </w:r>
    </w:p>
    <w:p w14:paraId="1D0864FC" w14:textId="7C329853" w:rsidR="001C4055" w:rsidRPr="001A4D81" w:rsidRDefault="00D64C0D" w:rsidP="001A4D81">
      <w:pPr>
        <w:pStyle w:val="Heading2"/>
      </w:pPr>
      <w:bookmarkStart w:id="135" w:name="_Toc119317707"/>
      <w:bookmarkStart w:id="136" w:name="_Toc119407150"/>
      <w:r w:rsidRPr="001A4D81">
        <w:t>MAT</w:t>
      </w:r>
      <w:bookmarkEnd w:id="135"/>
      <w:bookmarkEnd w:id="136"/>
    </w:p>
    <w:p w14:paraId="6616D0B7" w14:textId="2980D36E" w:rsidR="001C4055" w:rsidRPr="009F63CE" w:rsidRDefault="001C4055" w:rsidP="001C4055">
      <w:pPr>
        <w:rPr>
          <w:rFonts w:cs="Arial"/>
        </w:rPr>
      </w:pPr>
      <w:r w:rsidRPr="009F63CE">
        <w:rPr>
          <w:rFonts w:cs="Arial"/>
        </w:rPr>
        <w:t>The</w:t>
      </w:r>
      <w:r w:rsidR="00D64C0D" w:rsidRPr="009F63CE">
        <w:rPr>
          <w:rFonts w:cs="Arial"/>
        </w:rPr>
        <w:t xml:space="preserve"> </w:t>
      </w:r>
      <w:r w:rsidRPr="009F63CE">
        <w:rPr>
          <w:rFonts w:cs="Arial"/>
        </w:rPr>
        <w:t>MAT combin</w:t>
      </w:r>
      <w:r w:rsidR="00F3641B" w:rsidRPr="009F63CE">
        <w:rPr>
          <w:rFonts w:cs="Arial"/>
        </w:rPr>
        <w:t>es</w:t>
      </w:r>
      <w:r w:rsidRPr="009F63CE">
        <w:rPr>
          <w:rFonts w:cs="Arial"/>
        </w:rPr>
        <w:t xml:space="preserve"> data collected by LMCs, which </w:t>
      </w:r>
      <w:r w:rsidR="00487EE3">
        <w:rPr>
          <w:rFonts w:cs="Arial"/>
        </w:rPr>
        <w:t>is</w:t>
      </w:r>
      <w:r w:rsidRPr="009F63CE">
        <w:rPr>
          <w:rFonts w:cs="Arial"/>
        </w:rPr>
        <w:t xml:space="preserve"> required to enable claims for payment, with hospital discharge data. </w:t>
      </w:r>
    </w:p>
    <w:p w14:paraId="1451ED07" w14:textId="77777777" w:rsidR="00710022" w:rsidRPr="009F63CE" w:rsidRDefault="00710022" w:rsidP="002D24D2">
      <w:pPr>
        <w:pStyle w:val="H3"/>
      </w:pPr>
      <w:bookmarkStart w:id="137" w:name="Compiling"/>
      <w:bookmarkStart w:id="138" w:name="_Ref473624278"/>
      <w:bookmarkStart w:id="139" w:name="_Ref480555972"/>
      <w:bookmarkStart w:id="140" w:name="_Ref480555978"/>
      <w:bookmarkStart w:id="141" w:name="_Toc480797232"/>
      <w:bookmarkStart w:id="142" w:name="_Toc483987268"/>
      <w:bookmarkStart w:id="143" w:name="_Toc119317849"/>
      <w:bookmarkStart w:id="144" w:name="_Toc119317925"/>
      <w:bookmarkStart w:id="145" w:name="_Toc119407151"/>
      <w:r w:rsidRPr="009F63CE">
        <w:t xml:space="preserve">Compiling </w:t>
      </w:r>
      <w:bookmarkEnd w:id="137"/>
      <w:r w:rsidRPr="009F63CE">
        <w:t xml:space="preserve">the MAT </w:t>
      </w:r>
      <w:bookmarkEnd w:id="138"/>
      <w:r w:rsidR="00822EFB" w:rsidRPr="009F63CE">
        <w:t>denominator and numerator data</w:t>
      </w:r>
      <w:bookmarkEnd w:id="139"/>
      <w:bookmarkEnd w:id="140"/>
      <w:bookmarkEnd w:id="141"/>
      <w:bookmarkEnd w:id="142"/>
      <w:bookmarkEnd w:id="143"/>
      <w:bookmarkEnd w:id="144"/>
      <w:bookmarkEnd w:id="145"/>
    </w:p>
    <w:p w14:paraId="25FED247" w14:textId="06B9E3BC" w:rsidR="00710022" w:rsidRPr="009F63CE" w:rsidRDefault="00710022" w:rsidP="00B239C8">
      <w:pPr>
        <w:pStyle w:val="ListParagraph"/>
        <w:numPr>
          <w:ilvl w:val="0"/>
          <w:numId w:val="3"/>
        </w:numPr>
        <w:spacing w:after="120"/>
        <w:contextualSpacing w:val="0"/>
        <w:rPr>
          <w:rFonts w:cs="Arial"/>
        </w:rPr>
      </w:pPr>
      <w:r w:rsidRPr="009F63CE">
        <w:rPr>
          <w:rFonts w:cs="Arial"/>
          <w:b/>
        </w:rPr>
        <w:t>Denominator MAT data (all babies born ≥20 weeks):</w:t>
      </w:r>
      <w:r w:rsidRPr="009F63CE">
        <w:rPr>
          <w:rFonts w:cs="Arial"/>
        </w:rPr>
        <w:t xml:space="preserve"> The MAT is a </w:t>
      </w:r>
      <w:r w:rsidR="009F63CE" w:rsidRPr="009F63CE">
        <w:rPr>
          <w:rFonts w:cs="Arial"/>
        </w:rPr>
        <w:t>data set</w:t>
      </w:r>
      <w:r w:rsidRPr="009F63CE">
        <w:rPr>
          <w:rFonts w:cs="Arial"/>
        </w:rPr>
        <w:t xml:space="preserve"> based on mothers. For reporting, the PMMRC requires a </w:t>
      </w:r>
      <w:r w:rsidR="009F63CE" w:rsidRPr="009F63CE">
        <w:rPr>
          <w:rFonts w:cs="Arial"/>
        </w:rPr>
        <w:t>data set</w:t>
      </w:r>
      <w:r w:rsidRPr="009F63CE">
        <w:rPr>
          <w:rFonts w:cs="Arial"/>
        </w:rPr>
        <w:t xml:space="preserve"> based on babies. To create a MAT denominator </w:t>
      </w:r>
      <w:r w:rsidR="009F63CE" w:rsidRPr="009F63CE">
        <w:rPr>
          <w:rFonts w:cs="Arial"/>
        </w:rPr>
        <w:t>data set</w:t>
      </w:r>
      <w:r w:rsidRPr="009F63CE">
        <w:rPr>
          <w:rFonts w:cs="Arial"/>
        </w:rPr>
        <w:t xml:space="preserve"> with the correct number of babies, the ‘</w:t>
      </w:r>
      <w:r w:rsidR="00B85232">
        <w:rPr>
          <w:rFonts w:cs="Arial"/>
        </w:rPr>
        <w:t>d</w:t>
      </w:r>
      <w:r w:rsidRPr="009F63CE">
        <w:rPr>
          <w:rFonts w:cs="Arial"/>
        </w:rPr>
        <w:t xml:space="preserve">elivery outcome’ field for each MAT mother was used as an indicator of the number of babies who should be in the denominator </w:t>
      </w:r>
      <w:r w:rsidR="009F63CE" w:rsidRPr="009F63CE">
        <w:rPr>
          <w:rFonts w:cs="Arial"/>
        </w:rPr>
        <w:t>data set</w:t>
      </w:r>
      <w:r w:rsidRPr="009F63CE">
        <w:rPr>
          <w:rFonts w:cs="Arial"/>
        </w:rPr>
        <w:t>. For example, if the delivery outcome variable was ‘</w:t>
      </w:r>
      <w:r w:rsidR="00B85232">
        <w:rPr>
          <w:rFonts w:cs="Arial"/>
        </w:rPr>
        <w:t>t</w:t>
      </w:r>
      <w:r w:rsidRPr="009F63CE">
        <w:rPr>
          <w:rFonts w:cs="Arial"/>
        </w:rPr>
        <w:t xml:space="preserve">win’, then two babies were expected. ‘Other multiple’ was assumed </w:t>
      </w:r>
      <w:r w:rsidR="00B85232">
        <w:rPr>
          <w:rFonts w:cs="Arial"/>
        </w:rPr>
        <w:t xml:space="preserve">to indicate </w:t>
      </w:r>
      <w:r w:rsidRPr="009F63CE">
        <w:rPr>
          <w:rFonts w:cs="Arial"/>
        </w:rPr>
        <w:t xml:space="preserve">three </w:t>
      </w:r>
      <w:r w:rsidR="000451F7">
        <w:rPr>
          <w:rFonts w:cs="Arial"/>
        </w:rPr>
        <w:t xml:space="preserve">or more </w:t>
      </w:r>
      <w:r w:rsidRPr="009F63CE">
        <w:rPr>
          <w:rFonts w:cs="Arial"/>
        </w:rPr>
        <w:t xml:space="preserve">babies. This method was modified (and overridden) in cases where a MAT mother was linked by NHI to a PMMRC </w:t>
      </w:r>
      <w:r w:rsidR="009F63CE" w:rsidRPr="009F63CE">
        <w:rPr>
          <w:rFonts w:cs="Arial"/>
        </w:rPr>
        <w:t>data set</w:t>
      </w:r>
      <w:r w:rsidRPr="009F63CE">
        <w:rPr>
          <w:rFonts w:cs="Arial"/>
        </w:rPr>
        <w:t xml:space="preserve"> mother, and the PMMRC data were then used to determine the number of expected babies. An ‘entry’ or ‘baby’ was added for each expected baby. If there was no MAT baby linked where a baby was expected, then a baby was created with no MAT baby data (but with mother data from the delivery or mother</w:t>
      </w:r>
      <w:r w:rsidR="00BC67EF" w:rsidRPr="009F63CE">
        <w:rPr>
          <w:rFonts w:cs="Arial"/>
        </w:rPr>
        <w:t xml:space="preserve"> </w:t>
      </w:r>
      <w:r w:rsidR="009F63CE" w:rsidRPr="009F63CE">
        <w:rPr>
          <w:rFonts w:cs="Arial"/>
        </w:rPr>
        <w:t>data set</w:t>
      </w:r>
      <w:r w:rsidRPr="009F63CE">
        <w:rPr>
          <w:rFonts w:cs="Arial"/>
        </w:rPr>
        <w:t>). If there were more babies in the MAT baby</w:t>
      </w:r>
      <w:r w:rsidR="00BC67EF" w:rsidRPr="009F63CE">
        <w:rPr>
          <w:rFonts w:cs="Arial"/>
        </w:rPr>
        <w:t xml:space="preserve"> </w:t>
      </w:r>
      <w:r w:rsidR="009F63CE" w:rsidRPr="009F63CE">
        <w:rPr>
          <w:rFonts w:cs="Arial"/>
        </w:rPr>
        <w:t>data set</w:t>
      </w:r>
      <w:r w:rsidRPr="009F63CE">
        <w:rPr>
          <w:rFonts w:cs="Arial"/>
        </w:rPr>
        <w:t xml:space="preserve"> than expected, only the expected number of babies was kept in the </w:t>
      </w:r>
      <w:r w:rsidR="009F63CE" w:rsidRPr="009F63CE">
        <w:rPr>
          <w:rFonts w:cs="Arial"/>
        </w:rPr>
        <w:t>data set</w:t>
      </w:r>
      <w:r w:rsidRPr="009F63CE">
        <w:rPr>
          <w:rFonts w:cs="Arial"/>
        </w:rPr>
        <w:t xml:space="preserve"> (except if these were perinatal death babies who were always kept in the</w:t>
      </w:r>
      <w:r w:rsidR="00BC67EF" w:rsidRPr="009F63CE">
        <w:rPr>
          <w:rFonts w:cs="Arial"/>
        </w:rPr>
        <w:t xml:space="preserve"> </w:t>
      </w:r>
      <w:r w:rsidR="009F63CE" w:rsidRPr="009F63CE">
        <w:rPr>
          <w:rFonts w:cs="Arial"/>
        </w:rPr>
        <w:t>data set</w:t>
      </w:r>
      <w:r w:rsidRPr="009F63CE">
        <w:rPr>
          <w:rFonts w:cs="Arial"/>
        </w:rPr>
        <w:t>). If there were no ‘</w:t>
      </w:r>
      <w:r w:rsidR="00321831">
        <w:rPr>
          <w:rFonts w:cs="Arial"/>
        </w:rPr>
        <w:t>d</w:t>
      </w:r>
      <w:r w:rsidRPr="009F63CE">
        <w:rPr>
          <w:rFonts w:cs="Arial"/>
        </w:rPr>
        <w:t xml:space="preserve">elivery outcome’ data for a mother, then one baby was </w:t>
      </w:r>
      <w:r w:rsidR="003935BB">
        <w:rPr>
          <w:rFonts w:cs="Arial"/>
        </w:rPr>
        <w:t>assumed</w:t>
      </w:r>
      <w:r w:rsidRPr="009F63CE">
        <w:rPr>
          <w:rFonts w:cs="Arial"/>
        </w:rPr>
        <w:t xml:space="preserve"> and this baby was created, again without MAT baby data but including mother data.</w:t>
      </w:r>
    </w:p>
    <w:p w14:paraId="3BD5B221" w14:textId="77777777" w:rsidR="00710022" w:rsidRPr="009F63CE" w:rsidRDefault="00710022" w:rsidP="00400484">
      <w:pPr>
        <w:pStyle w:val="ListParagraph"/>
        <w:numPr>
          <w:ilvl w:val="0"/>
          <w:numId w:val="3"/>
        </w:numPr>
        <w:spacing w:after="60"/>
        <w:contextualSpacing w:val="0"/>
        <w:rPr>
          <w:rFonts w:cs="Arial"/>
        </w:rPr>
      </w:pPr>
      <w:r w:rsidRPr="009F63CE">
        <w:rPr>
          <w:rFonts w:cs="Arial"/>
          <w:b/>
        </w:rPr>
        <w:t xml:space="preserve">Numerator (perinatal related deaths): </w:t>
      </w:r>
      <w:r w:rsidRPr="009F63CE">
        <w:rPr>
          <w:rFonts w:cs="Arial"/>
        </w:rPr>
        <w:t xml:space="preserve">The PMMRC asked the Ministry of Health to </w:t>
      </w:r>
      <w:r w:rsidR="00C71116" w:rsidRPr="009F63CE">
        <w:rPr>
          <w:rFonts w:cs="Arial"/>
        </w:rPr>
        <w:t>help</w:t>
      </w:r>
      <w:r w:rsidRPr="009F63CE">
        <w:rPr>
          <w:rFonts w:cs="Arial"/>
        </w:rPr>
        <w:t xml:space="preserve"> merge the PMMRC perinatal related deaths</w:t>
      </w:r>
      <w:r w:rsidR="00E82AA2" w:rsidRPr="009F63CE">
        <w:rPr>
          <w:rFonts w:cs="Arial"/>
        </w:rPr>
        <w:t xml:space="preserve"> (and babies with NE)</w:t>
      </w:r>
      <w:r w:rsidRPr="009F63CE">
        <w:rPr>
          <w:rFonts w:cs="Arial"/>
        </w:rPr>
        <w:t xml:space="preserve"> with their MAT mother and baby records so that the consistency of data in the PMMRC data collection and in the MAT </w:t>
      </w:r>
      <w:r w:rsidR="009F63CE" w:rsidRPr="009F63CE">
        <w:rPr>
          <w:rFonts w:cs="Arial"/>
        </w:rPr>
        <w:t>data set</w:t>
      </w:r>
      <w:r w:rsidRPr="009F63CE">
        <w:rPr>
          <w:rFonts w:cs="Arial"/>
        </w:rPr>
        <w:t xml:space="preserve"> could be examined. </w:t>
      </w:r>
    </w:p>
    <w:p w14:paraId="101F68A5" w14:textId="51CA32D7" w:rsidR="00710022" w:rsidRPr="009F63CE" w:rsidRDefault="00710022" w:rsidP="00400484">
      <w:pPr>
        <w:spacing w:after="60"/>
        <w:ind w:left="360"/>
        <w:rPr>
          <w:rFonts w:cs="Arial"/>
        </w:rPr>
      </w:pPr>
      <w:r w:rsidRPr="009F63CE">
        <w:rPr>
          <w:rFonts w:cs="Arial"/>
        </w:rPr>
        <w:t>The MAT consists of two</w:t>
      </w:r>
      <w:r w:rsidR="00BC67EF" w:rsidRPr="009F63CE">
        <w:rPr>
          <w:rFonts w:cs="Arial"/>
        </w:rPr>
        <w:t xml:space="preserve"> </w:t>
      </w:r>
      <w:r w:rsidR="009F63CE" w:rsidRPr="009F63CE">
        <w:rPr>
          <w:rFonts w:cs="Arial"/>
        </w:rPr>
        <w:t>data set</w:t>
      </w:r>
      <w:r w:rsidRPr="009F63CE">
        <w:rPr>
          <w:rFonts w:cs="Arial"/>
        </w:rPr>
        <w:t xml:space="preserve">s, one of mothers and another of babies. Stillborn babies are often not included in the MAT </w:t>
      </w:r>
      <w:r w:rsidR="009F63CE" w:rsidRPr="009F63CE">
        <w:rPr>
          <w:rFonts w:cs="Arial"/>
        </w:rPr>
        <w:t>data set</w:t>
      </w:r>
      <w:r w:rsidRPr="009F63CE">
        <w:rPr>
          <w:rFonts w:cs="Arial"/>
        </w:rPr>
        <w:t xml:space="preserve"> and so need to be matched to a mother record. </w:t>
      </w:r>
      <w:r w:rsidR="0068348C">
        <w:rPr>
          <w:rFonts w:cs="Arial"/>
        </w:rPr>
        <w:t>The following steps were undertaken to compile the dataset:</w:t>
      </w:r>
    </w:p>
    <w:p w14:paraId="1FFE2E73" w14:textId="77777777" w:rsidR="00710022" w:rsidRPr="009F63CE" w:rsidRDefault="00710022" w:rsidP="00400484">
      <w:pPr>
        <w:pStyle w:val="ListParagraph"/>
        <w:numPr>
          <w:ilvl w:val="1"/>
          <w:numId w:val="3"/>
        </w:numPr>
        <w:spacing w:after="60"/>
        <w:contextualSpacing w:val="0"/>
        <w:rPr>
          <w:rFonts w:cs="Arial"/>
        </w:rPr>
      </w:pPr>
      <w:r w:rsidRPr="009F63CE">
        <w:rPr>
          <w:rFonts w:cs="Arial"/>
        </w:rPr>
        <w:t xml:space="preserve">Mothers of babies who died </w:t>
      </w:r>
      <w:r w:rsidR="00E82AA2" w:rsidRPr="009F63CE">
        <w:rPr>
          <w:rFonts w:cs="Arial"/>
        </w:rPr>
        <w:t xml:space="preserve">or </w:t>
      </w:r>
      <w:r w:rsidR="00C71116" w:rsidRPr="009F63CE">
        <w:rPr>
          <w:rFonts w:cs="Arial"/>
        </w:rPr>
        <w:t xml:space="preserve">had </w:t>
      </w:r>
      <w:r w:rsidR="00E82AA2" w:rsidRPr="009F63CE">
        <w:rPr>
          <w:rFonts w:cs="Arial"/>
        </w:rPr>
        <w:t xml:space="preserve">NE </w:t>
      </w:r>
      <w:r w:rsidRPr="009F63CE">
        <w:rPr>
          <w:rFonts w:cs="Arial"/>
        </w:rPr>
        <w:t xml:space="preserve">in the perinatal period (PMMRC </w:t>
      </w:r>
      <w:r w:rsidR="009F63CE" w:rsidRPr="009F63CE">
        <w:rPr>
          <w:rFonts w:cs="Arial"/>
        </w:rPr>
        <w:t>data set</w:t>
      </w:r>
      <w:r w:rsidRPr="009F63CE">
        <w:rPr>
          <w:rFonts w:cs="Arial"/>
        </w:rPr>
        <w:t>) were matched to mothers in the MAT</w:t>
      </w:r>
      <w:r w:rsidR="00BC67EF" w:rsidRPr="009F63CE">
        <w:rPr>
          <w:rFonts w:cs="Arial"/>
        </w:rPr>
        <w:t xml:space="preserve"> </w:t>
      </w:r>
      <w:r w:rsidR="009F63CE" w:rsidRPr="009F63CE">
        <w:rPr>
          <w:rFonts w:cs="Arial"/>
        </w:rPr>
        <w:t>data set</w:t>
      </w:r>
      <w:r w:rsidRPr="009F63CE">
        <w:rPr>
          <w:rFonts w:cs="Arial"/>
        </w:rPr>
        <w:t xml:space="preserve"> (delivery </w:t>
      </w:r>
      <w:r w:rsidR="009F63CE" w:rsidRPr="009F63CE">
        <w:rPr>
          <w:rFonts w:cs="Arial"/>
        </w:rPr>
        <w:t>data set</w:t>
      </w:r>
      <w:r w:rsidRPr="009F63CE">
        <w:rPr>
          <w:rFonts w:cs="Arial"/>
        </w:rPr>
        <w:t>) by matching the mother</w:t>
      </w:r>
      <w:r w:rsidR="009639AF" w:rsidRPr="009F63CE">
        <w:rPr>
          <w:rFonts w:cs="Arial"/>
        </w:rPr>
        <w:t>’s</w:t>
      </w:r>
      <w:r w:rsidRPr="009F63CE">
        <w:rPr>
          <w:rFonts w:cs="Arial"/>
        </w:rPr>
        <w:t xml:space="preserve"> NHI and the date of birth</w:t>
      </w:r>
      <w:r w:rsidR="00C71116" w:rsidRPr="009F63CE">
        <w:rPr>
          <w:rFonts w:cs="Arial"/>
        </w:rPr>
        <w:t>,</w:t>
      </w:r>
      <w:r w:rsidRPr="009F63CE">
        <w:rPr>
          <w:rFonts w:cs="Arial"/>
        </w:rPr>
        <w:t xml:space="preserve"> allowing a 28-day window either side of the recorded date of birth. </w:t>
      </w:r>
    </w:p>
    <w:p w14:paraId="7548C791" w14:textId="77777777" w:rsidR="00710022" w:rsidRPr="009F63CE" w:rsidRDefault="00710022" w:rsidP="00597D3D">
      <w:pPr>
        <w:pStyle w:val="ListParagraph"/>
        <w:numPr>
          <w:ilvl w:val="1"/>
          <w:numId w:val="3"/>
        </w:numPr>
        <w:spacing w:after="120"/>
        <w:contextualSpacing w:val="0"/>
        <w:rPr>
          <w:rFonts w:cs="Arial"/>
        </w:rPr>
      </w:pPr>
      <w:r w:rsidRPr="009F63CE">
        <w:rPr>
          <w:rFonts w:cs="Arial"/>
        </w:rPr>
        <w:t xml:space="preserve">Perinatal </w:t>
      </w:r>
      <w:r w:rsidR="00E82AA2" w:rsidRPr="009F63CE">
        <w:rPr>
          <w:rFonts w:cs="Arial"/>
        </w:rPr>
        <w:t>mortality and NE</w:t>
      </w:r>
      <w:r w:rsidRPr="009F63CE">
        <w:rPr>
          <w:rFonts w:cs="Arial"/>
        </w:rPr>
        <w:t xml:space="preserve"> babies (PMMRC </w:t>
      </w:r>
      <w:r w:rsidR="009F63CE" w:rsidRPr="009F63CE">
        <w:rPr>
          <w:rFonts w:cs="Arial"/>
        </w:rPr>
        <w:t>data set</w:t>
      </w:r>
      <w:r w:rsidRPr="009F63CE">
        <w:rPr>
          <w:rFonts w:cs="Arial"/>
        </w:rPr>
        <w:t>) were matched to MAT babies (birth</w:t>
      </w:r>
      <w:r w:rsidR="00BC67EF" w:rsidRPr="009F63CE">
        <w:rPr>
          <w:rFonts w:cs="Arial"/>
        </w:rPr>
        <w:t xml:space="preserve"> </w:t>
      </w:r>
      <w:r w:rsidR="009F63CE" w:rsidRPr="009F63CE">
        <w:rPr>
          <w:rFonts w:cs="Arial"/>
        </w:rPr>
        <w:t>data set</w:t>
      </w:r>
      <w:r w:rsidRPr="009F63CE">
        <w:rPr>
          <w:rFonts w:cs="Arial"/>
        </w:rPr>
        <w:t>) by matching the baby</w:t>
      </w:r>
      <w:r w:rsidR="005422A3" w:rsidRPr="009F63CE">
        <w:rPr>
          <w:rFonts w:cs="Arial"/>
        </w:rPr>
        <w:t>’s</w:t>
      </w:r>
      <w:r w:rsidRPr="009F63CE">
        <w:rPr>
          <w:rFonts w:cs="Arial"/>
        </w:rPr>
        <w:t xml:space="preserve"> NHI. </w:t>
      </w:r>
    </w:p>
    <w:p w14:paraId="041D050F" w14:textId="77777777" w:rsidR="00710022" w:rsidRPr="009F63CE" w:rsidRDefault="00710022" w:rsidP="00400484">
      <w:pPr>
        <w:pStyle w:val="ListParagraph"/>
        <w:numPr>
          <w:ilvl w:val="1"/>
          <w:numId w:val="3"/>
        </w:numPr>
        <w:spacing w:after="120"/>
        <w:contextualSpacing w:val="0"/>
        <w:rPr>
          <w:rFonts w:cs="Arial"/>
        </w:rPr>
      </w:pPr>
      <w:r w:rsidRPr="009F63CE">
        <w:rPr>
          <w:rFonts w:cs="Arial"/>
        </w:rPr>
        <w:lastRenderedPageBreak/>
        <w:t xml:space="preserve">Perinatal </w:t>
      </w:r>
      <w:r w:rsidR="00E82AA2" w:rsidRPr="009F63CE">
        <w:rPr>
          <w:rFonts w:cs="Arial"/>
        </w:rPr>
        <w:t>mortality and NE</w:t>
      </w:r>
      <w:r w:rsidRPr="009F63CE">
        <w:rPr>
          <w:rFonts w:cs="Arial"/>
        </w:rPr>
        <w:t xml:space="preserve"> babies (PMMRC </w:t>
      </w:r>
      <w:r w:rsidR="009F63CE" w:rsidRPr="009F63CE">
        <w:rPr>
          <w:rFonts w:cs="Arial"/>
        </w:rPr>
        <w:t>data set</w:t>
      </w:r>
      <w:r w:rsidRPr="009F63CE">
        <w:rPr>
          <w:rFonts w:cs="Arial"/>
        </w:rPr>
        <w:t>) were then matched to the mother MAT</w:t>
      </w:r>
      <w:r w:rsidR="00BC67EF" w:rsidRPr="009F63CE">
        <w:rPr>
          <w:rFonts w:cs="Arial"/>
        </w:rPr>
        <w:t xml:space="preserve"> </w:t>
      </w:r>
      <w:r w:rsidR="009F63CE" w:rsidRPr="009F63CE">
        <w:rPr>
          <w:rFonts w:cs="Arial"/>
        </w:rPr>
        <w:t>data set</w:t>
      </w:r>
      <w:r w:rsidRPr="009F63CE">
        <w:rPr>
          <w:rFonts w:cs="Arial"/>
        </w:rPr>
        <w:t xml:space="preserve"> (delivery </w:t>
      </w:r>
      <w:r w:rsidR="009F63CE" w:rsidRPr="009F63CE">
        <w:rPr>
          <w:rFonts w:cs="Arial"/>
        </w:rPr>
        <w:t>data set</w:t>
      </w:r>
      <w:r w:rsidRPr="009F63CE">
        <w:rPr>
          <w:rFonts w:cs="Arial"/>
        </w:rPr>
        <w:t xml:space="preserve">) using the matched PMMRC mother; that is, babies with no MAT birth (baby) </w:t>
      </w:r>
      <w:r w:rsidR="009F63CE" w:rsidRPr="009F63CE">
        <w:rPr>
          <w:rFonts w:cs="Arial"/>
        </w:rPr>
        <w:t>data set</w:t>
      </w:r>
      <w:r w:rsidRPr="009F63CE">
        <w:rPr>
          <w:rFonts w:cs="Arial"/>
        </w:rPr>
        <w:t xml:space="preserve"> record were matched to their mother using the mother</w:t>
      </w:r>
      <w:r w:rsidR="005422A3" w:rsidRPr="009F63CE">
        <w:rPr>
          <w:rFonts w:cs="Arial"/>
        </w:rPr>
        <w:t>’s</w:t>
      </w:r>
      <w:r w:rsidRPr="009F63CE">
        <w:rPr>
          <w:rFonts w:cs="Arial"/>
        </w:rPr>
        <w:t xml:space="preserve"> NHI. </w:t>
      </w:r>
    </w:p>
    <w:p w14:paraId="6857BBD5" w14:textId="3A99146D" w:rsidR="00710022" w:rsidRPr="009F63CE" w:rsidRDefault="00710022" w:rsidP="006469B6">
      <w:pPr>
        <w:ind w:left="360"/>
        <w:rPr>
          <w:rFonts w:cs="Arial"/>
        </w:rPr>
      </w:pPr>
      <w:r w:rsidRPr="009F63CE">
        <w:rPr>
          <w:rFonts w:cs="Arial"/>
        </w:rPr>
        <w:t>This process of matching result</w:t>
      </w:r>
      <w:r w:rsidR="000D4608">
        <w:rPr>
          <w:rFonts w:cs="Arial"/>
        </w:rPr>
        <w:t>ed</w:t>
      </w:r>
      <w:r w:rsidRPr="009F63CE">
        <w:rPr>
          <w:rFonts w:cs="Arial"/>
        </w:rPr>
        <w:t xml:space="preserve"> in a PMMRC to MAT match of </w:t>
      </w:r>
      <w:r w:rsidR="00E82AA2" w:rsidRPr="00266A58">
        <w:rPr>
          <w:rFonts w:cs="Arial"/>
        </w:rPr>
        <w:t>9</w:t>
      </w:r>
      <w:r w:rsidR="00266A58" w:rsidRPr="00266A58">
        <w:rPr>
          <w:rFonts w:cs="Arial"/>
        </w:rPr>
        <w:t>7</w:t>
      </w:r>
      <w:r w:rsidR="00C95036" w:rsidRPr="00266A58">
        <w:rPr>
          <w:rFonts w:cs="Arial"/>
        </w:rPr>
        <w:t> percent</w:t>
      </w:r>
      <w:r w:rsidR="00E82AA2" w:rsidRPr="00266A58">
        <w:rPr>
          <w:rFonts w:cs="Arial"/>
        </w:rPr>
        <w:t xml:space="preserve"> for the babies who died and </w:t>
      </w:r>
      <w:r w:rsidR="00266A58" w:rsidRPr="00266A58">
        <w:rPr>
          <w:rFonts w:cs="Arial"/>
        </w:rPr>
        <w:t>99</w:t>
      </w:r>
      <w:r w:rsidR="00C95036" w:rsidRPr="00266A58">
        <w:rPr>
          <w:rFonts w:cs="Arial"/>
        </w:rPr>
        <w:t> percent</w:t>
      </w:r>
      <w:r w:rsidR="00E82AA2" w:rsidRPr="00266A58">
        <w:rPr>
          <w:rFonts w:cs="Arial"/>
        </w:rPr>
        <w:t xml:space="preserve"> for NE babies</w:t>
      </w:r>
      <w:r w:rsidRPr="00266A58">
        <w:rPr>
          <w:rFonts w:cs="Arial"/>
        </w:rPr>
        <w:t>.</w:t>
      </w:r>
    </w:p>
    <w:p w14:paraId="08CDBABE" w14:textId="77777777" w:rsidR="00672021" w:rsidRPr="009F63CE" w:rsidRDefault="00672021" w:rsidP="00597D3D">
      <w:pPr>
        <w:pStyle w:val="ListParagraph"/>
        <w:numPr>
          <w:ilvl w:val="0"/>
          <w:numId w:val="3"/>
        </w:numPr>
        <w:spacing w:after="120"/>
        <w:ind w:left="357" w:hanging="357"/>
        <w:contextualSpacing w:val="0"/>
        <w:rPr>
          <w:rFonts w:cs="Arial"/>
        </w:rPr>
      </w:pPr>
      <w:r w:rsidRPr="009F63CE">
        <w:rPr>
          <w:rFonts w:cs="Arial"/>
          <w:b/>
        </w:rPr>
        <w:t>Denominator MAT data further cleaning</w:t>
      </w:r>
      <w:r w:rsidRPr="009F63CE">
        <w:rPr>
          <w:rFonts w:cs="Arial"/>
        </w:rPr>
        <w:t xml:space="preserve">: </w:t>
      </w:r>
      <w:r w:rsidR="00BC6AB9" w:rsidRPr="009F63CE">
        <w:rPr>
          <w:rFonts w:cs="Arial"/>
        </w:rPr>
        <w:t>S</w:t>
      </w:r>
      <w:r w:rsidRPr="009F63CE">
        <w:rPr>
          <w:rFonts w:cs="Arial"/>
        </w:rPr>
        <w:t>ome field values in the MAT data were considered extreme</w:t>
      </w:r>
      <w:r w:rsidR="005422A3" w:rsidRPr="009F63CE">
        <w:rPr>
          <w:rFonts w:cs="Arial"/>
        </w:rPr>
        <w:t>,</w:t>
      </w:r>
      <w:r w:rsidRPr="009F63CE">
        <w:rPr>
          <w:rFonts w:cs="Arial"/>
        </w:rPr>
        <w:t xml:space="preserve"> so they were </w:t>
      </w:r>
      <w:r w:rsidR="00D544F3" w:rsidRPr="009F63CE">
        <w:rPr>
          <w:rFonts w:cs="Arial"/>
        </w:rPr>
        <w:t>‘</w:t>
      </w:r>
      <w:r w:rsidRPr="009F63CE">
        <w:rPr>
          <w:rFonts w:cs="Arial"/>
        </w:rPr>
        <w:t>cleaned</w:t>
      </w:r>
      <w:r w:rsidR="00D544F3" w:rsidRPr="009F63CE">
        <w:rPr>
          <w:rFonts w:cs="Arial"/>
        </w:rPr>
        <w:t>’</w:t>
      </w:r>
      <w:r w:rsidRPr="009F63CE">
        <w:rPr>
          <w:rFonts w:cs="Arial"/>
        </w:rPr>
        <w:t xml:space="preserve"> before being used to calculate other fields:</w:t>
      </w:r>
    </w:p>
    <w:p w14:paraId="5781AEC3" w14:textId="24625D12" w:rsidR="00672021" w:rsidRPr="009F63CE" w:rsidRDefault="00B81C7F" w:rsidP="00400484">
      <w:pPr>
        <w:pStyle w:val="ListParagraph"/>
        <w:numPr>
          <w:ilvl w:val="1"/>
          <w:numId w:val="3"/>
        </w:numPr>
        <w:spacing w:after="60"/>
        <w:contextualSpacing w:val="0"/>
        <w:rPr>
          <w:rFonts w:cs="Arial"/>
        </w:rPr>
      </w:pPr>
      <w:r>
        <w:rPr>
          <w:rFonts w:cs="Arial"/>
        </w:rPr>
        <w:t>g</w:t>
      </w:r>
      <w:r w:rsidR="00672021" w:rsidRPr="009F63CE">
        <w:rPr>
          <w:rFonts w:cs="Arial"/>
        </w:rPr>
        <w:t xml:space="preserve">estation (at birth): overridden with </w:t>
      </w:r>
      <w:r w:rsidR="009508BF" w:rsidRPr="009F63CE">
        <w:rPr>
          <w:rFonts w:cs="Arial"/>
        </w:rPr>
        <w:t>p</w:t>
      </w:r>
      <w:r w:rsidR="00672021" w:rsidRPr="009F63CE">
        <w:rPr>
          <w:rFonts w:cs="Arial"/>
        </w:rPr>
        <w:t>erinatal or NE data, if available</w:t>
      </w:r>
    </w:p>
    <w:p w14:paraId="251A6155" w14:textId="4BEF9B26" w:rsidR="00672021" w:rsidRPr="009F63CE" w:rsidRDefault="00B81C7F" w:rsidP="00400484">
      <w:pPr>
        <w:pStyle w:val="ListParagraph"/>
        <w:numPr>
          <w:ilvl w:val="1"/>
          <w:numId w:val="3"/>
        </w:numPr>
        <w:spacing w:after="60"/>
        <w:contextualSpacing w:val="0"/>
        <w:rPr>
          <w:rFonts w:cs="Arial"/>
        </w:rPr>
      </w:pPr>
      <w:r>
        <w:rPr>
          <w:rFonts w:cs="Arial"/>
        </w:rPr>
        <w:t>b</w:t>
      </w:r>
      <w:r w:rsidR="00672021" w:rsidRPr="009F63CE">
        <w:rPr>
          <w:rFonts w:cs="Arial"/>
        </w:rPr>
        <w:t>irthweight: if &gt;7000</w:t>
      </w:r>
      <w:r w:rsidR="00DE381C">
        <w:rPr>
          <w:rFonts w:cs="Arial"/>
        </w:rPr>
        <w:t xml:space="preserve"> </w:t>
      </w:r>
      <w:r w:rsidR="00672021" w:rsidRPr="009F63CE">
        <w:rPr>
          <w:rFonts w:cs="Arial"/>
        </w:rPr>
        <w:t xml:space="preserve">g, set to missing; overridden with </w:t>
      </w:r>
      <w:r w:rsidR="009508BF" w:rsidRPr="009F63CE">
        <w:rPr>
          <w:rFonts w:cs="Arial"/>
        </w:rPr>
        <w:t>p</w:t>
      </w:r>
      <w:r w:rsidR="00672021" w:rsidRPr="009F63CE">
        <w:rPr>
          <w:rFonts w:cs="Arial"/>
        </w:rPr>
        <w:t>erinatal or NE data, if available</w:t>
      </w:r>
    </w:p>
    <w:p w14:paraId="0014C257" w14:textId="421FEE93" w:rsidR="00672021" w:rsidRPr="009F63CE" w:rsidRDefault="00B81C7F" w:rsidP="00400484">
      <w:pPr>
        <w:pStyle w:val="ListParagraph"/>
        <w:numPr>
          <w:ilvl w:val="1"/>
          <w:numId w:val="3"/>
        </w:numPr>
        <w:spacing w:after="60"/>
        <w:contextualSpacing w:val="0"/>
        <w:rPr>
          <w:rFonts w:cs="Arial"/>
        </w:rPr>
      </w:pPr>
      <w:r>
        <w:rPr>
          <w:rFonts w:cs="Arial"/>
        </w:rPr>
        <w:t>b</w:t>
      </w:r>
      <w:r w:rsidR="006014A0" w:rsidRPr="009F63CE">
        <w:rPr>
          <w:rFonts w:cs="Arial"/>
        </w:rPr>
        <w:t>ody mass index (</w:t>
      </w:r>
      <w:r w:rsidR="00672021" w:rsidRPr="009F63CE">
        <w:rPr>
          <w:rFonts w:cs="Arial"/>
        </w:rPr>
        <w:t>BMI</w:t>
      </w:r>
      <w:r w:rsidR="006014A0" w:rsidRPr="009F63CE">
        <w:rPr>
          <w:rFonts w:cs="Arial"/>
        </w:rPr>
        <w:t>)</w:t>
      </w:r>
      <w:r w:rsidR="00672021" w:rsidRPr="009F63CE">
        <w:rPr>
          <w:rFonts w:cs="Arial"/>
        </w:rPr>
        <w:t xml:space="preserve"> at first LMC registration: if &lt;10 or </w:t>
      </w:r>
      <w:r w:rsidR="00BC6AB9" w:rsidRPr="009F63CE">
        <w:rPr>
          <w:rFonts w:cs="Arial"/>
        </w:rPr>
        <w:t>≥</w:t>
      </w:r>
      <w:r w:rsidR="00672021" w:rsidRPr="009F63CE">
        <w:rPr>
          <w:rFonts w:cs="Arial"/>
        </w:rPr>
        <w:t>100, set to missing</w:t>
      </w:r>
    </w:p>
    <w:p w14:paraId="37702985" w14:textId="5E105B36" w:rsidR="00672021" w:rsidRPr="009F63CE" w:rsidRDefault="00B81C7F" w:rsidP="00400484">
      <w:pPr>
        <w:pStyle w:val="ListParagraph"/>
        <w:numPr>
          <w:ilvl w:val="1"/>
          <w:numId w:val="3"/>
        </w:numPr>
        <w:spacing w:after="60"/>
        <w:contextualSpacing w:val="0"/>
        <w:rPr>
          <w:rFonts w:cs="Arial"/>
        </w:rPr>
      </w:pPr>
      <w:r>
        <w:rPr>
          <w:rFonts w:cs="Arial"/>
        </w:rPr>
        <w:t>m</w:t>
      </w:r>
      <w:r w:rsidR="00672021" w:rsidRPr="009F63CE">
        <w:rPr>
          <w:rFonts w:cs="Arial"/>
        </w:rPr>
        <w:t>other height: if &lt;130</w:t>
      </w:r>
      <w:r>
        <w:rPr>
          <w:rFonts w:cs="Arial"/>
        </w:rPr>
        <w:t xml:space="preserve"> </w:t>
      </w:r>
      <w:r w:rsidR="00672021" w:rsidRPr="009F63CE">
        <w:rPr>
          <w:rFonts w:cs="Arial"/>
        </w:rPr>
        <w:t>cm or &gt;190</w:t>
      </w:r>
      <w:r>
        <w:rPr>
          <w:rFonts w:cs="Arial"/>
        </w:rPr>
        <w:t xml:space="preserve"> </w:t>
      </w:r>
      <w:r w:rsidR="00672021" w:rsidRPr="009F63CE">
        <w:rPr>
          <w:rFonts w:cs="Arial"/>
        </w:rPr>
        <w:t>cm, set to missing</w:t>
      </w:r>
    </w:p>
    <w:p w14:paraId="64F5A9B5" w14:textId="34881058" w:rsidR="00672021" w:rsidRPr="009F63CE" w:rsidRDefault="00B81C7F" w:rsidP="00400484">
      <w:pPr>
        <w:pStyle w:val="ListParagraph"/>
        <w:numPr>
          <w:ilvl w:val="1"/>
          <w:numId w:val="3"/>
        </w:numPr>
        <w:spacing w:after="60"/>
        <w:contextualSpacing w:val="0"/>
        <w:rPr>
          <w:rFonts w:cs="Arial"/>
        </w:rPr>
      </w:pPr>
      <w:r>
        <w:rPr>
          <w:rFonts w:cs="Arial"/>
        </w:rPr>
        <w:t>m</w:t>
      </w:r>
      <w:r w:rsidR="00672021" w:rsidRPr="009F63CE">
        <w:rPr>
          <w:rFonts w:cs="Arial"/>
        </w:rPr>
        <w:t>other weight: if &lt;35</w:t>
      </w:r>
      <w:r>
        <w:rPr>
          <w:rFonts w:cs="Arial"/>
        </w:rPr>
        <w:t xml:space="preserve"> </w:t>
      </w:r>
      <w:r w:rsidR="00672021" w:rsidRPr="009F63CE">
        <w:rPr>
          <w:rFonts w:cs="Arial"/>
        </w:rPr>
        <w:t>kg or &gt;200</w:t>
      </w:r>
      <w:r>
        <w:rPr>
          <w:rFonts w:cs="Arial"/>
        </w:rPr>
        <w:t xml:space="preserve"> </w:t>
      </w:r>
      <w:r w:rsidR="00672021" w:rsidRPr="009F63CE">
        <w:rPr>
          <w:rFonts w:cs="Arial"/>
        </w:rPr>
        <w:t>kg, set to missing</w:t>
      </w:r>
    </w:p>
    <w:p w14:paraId="3F7C7CCA" w14:textId="62E7BEC2" w:rsidR="00672021" w:rsidRPr="009F63CE" w:rsidRDefault="00B81C7F" w:rsidP="00400484">
      <w:pPr>
        <w:pStyle w:val="ListParagraph"/>
        <w:numPr>
          <w:ilvl w:val="1"/>
          <w:numId w:val="3"/>
        </w:numPr>
        <w:spacing w:after="60"/>
        <w:contextualSpacing w:val="0"/>
        <w:rPr>
          <w:rFonts w:cs="Arial"/>
        </w:rPr>
      </w:pPr>
      <w:r>
        <w:rPr>
          <w:rFonts w:cs="Arial"/>
        </w:rPr>
        <w:t>p</w:t>
      </w:r>
      <w:r w:rsidR="00672021" w:rsidRPr="009F63CE">
        <w:rPr>
          <w:rFonts w:cs="Arial"/>
        </w:rPr>
        <w:t xml:space="preserve">arity: overridden with </w:t>
      </w:r>
      <w:r w:rsidR="009508BF" w:rsidRPr="009F63CE">
        <w:rPr>
          <w:rFonts w:cs="Arial"/>
        </w:rPr>
        <w:t>p</w:t>
      </w:r>
      <w:r w:rsidR="00672021" w:rsidRPr="009F63CE">
        <w:rPr>
          <w:rFonts w:cs="Arial"/>
        </w:rPr>
        <w:t>erinatal or NE data, if available</w:t>
      </w:r>
    </w:p>
    <w:p w14:paraId="25CC2AC6" w14:textId="6F8DFA8E" w:rsidR="00672021" w:rsidRPr="009F63CE" w:rsidRDefault="00B81C7F" w:rsidP="00400484">
      <w:pPr>
        <w:pStyle w:val="ListParagraph"/>
        <w:numPr>
          <w:ilvl w:val="1"/>
          <w:numId w:val="3"/>
        </w:numPr>
        <w:spacing w:after="60"/>
        <w:contextualSpacing w:val="0"/>
        <w:rPr>
          <w:rFonts w:cs="Arial"/>
        </w:rPr>
      </w:pPr>
      <w:r>
        <w:rPr>
          <w:rFonts w:cs="Arial"/>
        </w:rPr>
        <w:t>p</w:t>
      </w:r>
      <w:r w:rsidR="00672021" w:rsidRPr="009F63CE">
        <w:rPr>
          <w:rFonts w:cs="Arial"/>
        </w:rPr>
        <w:t>lurality (</w:t>
      </w:r>
      <w:r w:rsidR="009508BF" w:rsidRPr="009F63CE">
        <w:rPr>
          <w:rFonts w:cs="Arial"/>
        </w:rPr>
        <w:t>s</w:t>
      </w:r>
      <w:r w:rsidR="00672021" w:rsidRPr="009F63CE">
        <w:rPr>
          <w:rFonts w:cs="Arial"/>
        </w:rPr>
        <w:t xml:space="preserve">ingleton, </w:t>
      </w:r>
      <w:r w:rsidR="009508BF" w:rsidRPr="009F63CE">
        <w:rPr>
          <w:rFonts w:cs="Arial"/>
        </w:rPr>
        <w:t>t</w:t>
      </w:r>
      <w:r w:rsidR="00672021" w:rsidRPr="009F63CE">
        <w:rPr>
          <w:rFonts w:cs="Arial"/>
        </w:rPr>
        <w:t xml:space="preserve">win, </w:t>
      </w:r>
      <w:r w:rsidR="009508BF" w:rsidRPr="009F63CE">
        <w:rPr>
          <w:rFonts w:cs="Arial"/>
        </w:rPr>
        <w:t>m</w:t>
      </w:r>
      <w:r w:rsidR="00672021" w:rsidRPr="009F63CE">
        <w:rPr>
          <w:rFonts w:cs="Arial"/>
        </w:rPr>
        <w:t xml:space="preserve">ultiple, </w:t>
      </w:r>
      <w:r w:rsidR="009508BF" w:rsidRPr="009F63CE">
        <w:rPr>
          <w:rFonts w:cs="Arial"/>
        </w:rPr>
        <w:t>u</w:t>
      </w:r>
      <w:r w:rsidR="00672021" w:rsidRPr="009F63CE">
        <w:rPr>
          <w:rFonts w:cs="Arial"/>
        </w:rPr>
        <w:t xml:space="preserve">nknown): overridden with </w:t>
      </w:r>
      <w:r w:rsidR="009508BF" w:rsidRPr="009F63CE">
        <w:rPr>
          <w:rFonts w:cs="Arial"/>
        </w:rPr>
        <w:t>p</w:t>
      </w:r>
      <w:r w:rsidR="00672021" w:rsidRPr="009F63CE">
        <w:rPr>
          <w:rFonts w:cs="Arial"/>
        </w:rPr>
        <w:t>erinatal or NE data, if available</w:t>
      </w:r>
    </w:p>
    <w:p w14:paraId="2491BC28" w14:textId="34D210DF" w:rsidR="00672021" w:rsidRPr="009F63CE" w:rsidRDefault="00B81C7F" w:rsidP="00400484">
      <w:pPr>
        <w:pStyle w:val="ListParagraph"/>
        <w:numPr>
          <w:ilvl w:val="1"/>
          <w:numId w:val="3"/>
        </w:numPr>
        <w:spacing w:after="60"/>
        <w:contextualSpacing w:val="0"/>
        <w:rPr>
          <w:rFonts w:cs="Arial"/>
        </w:rPr>
      </w:pPr>
      <w:r>
        <w:rPr>
          <w:rFonts w:cs="Arial"/>
        </w:rPr>
        <w:t>b</w:t>
      </w:r>
      <w:r w:rsidR="00672021" w:rsidRPr="009F63CE">
        <w:rPr>
          <w:rFonts w:cs="Arial"/>
        </w:rPr>
        <w:t xml:space="preserve">aby sex: overridden with </w:t>
      </w:r>
      <w:r w:rsidR="009508BF" w:rsidRPr="009F63CE">
        <w:rPr>
          <w:rFonts w:cs="Arial"/>
        </w:rPr>
        <w:t>p</w:t>
      </w:r>
      <w:r w:rsidR="00672021" w:rsidRPr="009F63CE">
        <w:rPr>
          <w:rFonts w:cs="Arial"/>
        </w:rPr>
        <w:t>erinatal or NE data, if available</w:t>
      </w:r>
    </w:p>
    <w:p w14:paraId="05EC164A" w14:textId="79DE1B71" w:rsidR="00672021" w:rsidRPr="009F63CE" w:rsidRDefault="00B81C7F" w:rsidP="00597D3D">
      <w:pPr>
        <w:pStyle w:val="ListParagraph"/>
        <w:numPr>
          <w:ilvl w:val="1"/>
          <w:numId w:val="3"/>
        </w:numPr>
        <w:spacing w:after="120"/>
        <w:contextualSpacing w:val="0"/>
        <w:rPr>
          <w:rFonts w:cs="Arial"/>
        </w:rPr>
      </w:pPr>
      <w:r>
        <w:rPr>
          <w:rFonts w:cs="Arial"/>
        </w:rPr>
        <w:t>m</w:t>
      </w:r>
      <w:r w:rsidR="00672021" w:rsidRPr="009F63CE">
        <w:rPr>
          <w:rFonts w:cs="Arial"/>
        </w:rPr>
        <w:t>other age at baby date of birth: calculated from mother date of birth and baby date of birth (or date of delivery, if birth data not available)</w:t>
      </w:r>
      <w:r w:rsidR="00BC6AB9" w:rsidRPr="009F63CE">
        <w:rPr>
          <w:rFonts w:cs="Arial"/>
        </w:rPr>
        <w:t>;</w:t>
      </w:r>
      <w:r w:rsidR="00672021" w:rsidRPr="009F63CE">
        <w:rPr>
          <w:rFonts w:cs="Arial"/>
        </w:rPr>
        <w:t xml:space="preserve"> if mother age was &lt;12 years or &gt;60 years, set to missing</w:t>
      </w:r>
      <w:r w:rsidR="00BC6AB9" w:rsidRPr="009F63CE">
        <w:rPr>
          <w:rFonts w:cs="Arial"/>
        </w:rPr>
        <w:t>.</w:t>
      </w:r>
    </w:p>
    <w:p w14:paraId="4D1FBA7F" w14:textId="0A5ACD78" w:rsidR="00672021" w:rsidRPr="009F63CE" w:rsidRDefault="00672021" w:rsidP="00597D3D">
      <w:pPr>
        <w:pStyle w:val="ListParagraph"/>
        <w:numPr>
          <w:ilvl w:val="0"/>
          <w:numId w:val="3"/>
        </w:numPr>
        <w:spacing w:after="120"/>
        <w:ind w:left="357" w:hanging="357"/>
        <w:contextualSpacing w:val="0"/>
        <w:rPr>
          <w:rFonts w:cs="Arial"/>
        </w:rPr>
      </w:pPr>
      <w:r w:rsidRPr="009F63CE">
        <w:rPr>
          <w:rFonts w:cs="Arial"/>
          <w:b/>
        </w:rPr>
        <w:t>Denominator MAT data further exclusions</w:t>
      </w:r>
      <w:r w:rsidRPr="009F63CE">
        <w:rPr>
          <w:rFonts w:cs="Arial"/>
        </w:rPr>
        <w:t>: the MAT</w:t>
      </w:r>
      <w:r w:rsidR="00BC67EF" w:rsidRPr="009F63CE">
        <w:rPr>
          <w:rFonts w:cs="Arial"/>
        </w:rPr>
        <w:t xml:space="preserve"> </w:t>
      </w:r>
      <w:r w:rsidR="009F63CE" w:rsidRPr="009F63CE">
        <w:rPr>
          <w:rFonts w:cs="Arial"/>
        </w:rPr>
        <w:t>data set</w:t>
      </w:r>
      <w:r w:rsidRPr="009F63CE">
        <w:rPr>
          <w:rFonts w:cs="Arial"/>
        </w:rPr>
        <w:t xml:space="preserve"> was further checked to make sure all cases were compatible with the numerator, using the </w:t>
      </w:r>
      <w:r w:rsidR="00D544F3" w:rsidRPr="009F63CE">
        <w:rPr>
          <w:rFonts w:cs="Arial"/>
        </w:rPr>
        <w:t>‘</w:t>
      </w:r>
      <w:r w:rsidRPr="009F63CE">
        <w:rPr>
          <w:rFonts w:cs="Arial"/>
        </w:rPr>
        <w:t>cleaned</w:t>
      </w:r>
      <w:r w:rsidR="00D544F3" w:rsidRPr="009F63CE">
        <w:rPr>
          <w:rFonts w:cs="Arial"/>
        </w:rPr>
        <w:t>’</w:t>
      </w:r>
      <w:r w:rsidRPr="009F63CE">
        <w:rPr>
          <w:rFonts w:cs="Arial"/>
        </w:rPr>
        <w:t xml:space="preserve"> gestation and birthweight.</w:t>
      </w:r>
    </w:p>
    <w:p w14:paraId="55427B05" w14:textId="77777777" w:rsidR="00672021" w:rsidRPr="009F63CE" w:rsidRDefault="00672021" w:rsidP="00400484">
      <w:pPr>
        <w:pStyle w:val="ListParagraph"/>
        <w:numPr>
          <w:ilvl w:val="1"/>
          <w:numId w:val="3"/>
        </w:numPr>
        <w:spacing w:after="60"/>
        <w:contextualSpacing w:val="0"/>
        <w:rPr>
          <w:rFonts w:cs="Arial"/>
        </w:rPr>
      </w:pPr>
      <w:r w:rsidRPr="009F63CE">
        <w:rPr>
          <w:rFonts w:cs="Arial"/>
        </w:rPr>
        <w:t>The following cases were excluded:</w:t>
      </w:r>
    </w:p>
    <w:p w14:paraId="72764355" w14:textId="4F9CEEAB" w:rsidR="00672021" w:rsidRPr="009F63CE" w:rsidRDefault="00B76897" w:rsidP="00400484">
      <w:pPr>
        <w:pStyle w:val="ListParagraph"/>
        <w:numPr>
          <w:ilvl w:val="2"/>
          <w:numId w:val="3"/>
        </w:numPr>
        <w:spacing w:after="60"/>
        <w:ind w:hanging="87"/>
        <w:contextualSpacing w:val="0"/>
        <w:rPr>
          <w:rFonts w:cs="Arial"/>
        </w:rPr>
      </w:pPr>
      <w:r w:rsidRPr="009F63CE">
        <w:rPr>
          <w:rFonts w:cs="Arial"/>
        </w:rPr>
        <w:t>g</w:t>
      </w:r>
      <w:r w:rsidR="00672021" w:rsidRPr="009F63CE">
        <w:rPr>
          <w:rFonts w:cs="Arial"/>
        </w:rPr>
        <w:t>estation &lt;20 weeks and birthweight &lt;400</w:t>
      </w:r>
      <w:r w:rsidR="00E25377">
        <w:rPr>
          <w:rFonts w:cs="Arial"/>
        </w:rPr>
        <w:t xml:space="preserve"> </w:t>
      </w:r>
      <w:r w:rsidR="00672021" w:rsidRPr="009F63CE">
        <w:rPr>
          <w:rFonts w:cs="Arial"/>
        </w:rPr>
        <w:t>g</w:t>
      </w:r>
    </w:p>
    <w:p w14:paraId="3E020FE3" w14:textId="77777777" w:rsidR="00672021" w:rsidRPr="009F63CE" w:rsidRDefault="00B76897" w:rsidP="00400484">
      <w:pPr>
        <w:pStyle w:val="ListParagraph"/>
        <w:numPr>
          <w:ilvl w:val="2"/>
          <w:numId w:val="3"/>
        </w:numPr>
        <w:spacing w:after="60"/>
        <w:ind w:hanging="87"/>
        <w:contextualSpacing w:val="0"/>
        <w:rPr>
          <w:rFonts w:cs="Arial"/>
        </w:rPr>
      </w:pPr>
      <w:r w:rsidRPr="009F63CE">
        <w:rPr>
          <w:rFonts w:cs="Arial"/>
        </w:rPr>
        <w:t>g</w:t>
      </w:r>
      <w:r w:rsidR="00672021" w:rsidRPr="009F63CE">
        <w:rPr>
          <w:rFonts w:cs="Arial"/>
        </w:rPr>
        <w:t>estation &lt;20 weeks and birthweight missing</w:t>
      </w:r>
    </w:p>
    <w:p w14:paraId="7028429E" w14:textId="2392C995" w:rsidR="00672021" w:rsidRPr="009F63CE" w:rsidRDefault="00B76897" w:rsidP="00400484">
      <w:pPr>
        <w:pStyle w:val="ListParagraph"/>
        <w:numPr>
          <w:ilvl w:val="2"/>
          <w:numId w:val="3"/>
        </w:numPr>
        <w:spacing w:after="60"/>
        <w:ind w:hanging="87"/>
        <w:contextualSpacing w:val="0"/>
        <w:rPr>
          <w:rFonts w:cs="Arial"/>
        </w:rPr>
      </w:pPr>
      <w:r w:rsidRPr="009F63CE">
        <w:rPr>
          <w:rFonts w:cs="Arial"/>
        </w:rPr>
        <w:t>g</w:t>
      </w:r>
      <w:r w:rsidR="00672021" w:rsidRPr="009F63CE">
        <w:rPr>
          <w:rFonts w:cs="Arial"/>
        </w:rPr>
        <w:t>estation missing and birthweight &lt;400</w:t>
      </w:r>
      <w:r w:rsidR="004443E3">
        <w:rPr>
          <w:rFonts w:cs="Arial"/>
        </w:rPr>
        <w:t xml:space="preserve"> </w:t>
      </w:r>
      <w:r w:rsidR="00672021" w:rsidRPr="009F63CE">
        <w:rPr>
          <w:rFonts w:cs="Arial"/>
        </w:rPr>
        <w:t>g</w:t>
      </w:r>
    </w:p>
    <w:p w14:paraId="5390885B" w14:textId="2A1836A8" w:rsidR="00672021" w:rsidRPr="009F63CE" w:rsidRDefault="00B76897" w:rsidP="00400484">
      <w:pPr>
        <w:pStyle w:val="ListParagraph"/>
        <w:numPr>
          <w:ilvl w:val="2"/>
          <w:numId w:val="3"/>
        </w:numPr>
        <w:spacing w:after="60"/>
        <w:ind w:hanging="87"/>
        <w:contextualSpacing w:val="0"/>
        <w:rPr>
          <w:rFonts w:cs="Arial"/>
        </w:rPr>
      </w:pPr>
      <w:r w:rsidRPr="009F63CE">
        <w:rPr>
          <w:rFonts w:cs="Arial"/>
        </w:rPr>
        <w:t>g</w:t>
      </w:r>
      <w:r w:rsidR="00672021" w:rsidRPr="009F63CE">
        <w:rPr>
          <w:rFonts w:cs="Arial"/>
        </w:rPr>
        <w:t>estation &gt;43 weeks and birthweight &lt;400</w:t>
      </w:r>
      <w:r w:rsidR="004443E3">
        <w:rPr>
          <w:rFonts w:cs="Arial"/>
        </w:rPr>
        <w:t xml:space="preserve"> </w:t>
      </w:r>
      <w:r w:rsidR="00672021" w:rsidRPr="009F63CE">
        <w:rPr>
          <w:rFonts w:cs="Arial"/>
        </w:rPr>
        <w:t>g</w:t>
      </w:r>
      <w:r w:rsidR="00487EE3">
        <w:rPr>
          <w:rFonts w:cs="Arial"/>
        </w:rPr>
        <w:t>.</w:t>
      </w:r>
    </w:p>
    <w:p w14:paraId="6ACBE6B2" w14:textId="77777777" w:rsidR="00672021" w:rsidRPr="009F63CE" w:rsidRDefault="00672021" w:rsidP="00400484">
      <w:pPr>
        <w:pStyle w:val="ListParagraph"/>
        <w:numPr>
          <w:ilvl w:val="1"/>
          <w:numId w:val="3"/>
        </w:numPr>
        <w:spacing w:after="60"/>
        <w:contextualSpacing w:val="0"/>
        <w:rPr>
          <w:rFonts w:cs="Arial"/>
        </w:rPr>
      </w:pPr>
      <w:r w:rsidRPr="009F63CE">
        <w:rPr>
          <w:rFonts w:cs="Arial"/>
        </w:rPr>
        <w:t>The following cases were included:</w:t>
      </w:r>
    </w:p>
    <w:p w14:paraId="2B5E1A20" w14:textId="367CAEB4" w:rsidR="00672021" w:rsidRPr="009F63CE" w:rsidRDefault="00B76897" w:rsidP="00400484">
      <w:pPr>
        <w:pStyle w:val="ListParagraph"/>
        <w:numPr>
          <w:ilvl w:val="2"/>
          <w:numId w:val="3"/>
        </w:numPr>
        <w:spacing w:after="60"/>
        <w:ind w:hanging="87"/>
        <w:contextualSpacing w:val="0"/>
        <w:rPr>
          <w:rFonts w:cs="Arial"/>
        </w:rPr>
      </w:pPr>
      <w:r w:rsidRPr="009F63CE">
        <w:rPr>
          <w:rFonts w:cs="Arial"/>
        </w:rPr>
        <w:t>g</w:t>
      </w:r>
      <w:r w:rsidR="00672021" w:rsidRPr="009F63CE">
        <w:rPr>
          <w:rFonts w:cs="Arial"/>
        </w:rPr>
        <w:t xml:space="preserve">estation &lt;20 weeks and birthweight </w:t>
      </w:r>
      <w:r w:rsidR="00F81938" w:rsidRPr="009F63CE">
        <w:rPr>
          <w:rFonts w:cs="Arial"/>
        </w:rPr>
        <w:t>≥</w:t>
      </w:r>
      <w:r w:rsidR="00672021" w:rsidRPr="009F63CE">
        <w:rPr>
          <w:rFonts w:cs="Arial"/>
        </w:rPr>
        <w:t>400</w:t>
      </w:r>
      <w:r w:rsidR="004443E3">
        <w:rPr>
          <w:rFonts w:cs="Arial"/>
        </w:rPr>
        <w:t xml:space="preserve"> </w:t>
      </w:r>
      <w:r w:rsidR="00672021" w:rsidRPr="009F63CE">
        <w:rPr>
          <w:rFonts w:cs="Arial"/>
        </w:rPr>
        <w:t xml:space="preserve">g </w:t>
      </w:r>
      <w:r w:rsidRPr="009F63CE">
        <w:rPr>
          <w:rFonts w:cs="Arial"/>
        </w:rPr>
        <w:t>(</w:t>
      </w:r>
      <w:r w:rsidR="00672021" w:rsidRPr="009F63CE">
        <w:rPr>
          <w:rFonts w:cs="Arial"/>
        </w:rPr>
        <w:t>the case was included</w:t>
      </w:r>
      <w:r w:rsidR="00D90281">
        <w:rPr>
          <w:rFonts w:cs="Arial"/>
        </w:rPr>
        <w:t>,</w:t>
      </w:r>
      <w:r w:rsidR="00672021" w:rsidRPr="009F63CE">
        <w:rPr>
          <w:rFonts w:cs="Arial"/>
        </w:rPr>
        <w:t xml:space="preserve"> but gestation was set to missing</w:t>
      </w:r>
      <w:r w:rsidRPr="009F63CE">
        <w:rPr>
          <w:rFonts w:cs="Arial"/>
        </w:rPr>
        <w:t>)</w:t>
      </w:r>
    </w:p>
    <w:p w14:paraId="541D00FC" w14:textId="0E567C43" w:rsidR="00672021" w:rsidRPr="009F63CE" w:rsidRDefault="00B76897" w:rsidP="00400484">
      <w:pPr>
        <w:pStyle w:val="ListParagraph"/>
        <w:numPr>
          <w:ilvl w:val="2"/>
          <w:numId w:val="3"/>
        </w:numPr>
        <w:spacing w:after="60"/>
        <w:ind w:hanging="87"/>
        <w:contextualSpacing w:val="0"/>
        <w:rPr>
          <w:rFonts w:cs="Arial"/>
        </w:rPr>
      </w:pPr>
      <w:r w:rsidRPr="009F63CE">
        <w:rPr>
          <w:rFonts w:cs="Arial"/>
        </w:rPr>
        <w:t>g</w:t>
      </w:r>
      <w:r w:rsidR="00672021" w:rsidRPr="009F63CE">
        <w:rPr>
          <w:rFonts w:cs="Arial"/>
        </w:rPr>
        <w:t xml:space="preserve">estation missing and birthweight </w:t>
      </w:r>
      <w:r w:rsidR="00F81938" w:rsidRPr="009F63CE">
        <w:rPr>
          <w:rFonts w:cs="Arial"/>
        </w:rPr>
        <w:t>≥</w:t>
      </w:r>
      <w:r w:rsidR="00672021" w:rsidRPr="009F63CE">
        <w:rPr>
          <w:rFonts w:cs="Arial"/>
        </w:rPr>
        <w:t>400</w:t>
      </w:r>
      <w:r w:rsidR="004443E3">
        <w:rPr>
          <w:rFonts w:cs="Arial"/>
        </w:rPr>
        <w:t xml:space="preserve"> </w:t>
      </w:r>
      <w:r w:rsidR="00672021" w:rsidRPr="009F63CE">
        <w:rPr>
          <w:rFonts w:cs="Arial"/>
        </w:rPr>
        <w:t>g</w:t>
      </w:r>
    </w:p>
    <w:p w14:paraId="77BBA8B2" w14:textId="77777777" w:rsidR="00672021" w:rsidRPr="009F63CE" w:rsidRDefault="00B76897" w:rsidP="00400484">
      <w:pPr>
        <w:pStyle w:val="ListParagraph"/>
        <w:numPr>
          <w:ilvl w:val="2"/>
          <w:numId w:val="3"/>
        </w:numPr>
        <w:spacing w:after="60"/>
        <w:ind w:hanging="87"/>
        <w:contextualSpacing w:val="0"/>
        <w:rPr>
          <w:rFonts w:cs="Arial"/>
        </w:rPr>
      </w:pPr>
      <w:r w:rsidRPr="009F63CE">
        <w:rPr>
          <w:rFonts w:cs="Arial"/>
        </w:rPr>
        <w:t>b</w:t>
      </w:r>
      <w:r w:rsidR="00672021" w:rsidRPr="009F63CE">
        <w:rPr>
          <w:rFonts w:cs="Arial"/>
        </w:rPr>
        <w:t>oth gestation and birthweight were missing</w:t>
      </w:r>
    </w:p>
    <w:p w14:paraId="7543BD1B" w14:textId="58CFB57C" w:rsidR="00672021" w:rsidRPr="009F63CE" w:rsidRDefault="00B76897" w:rsidP="00400484">
      <w:pPr>
        <w:pStyle w:val="ListParagraph"/>
        <w:numPr>
          <w:ilvl w:val="2"/>
          <w:numId w:val="3"/>
        </w:numPr>
        <w:spacing w:after="60"/>
        <w:ind w:hanging="87"/>
        <w:contextualSpacing w:val="0"/>
        <w:rPr>
          <w:rFonts w:cs="Arial"/>
        </w:rPr>
      </w:pPr>
      <w:r w:rsidRPr="009F63CE">
        <w:rPr>
          <w:rFonts w:cs="Arial"/>
        </w:rPr>
        <w:t>g</w:t>
      </w:r>
      <w:r w:rsidR="00672021" w:rsidRPr="009F63CE">
        <w:rPr>
          <w:rFonts w:cs="Arial"/>
        </w:rPr>
        <w:t xml:space="preserve">estation &gt;43 weeks and birthweight </w:t>
      </w:r>
      <w:r w:rsidR="00F81938" w:rsidRPr="009F63CE">
        <w:rPr>
          <w:rFonts w:cs="Arial"/>
        </w:rPr>
        <w:t>≥</w:t>
      </w:r>
      <w:r w:rsidR="00672021" w:rsidRPr="009F63CE">
        <w:rPr>
          <w:rFonts w:cs="Arial"/>
        </w:rPr>
        <w:t>400</w:t>
      </w:r>
      <w:r w:rsidR="004443E3">
        <w:rPr>
          <w:rFonts w:cs="Arial"/>
        </w:rPr>
        <w:t xml:space="preserve"> </w:t>
      </w:r>
      <w:r w:rsidR="00672021" w:rsidRPr="009F63CE">
        <w:rPr>
          <w:rFonts w:cs="Arial"/>
        </w:rPr>
        <w:t xml:space="preserve">g </w:t>
      </w:r>
      <w:r w:rsidRPr="009F63CE">
        <w:rPr>
          <w:rFonts w:cs="Arial"/>
        </w:rPr>
        <w:t>(</w:t>
      </w:r>
      <w:r w:rsidR="00672021" w:rsidRPr="009F63CE">
        <w:rPr>
          <w:rFonts w:cs="Arial"/>
        </w:rPr>
        <w:t xml:space="preserve">the case </w:t>
      </w:r>
      <w:r w:rsidR="007A7AA2">
        <w:rPr>
          <w:rFonts w:cs="Arial"/>
        </w:rPr>
        <w:t>was</w:t>
      </w:r>
      <w:r w:rsidR="007A7AA2" w:rsidRPr="009F63CE">
        <w:rPr>
          <w:rFonts w:cs="Arial"/>
        </w:rPr>
        <w:t xml:space="preserve"> </w:t>
      </w:r>
      <w:r w:rsidR="00672021" w:rsidRPr="009F63CE">
        <w:rPr>
          <w:rFonts w:cs="Arial"/>
        </w:rPr>
        <w:t>included</w:t>
      </w:r>
      <w:r w:rsidR="00D90281">
        <w:rPr>
          <w:rFonts w:cs="Arial"/>
        </w:rPr>
        <w:t>,</w:t>
      </w:r>
      <w:r w:rsidR="00672021" w:rsidRPr="009F63CE">
        <w:rPr>
          <w:rFonts w:cs="Arial"/>
        </w:rPr>
        <w:t xml:space="preserve"> but gestation was set to missing</w:t>
      </w:r>
      <w:r w:rsidRPr="009F63CE">
        <w:rPr>
          <w:rFonts w:cs="Arial"/>
        </w:rPr>
        <w:t>)</w:t>
      </w:r>
    </w:p>
    <w:p w14:paraId="42BAAC2B" w14:textId="33724491" w:rsidR="00672021" w:rsidRPr="009F63CE" w:rsidRDefault="00B76897" w:rsidP="00400484">
      <w:pPr>
        <w:pStyle w:val="ListParagraph"/>
        <w:numPr>
          <w:ilvl w:val="2"/>
          <w:numId w:val="3"/>
        </w:numPr>
        <w:spacing w:after="60"/>
        <w:ind w:hanging="87"/>
        <w:contextualSpacing w:val="0"/>
        <w:rPr>
          <w:rFonts w:cs="Arial"/>
        </w:rPr>
      </w:pPr>
      <w:r w:rsidRPr="009F63CE">
        <w:rPr>
          <w:rFonts w:cs="Arial"/>
        </w:rPr>
        <w:t>g</w:t>
      </w:r>
      <w:r w:rsidR="00672021" w:rsidRPr="009F63CE">
        <w:rPr>
          <w:rFonts w:cs="Arial"/>
        </w:rPr>
        <w:t xml:space="preserve">estation &gt;43 weeks and birthweight missing </w:t>
      </w:r>
      <w:r w:rsidRPr="009F63CE">
        <w:rPr>
          <w:rFonts w:cs="Arial"/>
        </w:rPr>
        <w:t>(</w:t>
      </w:r>
      <w:r w:rsidR="00672021" w:rsidRPr="009F63CE">
        <w:rPr>
          <w:rFonts w:cs="Arial"/>
        </w:rPr>
        <w:t xml:space="preserve">the case </w:t>
      </w:r>
      <w:r w:rsidR="00D90281">
        <w:rPr>
          <w:rFonts w:cs="Arial"/>
        </w:rPr>
        <w:t>was</w:t>
      </w:r>
      <w:r w:rsidR="00D90281" w:rsidRPr="009F63CE">
        <w:rPr>
          <w:rFonts w:cs="Arial"/>
        </w:rPr>
        <w:t xml:space="preserve"> </w:t>
      </w:r>
      <w:r w:rsidR="00672021" w:rsidRPr="009F63CE">
        <w:rPr>
          <w:rFonts w:cs="Arial"/>
        </w:rPr>
        <w:t>included</w:t>
      </w:r>
      <w:r w:rsidR="00D90281">
        <w:rPr>
          <w:rFonts w:cs="Arial"/>
        </w:rPr>
        <w:t>,</w:t>
      </w:r>
      <w:r w:rsidR="00672021" w:rsidRPr="009F63CE">
        <w:rPr>
          <w:rFonts w:cs="Arial"/>
        </w:rPr>
        <w:t xml:space="preserve"> but gestation was set to missing</w:t>
      </w:r>
      <w:r w:rsidRPr="009F63CE">
        <w:rPr>
          <w:rFonts w:cs="Arial"/>
        </w:rPr>
        <w:t>)</w:t>
      </w:r>
      <w:r w:rsidR="00672021" w:rsidRPr="009F63CE">
        <w:rPr>
          <w:rFonts w:cs="Arial"/>
        </w:rPr>
        <w:t>.</w:t>
      </w:r>
    </w:p>
    <w:p w14:paraId="65B01370" w14:textId="70305031" w:rsidR="00AF4B42" w:rsidRPr="00C844A0" w:rsidRDefault="00672021" w:rsidP="00C844A0">
      <w:pPr>
        <w:pStyle w:val="ListParagraph"/>
        <w:spacing w:before="200"/>
        <w:ind w:left="360"/>
        <w:contextualSpacing w:val="0"/>
      </w:pPr>
      <w:r w:rsidRPr="00D90281">
        <w:rPr>
          <w:rFonts w:cs="Arial"/>
        </w:rPr>
        <w:t xml:space="preserve">In the </w:t>
      </w:r>
      <w:r w:rsidR="003B6FAC" w:rsidRPr="00D90281">
        <w:rPr>
          <w:rFonts w:cs="Arial"/>
        </w:rPr>
        <w:t>appended data up to 2019</w:t>
      </w:r>
      <w:r w:rsidR="00AF4B42" w:rsidRPr="00D90281">
        <w:rPr>
          <w:rFonts w:cs="Arial"/>
        </w:rPr>
        <w:t>, 9</w:t>
      </w:r>
      <w:r w:rsidR="009D2CD9" w:rsidRPr="00D90281">
        <w:rPr>
          <w:rFonts w:cs="Arial"/>
        </w:rPr>
        <w:t>3</w:t>
      </w:r>
      <w:r w:rsidRPr="00D90281">
        <w:rPr>
          <w:rFonts w:cs="Arial"/>
        </w:rPr>
        <w:t xml:space="preserve"> cases were excluded</w:t>
      </w:r>
      <w:r w:rsidR="00D64709" w:rsidRPr="00D90281">
        <w:rPr>
          <w:rFonts w:cs="Arial"/>
        </w:rPr>
        <w:t>,</w:t>
      </w:r>
      <w:r w:rsidRPr="00D90281">
        <w:rPr>
          <w:rFonts w:cs="Arial"/>
        </w:rPr>
        <w:t xml:space="preserve"> and </w:t>
      </w:r>
      <w:r w:rsidR="00AF4B42" w:rsidRPr="00D90281">
        <w:rPr>
          <w:rFonts w:cs="Arial"/>
        </w:rPr>
        <w:t>8</w:t>
      </w:r>
      <w:r w:rsidR="009D2CD9" w:rsidRPr="00D90281">
        <w:rPr>
          <w:rFonts w:cs="Arial"/>
        </w:rPr>
        <w:t>9</w:t>
      </w:r>
      <w:r w:rsidR="00AF4B42" w:rsidRPr="00D90281">
        <w:rPr>
          <w:rFonts w:cs="Arial"/>
        </w:rPr>
        <w:t>3</w:t>
      </w:r>
      <w:r w:rsidRPr="00D90281">
        <w:rPr>
          <w:rFonts w:cs="Arial"/>
        </w:rPr>
        <w:t xml:space="preserve"> cases had gestation set to missing.</w:t>
      </w:r>
      <w:r w:rsidR="00365A61" w:rsidRPr="00D90281">
        <w:rPr>
          <w:rFonts w:cs="Arial"/>
        </w:rPr>
        <w:t xml:space="preserve"> </w:t>
      </w:r>
      <w:r w:rsidR="00D90281">
        <w:rPr>
          <w:rFonts w:cs="Arial"/>
        </w:rPr>
        <w:t>In t</w:t>
      </w:r>
      <w:r w:rsidR="00AF4B42" w:rsidRPr="00D90281">
        <w:rPr>
          <w:rFonts w:cs="Arial"/>
        </w:rPr>
        <w:t>he 1</w:t>
      </w:r>
      <w:r w:rsidR="003B6FAC" w:rsidRPr="00D90281">
        <w:rPr>
          <w:rFonts w:cs="Arial"/>
        </w:rPr>
        <w:t>5</w:t>
      </w:r>
      <w:r w:rsidR="00AF4B42" w:rsidRPr="00D90281">
        <w:rPr>
          <w:rFonts w:cs="Arial"/>
        </w:rPr>
        <w:t>th report</w:t>
      </w:r>
      <w:r w:rsidR="00D90281">
        <w:rPr>
          <w:rFonts w:cs="Arial"/>
        </w:rPr>
        <w:t>,</w:t>
      </w:r>
      <w:r w:rsidR="00AF4B42" w:rsidRPr="00D90281">
        <w:rPr>
          <w:rFonts w:cs="Arial"/>
        </w:rPr>
        <w:t xml:space="preserve"> 100 cases </w:t>
      </w:r>
      <w:r w:rsidR="00DE7505">
        <w:rPr>
          <w:rFonts w:cs="Arial"/>
        </w:rPr>
        <w:t xml:space="preserve">were </w:t>
      </w:r>
      <w:r w:rsidR="00AF4B42" w:rsidRPr="00D90281">
        <w:rPr>
          <w:rFonts w:cs="Arial"/>
        </w:rPr>
        <w:t xml:space="preserve">excluded and 944 </w:t>
      </w:r>
      <w:r w:rsidR="00B16E97">
        <w:rPr>
          <w:rFonts w:cs="Arial"/>
        </w:rPr>
        <w:t xml:space="preserve">had </w:t>
      </w:r>
      <w:r w:rsidR="00AF4B42" w:rsidRPr="00D90281">
        <w:rPr>
          <w:rFonts w:cs="Arial"/>
        </w:rPr>
        <w:t xml:space="preserve">gestation set to </w:t>
      </w:r>
      <w:r w:rsidR="00AF4B42" w:rsidRPr="00D90281">
        <w:rPr>
          <w:rFonts w:cs="Arial"/>
        </w:rPr>
        <w:lastRenderedPageBreak/>
        <w:t xml:space="preserve">missing. </w:t>
      </w:r>
      <w:r w:rsidRPr="00D90281">
        <w:rPr>
          <w:rFonts w:cs="Arial"/>
        </w:rPr>
        <w:t>No cases with linked mortalities and morbidities (PMMRC</w:t>
      </w:r>
      <w:r w:rsidR="0050349F" w:rsidRPr="00D90281">
        <w:rPr>
          <w:rFonts w:cs="Arial"/>
        </w:rPr>
        <w:t xml:space="preserve"> </w:t>
      </w:r>
      <w:r w:rsidR="009F63CE" w:rsidRPr="00D90281">
        <w:rPr>
          <w:rFonts w:cs="Arial"/>
        </w:rPr>
        <w:t>data set</w:t>
      </w:r>
      <w:r w:rsidRPr="00D90281">
        <w:rPr>
          <w:rFonts w:cs="Arial"/>
        </w:rPr>
        <w:t>) were eliminated.</w:t>
      </w:r>
    </w:p>
    <w:p w14:paraId="59DAF400" w14:textId="77777777" w:rsidR="00710022" w:rsidRPr="009F63CE" w:rsidRDefault="00710022" w:rsidP="002D24D2">
      <w:pPr>
        <w:pStyle w:val="H3"/>
      </w:pPr>
      <w:bookmarkStart w:id="146" w:name="_Toc119317850"/>
      <w:bookmarkStart w:id="147" w:name="_Toc119317926"/>
      <w:bookmarkStart w:id="148" w:name="_Toc119407152"/>
      <w:r w:rsidRPr="009F63CE">
        <w:t xml:space="preserve">Specific limitations to the use of the MAT </w:t>
      </w:r>
      <w:r w:rsidR="009F63CE" w:rsidRPr="009F63CE">
        <w:t>data set</w:t>
      </w:r>
      <w:bookmarkEnd w:id="146"/>
      <w:bookmarkEnd w:id="147"/>
      <w:bookmarkEnd w:id="148"/>
    </w:p>
    <w:p w14:paraId="3FCF8EA0" w14:textId="77777777" w:rsidR="00710022" w:rsidRPr="009F63CE" w:rsidRDefault="00710022" w:rsidP="00B239C8">
      <w:pPr>
        <w:pStyle w:val="ListParagraph"/>
        <w:numPr>
          <w:ilvl w:val="0"/>
          <w:numId w:val="16"/>
        </w:numPr>
        <w:spacing w:after="120"/>
        <w:ind w:hanging="357"/>
        <w:contextualSpacing w:val="0"/>
        <w:rPr>
          <w:rFonts w:cs="Arial"/>
        </w:rPr>
      </w:pPr>
      <w:r w:rsidRPr="009F63CE">
        <w:rPr>
          <w:rFonts w:cs="Arial"/>
        </w:rPr>
        <w:t>Deaths are included in the numerator</w:t>
      </w:r>
      <w:r w:rsidR="00BC67EF" w:rsidRPr="009F63CE">
        <w:rPr>
          <w:rFonts w:cs="Arial"/>
        </w:rPr>
        <w:t xml:space="preserve"> </w:t>
      </w:r>
      <w:r w:rsidR="009F63CE" w:rsidRPr="009F63CE">
        <w:rPr>
          <w:rFonts w:cs="Arial"/>
        </w:rPr>
        <w:t>data set</w:t>
      </w:r>
      <w:r w:rsidRPr="009F63CE">
        <w:rPr>
          <w:rFonts w:cs="Arial"/>
        </w:rPr>
        <w:t xml:space="preserve"> based on their year of death (as previously), but births are included in the MAT denominator </w:t>
      </w:r>
      <w:r w:rsidR="009F63CE" w:rsidRPr="009F63CE">
        <w:rPr>
          <w:rFonts w:cs="Arial"/>
        </w:rPr>
        <w:t>data set</w:t>
      </w:r>
      <w:r w:rsidR="00F81938" w:rsidRPr="009F63CE">
        <w:rPr>
          <w:rFonts w:cs="Arial"/>
        </w:rPr>
        <w:t xml:space="preserve"> </w:t>
      </w:r>
      <w:r w:rsidRPr="009F63CE">
        <w:rPr>
          <w:rFonts w:cs="Arial"/>
        </w:rPr>
        <w:t>according to their year of birth. Some babies are born in one year and die in the next, creating a numerator–denominator mismatch. For the purposes of these analyses, deaths will remain in the year of their death (to be comparable to previous years).</w:t>
      </w:r>
    </w:p>
    <w:p w14:paraId="189F55D0" w14:textId="24D6CEDA" w:rsidR="00710022" w:rsidRPr="009F63CE" w:rsidRDefault="00710022" w:rsidP="00B239C8">
      <w:pPr>
        <w:pStyle w:val="ListParagraph"/>
        <w:numPr>
          <w:ilvl w:val="0"/>
          <w:numId w:val="16"/>
        </w:numPr>
        <w:spacing w:after="120"/>
        <w:ind w:hanging="357"/>
        <w:contextualSpacing w:val="0"/>
        <w:rPr>
          <w:rFonts w:cs="Arial"/>
        </w:rPr>
      </w:pPr>
      <w:r w:rsidRPr="009F63CE">
        <w:rPr>
          <w:rFonts w:cs="Arial"/>
        </w:rPr>
        <w:t xml:space="preserve">More than 90 percent of the smoking and BMI data are missing from the MAT </w:t>
      </w:r>
      <w:r w:rsidR="009F63CE" w:rsidRPr="009F63CE">
        <w:rPr>
          <w:rFonts w:cs="Arial"/>
        </w:rPr>
        <w:t>data set</w:t>
      </w:r>
      <w:r w:rsidR="003935BB">
        <w:rPr>
          <w:rFonts w:cs="Arial"/>
        </w:rPr>
        <w:t xml:space="preserve"> for</w:t>
      </w:r>
      <w:r w:rsidRPr="009F63CE">
        <w:rPr>
          <w:rFonts w:cs="Arial"/>
        </w:rPr>
        <w:t xml:space="preserve"> 2007.</w:t>
      </w:r>
      <w:r w:rsidR="00551505" w:rsidRPr="009F63CE">
        <w:rPr>
          <w:rFonts w:cs="Arial"/>
        </w:rPr>
        <w:t xml:space="preserve"> Therefore</w:t>
      </w:r>
      <w:r w:rsidR="00E06A70" w:rsidRPr="009F63CE">
        <w:rPr>
          <w:rFonts w:cs="Arial"/>
        </w:rPr>
        <w:t>,</w:t>
      </w:r>
      <w:r w:rsidR="00551505" w:rsidRPr="009F63CE">
        <w:rPr>
          <w:rFonts w:cs="Arial"/>
        </w:rPr>
        <w:t xml:space="preserve"> analyses using these variables only include data from 2008.</w:t>
      </w:r>
    </w:p>
    <w:p w14:paraId="33ABBD31" w14:textId="0881568C" w:rsidR="00551505" w:rsidRPr="009F63CE" w:rsidRDefault="00551505" w:rsidP="00B239C8">
      <w:pPr>
        <w:pStyle w:val="ListParagraph"/>
        <w:numPr>
          <w:ilvl w:val="0"/>
          <w:numId w:val="16"/>
        </w:numPr>
        <w:spacing w:after="120"/>
        <w:ind w:hanging="357"/>
        <w:contextualSpacing w:val="0"/>
        <w:rPr>
          <w:rFonts w:cs="Arial"/>
        </w:rPr>
      </w:pPr>
      <w:r w:rsidRPr="009F63CE">
        <w:rPr>
          <w:rFonts w:cs="Arial"/>
        </w:rPr>
        <w:t xml:space="preserve">Not all registration data are provided to the MAT (specifically, BMI and smoking are missing for </w:t>
      </w:r>
      <w:r w:rsidR="00641ACD" w:rsidRPr="009F63CE">
        <w:rPr>
          <w:rFonts w:cs="Arial"/>
        </w:rPr>
        <w:t>many</w:t>
      </w:r>
      <w:r w:rsidRPr="009F63CE">
        <w:rPr>
          <w:rFonts w:cs="Arial"/>
        </w:rPr>
        <w:t xml:space="preserve"> mothers </w:t>
      </w:r>
      <w:r w:rsidR="00502AB2" w:rsidRPr="009F63CE">
        <w:rPr>
          <w:rFonts w:cs="Arial"/>
        </w:rPr>
        <w:t xml:space="preserve">who receive </w:t>
      </w:r>
      <w:r w:rsidRPr="009F63CE">
        <w:rPr>
          <w:rFonts w:cs="Arial"/>
        </w:rPr>
        <w:t xml:space="preserve">primary maternity care </w:t>
      </w:r>
      <w:r w:rsidR="00502AB2" w:rsidRPr="009F63CE">
        <w:rPr>
          <w:rFonts w:cs="Arial"/>
        </w:rPr>
        <w:t xml:space="preserve">from </w:t>
      </w:r>
      <w:r w:rsidRPr="009F63CE">
        <w:rPr>
          <w:rFonts w:cs="Arial"/>
        </w:rPr>
        <w:t xml:space="preserve">DHBs). For this reason, analyses involving these variables are limited to women under the care of </w:t>
      </w:r>
      <w:r w:rsidR="00E06A70" w:rsidRPr="009F63CE">
        <w:rPr>
          <w:rFonts w:cs="Arial"/>
        </w:rPr>
        <w:t>c</w:t>
      </w:r>
      <w:r w:rsidR="00672021" w:rsidRPr="009F63CE">
        <w:rPr>
          <w:rFonts w:cs="Arial"/>
        </w:rPr>
        <w:t xml:space="preserve">ommunity-based midwives, private obstetricians and </w:t>
      </w:r>
      <w:r w:rsidR="00E06A70" w:rsidRPr="009F63CE">
        <w:rPr>
          <w:rFonts w:cs="Arial"/>
        </w:rPr>
        <w:t>GPs</w:t>
      </w:r>
      <w:r w:rsidRPr="009F63CE">
        <w:rPr>
          <w:rFonts w:cs="Arial"/>
        </w:rPr>
        <w:t>.</w:t>
      </w:r>
      <w:r w:rsidR="00641ACD" w:rsidRPr="009F63CE">
        <w:rPr>
          <w:rFonts w:cs="Arial"/>
        </w:rPr>
        <w:t xml:space="preserve"> In 2008, this was </w:t>
      </w:r>
      <w:r w:rsidR="00373FB7" w:rsidRPr="009F63CE">
        <w:rPr>
          <w:rFonts w:cs="Arial"/>
        </w:rPr>
        <w:t>79.9</w:t>
      </w:r>
      <w:r w:rsidR="00C95036" w:rsidRPr="009F63CE">
        <w:rPr>
          <w:rFonts w:cs="Arial"/>
        </w:rPr>
        <w:t> percent</w:t>
      </w:r>
      <w:r w:rsidR="00373FB7" w:rsidRPr="009F63CE">
        <w:rPr>
          <w:rFonts w:cs="Arial"/>
        </w:rPr>
        <w:t xml:space="preserve"> of births in </w:t>
      </w:r>
      <w:r w:rsidR="001E04AE">
        <w:rPr>
          <w:rFonts w:cs="Arial"/>
        </w:rPr>
        <w:t xml:space="preserve">Aotearoa </w:t>
      </w:r>
      <w:r w:rsidR="00373FB7" w:rsidRPr="009F63CE">
        <w:rPr>
          <w:rFonts w:cs="Arial"/>
        </w:rPr>
        <w:t>N</w:t>
      </w:r>
      <w:r w:rsidR="00E06A70" w:rsidRPr="009F63CE">
        <w:rPr>
          <w:rFonts w:cs="Arial"/>
        </w:rPr>
        <w:t xml:space="preserve">ew </w:t>
      </w:r>
      <w:r w:rsidR="00373FB7" w:rsidRPr="009F63CE">
        <w:rPr>
          <w:rFonts w:cs="Arial"/>
        </w:rPr>
        <w:t>Z</w:t>
      </w:r>
      <w:r w:rsidR="00E06A70" w:rsidRPr="009F63CE">
        <w:rPr>
          <w:rFonts w:cs="Arial"/>
        </w:rPr>
        <w:t>ealand</w:t>
      </w:r>
      <w:r w:rsidR="00516577">
        <w:rPr>
          <w:rFonts w:cs="Arial"/>
        </w:rPr>
        <w:t>;</w:t>
      </w:r>
      <w:r w:rsidR="00373FB7" w:rsidRPr="009F63CE">
        <w:rPr>
          <w:rFonts w:cs="Arial"/>
        </w:rPr>
        <w:t xml:space="preserve"> </w:t>
      </w:r>
      <w:r w:rsidR="00373FB7" w:rsidRPr="00C6296E">
        <w:rPr>
          <w:rFonts w:cs="Arial"/>
        </w:rPr>
        <w:t>in</w:t>
      </w:r>
      <w:r w:rsidR="003A76D5">
        <w:rPr>
          <w:rFonts w:cs="Arial"/>
        </w:rPr>
        <w:t xml:space="preserve"> 2016</w:t>
      </w:r>
      <w:r w:rsidR="00516577">
        <w:rPr>
          <w:rFonts w:cs="Arial"/>
        </w:rPr>
        <w:t>,</w:t>
      </w:r>
      <w:r w:rsidR="003A76D5">
        <w:rPr>
          <w:rFonts w:cs="Arial"/>
        </w:rPr>
        <w:t xml:space="preserve"> it was 92.</w:t>
      </w:r>
      <w:r w:rsidR="00622C09">
        <w:rPr>
          <w:rFonts w:cs="Arial"/>
        </w:rPr>
        <w:t>2</w:t>
      </w:r>
      <w:r w:rsidR="003A76D5">
        <w:rPr>
          <w:rFonts w:cs="Arial"/>
        </w:rPr>
        <w:t xml:space="preserve"> percent</w:t>
      </w:r>
      <w:r w:rsidR="00516577">
        <w:rPr>
          <w:rFonts w:cs="Arial"/>
        </w:rPr>
        <w:t>;</w:t>
      </w:r>
      <w:r w:rsidR="003A76D5">
        <w:rPr>
          <w:rFonts w:cs="Arial"/>
        </w:rPr>
        <w:t xml:space="preserve"> and in</w:t>
      </w:r>
      <w:r w:rsidR="00373FB7" w:rsidRPr="00C6296E">
        <w:rPr>
          <w:rFonts w:cs="Arial"/>
        </w:rPr>
        <w:t xml:space="preserve"> </w:t>
      </w:r>
      <w:r w:rsidR="00641ACD" w:rsidRPr="00C6296E">
        <w:rPr>
          <w:rFonts w:cs="Arial"/>
        </w:rPr>
        <w:t>201</w:t>
      </w:r>
      <w:r w:rsidR="00C6296E" w:rsidRPr="00C6296E">
        <w:rPr>
          <w:rFonts w:cs="Arial"/>
        </w:rPr>
        <w:t>9</w:t>
      </w:r>
      <w:r w:rsidR="00516577">
        <w:rPr>
          <w:rFonts w:cs="Arial"/>
        </w:rPr>
        <w:t>,</w:t>
      </w:r>
      <w:r w:rsidR="00502AB2" w:rsidRPr="00C6296E">
        <w:rPr>
          <w:rFonts w:cs="Arial"/>
        </w:rPr>
        <w:t xml:space="preserve"> it was</w:t>
      </w:r>
      <w:r w:rsidR="00373FB7" w:rsidRPr="00C6296E">
        <w:rPr>
          <w:rFonts w:cs="Arial"/>
        </w:rPr>
        <w:t xml:space="preserve"> 9</w:t>
      </w:r>
      <w:r w:rsidR="00C6296E" w:rsidRPr="00C6296E">
        <w:rPr>
          <w:rFonts w:cs="Arial"/>
        </w:rPr>
        <w:t>3</w:t>
      </w:r>
      <w:r w:rsidR="00C95036" w:rsidRPr="00C6296E">
        <w:rPr>
          <w:rFonts w:cs="Arial"/>
        </w:rPr>
        <w:t> percent</w:t>
      </w:r>
      <w:r w:rsidR="00373FB7" w:rsidRPr="00C6296E">
        <w:rPr>
          <w:rFonts w:cs="Arial"/>
        </w:rPr>
        <w:t>.</w:t>
      </w:r>
      <w:r w:rsidR="00641ACD" w:rsidRPr="009F63CE">
        <w:rPr>
          <w:rFonts w:cs="Arial"/>
        </w:rPr>
        <w:t xml:space="preserve"> </w:t>
      </w:r>
    </w:p>
    <w:p w14:paraId="5E85D638" w14:textId="64E1FE51" w:rsidR="00551505" w:rsidRPr="009F63CE" w:rsidRDefault="00710022" w:rsidP="00B239C8">
      <w:pPr>
        <w:pStyle w:val="ListParagraph"/>
        <w:numPr>
          <w:ilvl w:val="0"/>
          <w:numId w:val="16"/>
        </w:numPr>
        <w:spacing w:after="120"/>
        <w:ind w:hanging="357"/>
        <w:contextualSpacing w:val="0"/>
        <w:rPr>
          <w:rFonts w:cs="Arial"/>
        </w:rPr>
      </w:pPr>
      <w:r w:rsidRPr="009F63CE">
        <w:rPr>
          <w:rFonts w:cs="Arial"/>
        </w:rPr>
        <w:t xml:space="preserve">As the PMMRC deaths have been merged where possible with records in the MAT </w:t>
      </w:r>
      <w:r w:rsidR="009F63CE" w:rsidRPr="009F63CE">
        <w:rPr>
          <w:rFonts w:cs="Arial"/>
        </w:rPr>
        <w:t>data set</w:t>
      </w:r>
      <w:r w:rsidRPr="009F63CE">
        <w:rPr>
          <w:rFonts w:cs="Arial"/>
        </w:rPr>
        <w:t xml:space="preserve">, data are now available from both the PMMRC </w:t>
      </w:r>
      <w:r w:rsidR="009F63CE" w:rsidRPr="009F63CE">
        <w:rPr>
          <w:rFonts w:cs="Arial"/>
        </w:rPr>
        <w:t>data set</w:t>
      </w:r>
      <w:r w:rsidRPr="009F63CE">
        <w:rPr>
          <w:rFonts w:cs="Arial"/>
        </w:rPr>
        <w:t xml:space="preserve"> and the MAT </w:t>
      </w:r>
      <w:r w:rsidR="009F63CE" w:rsidRPr="009F63CE">
        <w:rPr>
          <w:rFonts w:cs="Arial"/>
        </w:rPr>
        <w:t>data set</w:t>
      </w:r>
      <w:r w:rsidRPr="009F63CE">
        <w:rPr>
          <w:rFonts w:cs="Arial"/>
        </w:rPr>
        <w:t xml:space="preserve"> for the</w:t>
      </w:r>
      <w:r w:rsidR="00F92ABF">
        <w:rPr>
          <w:rFonts w:cs="Arial"/>
        </w:rPr>
        <w:t xml:space="preserve"> babies and</w:t>
      </w:r>
      <w:r w:rsidRPr="009F63CE">
        <w:rPr>
          <w:rFonts w:cs="Arial"/>
        </w:rPr>
        <w:t xml:space="preserve"> mothers </w:t>
      </w:r>
      <w:r w:rsidR="0050349F" w:rsidRPr="009F63CE">
        <w:rPr>
          <w:rFonts w:cs="Arial"/>
        </w:rPr>
        <w:t xml:space="preserve">of babies who </w:t>
      </w:r>
      <w:r w:rsidR="00502AB2" w:rsidRPr="009F63CE">
        <w:rPr>
          <w:rFonts w:cs="Arial"/>
        </w:rPr>
        <w:t>died in the perinatal period</w:t>
      </w:r>
      <w:r w:rsidR="00502AB2" w:rsidRPr="009F63CE" w:rsidDel="00502AB2">
        <w:rPr>
          <w:rFonts w:cs="Arial"/>
        </w:rPr>
        <w:t xml:space="preserve"> </w:t>
      </w:r>
      <w:r w:rsidR="0050349F" w:rsidRPr="009F63CE">
        <w:rPr>
          <w:rFonts w:cs="Arial"/>
        </w:rPr>
        <w:t xml:space="preserve">or were diagnosed with </w:t>
      </w:r>
      <w:r w:rsidR="00E82AA2" w:rsidRPr="009F63CE">
        <w:rPr>
          <w:rFonts w:cs="Arial"/>
        </w:rPr>
        <w:t>NE</w:t>
      </w:r>
      <w:r w:rsidRPr="009F63CE">
        <w:rPr>
          <w:rFonts w:cs="Arial"/>
        </w:rPr>
        <w:t xml:space="preserve">. It is therefore possible to examine the consistency of some of the collected data fields. Some variables have systematically different measurements in the PMMRC </w:t>
      </w:r>
      <w:r w:rsidR="009F63CE" w:rsidRPr="009F63CE">
        <w:rPr>
          <w:rFonts w:cs="Arial"/>
        </w:rPr>
        <w:t>data set</w:t>
      </w:r>
      <w:r w:rsidRPr="009F63CE">
        <w:rPr>
          <w:rFonts w:cs="Arial"/>
        </w:rPr>
        <w:t xml:space="preserve"> compared </w:t>
      </w:r>
      <w:r w:rsidR="007D6A0D">
        <w:rPr>
          <w:rFonts w:cs="Arial"/>
        </w:rPr>
        <w:t xml:space="preserve">with </w:t>
      </w:r>
      <w:r w:rsidRPr="009F63CE">
        <w:rPr>
          <w:rFonts w:cs="Arial"/>
        </w:rPr>
        <w:t>the MAT</w:t>
      </w:r>
      <w:r w:rsidR="00BC67EF" w:rsidRPr="009F63CE">
        <w:rPr>
          <w:rFonts w:cs="Arial"/>
        </w:rPr>
        <w:t xml:space="preserve"> </w:t>
      </w:r>
      <w:r w:rsidR="009F63CE" w:rsidRPr="009F63CE">
        <w:rPr>
          <w:rFonts w:cs="Arial"/>
        </w:rPr>
        <w:t>data set</w:t>
      </w:r>
      <w:r w:rsidRPr="009F63CE">
        <w:rPr>
          <w:rFonts w:cs="Arial"/>
        </w:rPr>
        <w:t>; for example, BMI and smoking are systematically higher and more common in the PMMRC</w:t>
      </w:r>
      <w:r w:rsidR="00BC67EF" w:rsidRPr="009F63CE">
        <w:rPr>
          <w:rFonts w:cs="Arial"/>
        </w:rPr>
        <w:t xml:space="preserve"> </w:t>
      </w:r>
      <w:r w:rsidR="009F63CE" w:rsidRPr="009F63CE">
        <w:rPr>
          <w:rFonts w:cs="Arial"/>
        </w:rPr>
        <w:t>data set</w:t>
      </w:r>
      <w:r w:rsidRPr="009F63CE">
        <w:rPr>
          <w:rFonts w:cs="Arial"/>
        </w:rPr>
        <w:t xml:space="preserve"> than in the MAT</w:t>
      </w:r>
      <w:r w:rsidR="00BC67EF" w:rsidRPr="009F63CE">
        <w:rPr>
          <w:rFonts w:cs="Arial"/>
        </w:rPr>
        <w:t xml:space="preserve"> </w:t>
      </w:r>
      <w:r w:rsidR="009F63CE" w:rsidRPr="009F63CE">
        <w:rPr>
          <w:rFonts w:cs="Arial"/>
        </w:rPr>
        <w:t>data set</w:t>
      </w:r>
      <w:r w:rsidRPr="009F63CE">
        <w:rPr>
          <w:rFonts w:cs="Arial"/>
        </w:rPr>
        <w:t xml:space="preserve"> for the mothers of babies who died in the perinatal period. </w:t>
      </w:r>
      <w:r w:rsidR="00551505" w:rsidRPr="009F63CE">
        <w:rPr>
          <w:rFonts w:cs="Arial"/>
        </w:rPr>
        <w:t xml:space="preserve">In addition, </w:t>
      </w:r>
      <w:r w:rsidR="0088184F">
        <w:rPr>
          <w:rFonts w:cs="Arial"/>
        </w:rPr>
        <w:t xml:space="preserve">some variables do not match directly between the two sets. For example, </w:t>
      </w:r>
      <w:r w:rsidR="00551505" w:rsidRPr="009F63CE">
        <w:rPr>
          <w:rFonts w:cs="Arial"/>
        </w:rPr>
        <w:t xml:space="preserve">smoking data are collected at time of death in the PMMRC </w:t>
      </w:r>
      <w:r w:rsidR="009F63CE" w:rsidRPr="009F63CE">
        <w:rPr>
          <w:rFonts w:cs="Arial"/>
        </w:rPr>
        <w:t>data set</w:t>
      </w:r>
      <w:r w:rsidR="00551505" w:rsidRPr="009F63CE">
        <w:rPr>
          <w:rFonts w:cs="Arial"/>
        </w:rPr>
        <w:t xml:space="preserve"> but at time of registration with an LMC and at two weeks postpartum in the MAT </w:t>
      </w:r>
      <w:r w:rsidR="009F63CE" w:rsidRPr="009F63CE">
        <w:rPr>
          <w:rFonts w:cs="Arial"/>
        </w:rPr>
        <w:t>data set</w:t>
      </w:r>
      <w:r w:rsidR="00551505" w:rsidRPr="009F63CE">
        <w:rPr>
          <w:rFonts w:cs="Arial"/>
        </w:rPr>
        <w:t>.</w:t>
      </w:r>
    </w:p>
    <w:p w14:paraId="4F77FEE1" w14:textId="0F2CD68F" w:rsidR="00551505" w:rsidRPr="009F63CE" w:rsidRDefault="00710022" w:rsidP="00B239C8">
      <w:pPr>
        <w:pStyle w:val="ListParagraph"/>
        <w:spacing w:after="120"/>
        <w:ind w:left="426"/>
        <w:contextualSpacing w:val="0"/>
        <w:rPr>
          <w:rFonts w:cs="Arial"/>
        </w:rPr>
      </w:pPr>
      <w:r w:rsidRPr="009F63CE">
        <w:rPr>
          <w:rFonts w:cs="Arial"/>
        </w:rPr>
        <w:t>MAT data have therefore been used for the numerator as well as the denominator for BMI and smoking to avoid numerator–denominator bias</w:t>
      </w:r>
      <w:r w:rsidR="000D4608">
        <w:rPr>
          <w:rFonts w:cs="Arial"/>
        </w:rPr>
        <w:t xml:space="preserve">, </w:t>
      </w:r>
      <w:r w:rsidRPr="009F63CE">
        <w:rPr>
          <w:rFonts w:cs="Arial"/>
        </w:rPr>
        <w:t xml:space="preserve">and as a consequence, the analysis is limited to mothers and babies where there was a successful match. </w:t>
      </w:r>
    </w:p>
    <w:p w14:paraId="4979E417" w14:textId="2C0DFFBC" w:rsidR="00710022" w:rsidRPr="009F63CE" w:rsidRDefault="00710022" w:rsidP="00B239C8">
      <w:pPr>
        <w:pStyle w:val="ListParagraph"/>
        <w:spacing w:after="120"/>
        <w:ind w:left="426"/>
        <w:contextualSpacing w:val="0"/>
        <w:rPr>
          <w:rFonts w:cs="Arial"/>
        </w:rPr>
      </w:pPr>
      <w:r w:rsidRPr="009F63CE">
        <w:rPr>
          <w:rFonts w:cs="Arial"/>
        </w:rPr>
        <w:t>For variables (</w:t>
      </w:r>
      <w:r w:rsidR="00725BCB" w:rsidRPr="009F63CE">
        <w:rPr>
          <w:rFonts w:cs="Arial"/>
        </w:rPr>
        <w:t>eg</w:t>
      </w:r>
      <w:r w:rsidRPr="009F63CE">
        <w:rPr>
          <w:rFonts w:cs="Arial"/>
        </w:rPr>
        <w:t xml:space="preserve">, </w:t>
      </w:r>
      <w:r w:rsidR="00E82AA2" w:rsidRPr="009F63CE">
        <w:rPr>
          <w:rFonts w:cs="Arial"/>
        </w:rPr>
        <w:t>gestation</w:t>
      </w:r>
      <w:r w:rsidR="00551505" w:rsidRPr="009F63CE">
        <w:rPr>
          <w:rFonts w:cs="Arial"/>
        </w:rPr>
        <w:t>,</w:t>
      </w:r>
      <w:r w:rsidR="00E82AA2" w:rsidRPr="009F63CE">
        <w:rPr>
          <w:rFonts w:cs="Arial"/>
        </w:rPr>
        <w:t xml:space="preserve"> birthweight</w:t>
      </w:r>
      <w:r w:rsidR="00551505" w:rsidRPr="009F63CE">
        <w:rPr>
          <w:rFonts w:cs="Arial"/>
        </w:rPr>
        <w:t>, plurality</w:t>
      </w:r>
      <w:r w:rsidRPr="009F63CE">
        <w:rPr>
          <w:rFonts w:cs="Arial"/>
        </w:rPr>
        <w:t xml:space="preserve">) where the MAT and PMMRC data are variably inconsistent but not systematically different, the PMMRC data are used for the numerator deaths data because we believe these have been checked for accuracy more thoroughly than the MAT </w:t>
      </w:r>
      <w:r w:rsidR="009F63CE" w:rsidRPr="009F63CE">
        <w:rPr>
          <w:rFonts w:cs="Arial"/>
        </w:rPr>
        <w:t>data set</w:t>
      </w:r>
      <w:r w:rsidRPr="009F63CE">
        <w:rPr>
          <w:rFonts w:cs="Arial"/>
        </w:rPr>
        <w:t xml:space="preserve"> and because it means all babies can be included in the analyses. </w:t>
      </w:r>
    </w:p>
    <w:p w14:paraId="643024D7" w14:textId="337C8E62" w:rsidR="00710022" w:rsidRPr="009F63CE" w:rsidRDefault="00710022" w:rsidP="00B239C8">
      <w:pPr>
        <w:pStyle w:val="ListParagraph"/>
        <w:numPr>
          <w:ilvl w:val="0"/>
          <w:numId w:val="16"/>
        </w:numPr>
        <w:spacing w:after="120"/>
        <w:ind w:hanging="357"/>
        <w:contextualSpacing w:val="0"/>
        <w:rPr>
          <w:rFonts w:cs="Arial"/>
        </w:rPr>
      </w:pPr>
      <w:r w:rsidRPr="009F63CE">
        <w:rPr>
          <w:rFonts w:cs="Arial"/>
        </w:rPr>
        <w:t>The variable for LMC is inaccurate for any LMC prior to 2008</w:t>
      </w:r>
      <w:r w:rsidR="00880B1E" w:rsidRPr="009F63CE">
        <w:rPr>
          <w:rFonts w:cs="Arial"/>
        </w:rPr>
        <w:t>.</w:t>
      </w:r>
      <w:r w:rsidRPr="009F63CE">
        <w:rPr>
          <w:rFonts w:cs="Arial"/>
        </w:rPr>
        <w:t xml:space="preserve"> </w:t>
      </w:r>
      <w:r w:rsidR="00880B1E" w:rsidRPr="009F63CE">
        <w:rPr>
          <w:rFonts w:cs="Arial"/>
        </w:rPr>
        <w:t>F</w:t>
      </w:r>
      <w:r w:rsidRPr="009F63CE">
        <w:rPr>
          <w:rFonts w:cs="Arial"/>
        </w:rPr>
        <w:t>rom 2008</w:t>
      </w:r>
      <w:r w:rsidR="00DF25AC">
        <w:rPr>
          <w:rFonts w:cs="Arial"/>
        </w:rPr>
        <w:t>,</w:t>
      </w:r>
      <w:r w:rsidRPr="009F63CE">
        <w:rPr>
          <w:rFonts w:cs="Arial"/>
        </w:rPr>
        <w:t xml:space="preserve"> this variable provides a reasonable estimate of LMC for the groups midwife (self-employed or </w:t>
      </w:r>
      <w:r w:rsidR="00880B1E" w:rsidRPr="009F63CE">
        <w:rPr>
          <w:rFonts w:cs="Arial"/>
        </w:rPr>
        <w:t>c</w:t>
      </w:r>
      <w:r w:rsidRPr="009F63CE">
        <w:rPr>
          <w:rFonts w:cs="Arial"/>
        </w:rPr>
        <w:t xml:space="preserve">ommunity), private obstetrician and </w:t>
      </w:r>
      <w:r w:rsidR="00880B1E" w:rsidRPr="009F63CE">
        <w:rPr>
          <w:rFonts w:cs="Arial"/>
        </w:rPr>
        <w:t>GP</w:t>
      </w:r>
      <w:r w:rsidRPr="009F63CE">
        <w:rPr>
          <w:rFonts w:cs="Arial"/>
        </w:rPr>
        <w:t xml:space="preserve">. The LMC variable for DHB remains inaccurate, with some women under the care of DHB primary maternity services still noted as having </w:t>
      </w:r>
      <w:r w:rsidR="00D544F3" w:rsidRPr="009F63CE">
        <w:rPr>
          <w:rFonts w:cs="Arial"/>
        </w:rPr>
        <w:t>‘</w:t>
      </w:r>
      <w:r w:rsidRPr="009F63CE">
        <w:rPr>
          <w:rFonts w:cs="Arial"/>
        </w:rPr>
        <w:t>No LMC</w:t>
      </w:r>
      <w:r w:rsidR="00D544F3" w:rsidRPr="009F63CE">
        <w:rPr>
          <w:rFonts w:cs="Arial"/>
        </w:rPr>
        <w:t>’</w:t>
      </w:r>
      <w:r w:rsidRPr="009F63CE">
        <w:rPr>
          <w:rFonts w:cs="Arial"/>
        </w:rPr>
        <w:t xml:space="preserve">. This arises because </w:t>
      </w:r>
      <w:r w:rsidR="00E82AA2" w:rsidRPr="009F63CE">
        <w:rPr>
          <w:rFonts w:cs="Arial"/>
        </w:rPr>
        <w:t>some</w:t>
      </w:r>
      <w:r w:rsidRPr="009F63CE">
        <w:rPr>
          <w:rFonts w:cs="Arial"/>
        </w:rPr>
        <w:t xml:space="preserve"> </w:t>
      </w:r>
      <w:r w:rsidR="00E82AA2" w:rsidRPr="009F63CE">
        <w:rPr>
          <w:rFonts w:cs="Arial"/>
        </w:rPr>
        <w:t>DHB</w:t>
      </w:r>
      <w:r w:rsidRPr="009F63CE">
        <w:rPr>
          <w:rFonts w:cs="Arial"/>
        </w:rPr>
        <w:t xml:space="preserve">s do not provide </w:t>
      </w:r>
      <w:r w:rsidR="00C6296E">
        <w:rPr>
          <w:rFonts w:cs="Arial"/>
        </w:rPr>
        <w:t xml:space="preserve">complete </w:t>
      </w:r>
      <w:r w:rsidRPr="009F63CE">
        <w:rPr>
          <w:rFonts w:cs="Arial"/>
        </w:rPr>
        <w:t xml:space="preserve">primary maternity data to the MAT </w:t>
      </w:r>
      <w:r w:rsidR="009F63CE" w:rsidRPr="009F63CE">
        <w:rPr>
          <w:rFonts w:cs="Arial"/>
        </w:rPr>
        <w:t>data set</w:t>
      </w:r>
      <w:r w:rsidRPr="009F63CE">
        <w:rPr>
          <w:rFonts w:cs="Arial"/>
        </w:rPr>
        <w:t>.</w:t>
      </w:r>
    </w:p>
    <w:p w14:paraId="260227D2" w14:textId="4B8A5572" w:rsidR="00E82AA2" w:rsidRPr="009F63CE" w:rsidRDefault="00E82AA2" w:rsidP="00B239C8">
      <w:pPr>
        <w:pStyle w:val="ListParagraph"/>
        <w:numPr>
          <w:ilvl w:val="0"/>
          <w:numId w:val="16"/>
        </w:numPr>
        <w:spacing w:after="120"/>
        <w:ind w:hanging="357"/>
        <w:contextualSpacing w:val="0"/>
        <w:rPr>
          <w:rFonts w:cs="Arial"/>
        </w:rPr>
      </w:pPr>
      <w:r w:rsidRPr="009F63CE">
        <w:rPr>
          <w:rFonts w:cs="Arial"/>
        </w:rPr>
        <w:t xml:space="preserve">There is a systematic error in the data sent to the MAT </w:t>
      </w:r>
      <w:r w:rsidR="009F63CE" w:rsidRPr="009F63CE">
        <w:rPr>
          <w:rFonts w:cs="Arial"/>
        </w:rPr>
        <w:t>data set</w:t>
      </w:r>
      <w:r w:rsidRPr="009F63CE">
        <w:rPr>
          <w:rFonts w:cs="Arial"/>
        </w:rPr>
        <w:t xml:space="preserve"> by </w:t>
      </w:r>
      <w:r w:rsidR="00C27287">
        <w:rPr>
          <w:rFonts w:cs="Arial"/>
        </w:rPr>
        <w:t xml:space="preserve">some </w:t>
      </w:r>
      <w:r w:rsidRPr="009F63CE">
        <w:rPr>
          <w:rFonts w:cs="Arial"/>
        </w:rPr>
        <w:t xml:space="preserve">DHBs when parity is </w:t>
      </w:r>
      <w:r w:rsidR="00D544F3" w:rsidRPr="009F63CE">
        <w:rPr>
          <w:rFonts w:cs="Arial"/>
        </w:rPr>
        <w:t>‘</w:t>
      </w:r>
      <w:r w:rsidR="00672021" w:rsidRPr="009F63CE">
        <w:rPr>
          <w:rFonts w:cs="Arial"/>
        </w:rPr>
        <w:t>zero</w:t>
      </w:r>
      <w:r w:rsidR="00D544F3" w:rsidRPr="009F63CE">
        <w:rPr>
          <w:rFonts w:cs="Arial"/>
        </w:rPr>
        <w:t>’</w:t>
      </w:r>
      <w:r w:rsidRPr="009F63CE">
        <w:rPr>
          <w:rFonts w:cs="Arial"/>
        </w:rPr>
        <w:t xml:space="preserve"> (nulliparity)</w:t>
      </w:r>
      <w:r w:rsidR="004272EA">
        <w:rPr>
          <w:rFonts w:cs="Arial"/>
        </w:rPr>
        <w:t>,</w:t>
      </w:r>
      <w:r w:rsidRPr="009F63CE">
        <w:rPr>
          <w:rFonts w:cs="Arial"/>
        </w:rPr>
        <w:t xml:space="preserve"> such that these mothers are recorded in the MAT </w:t>
      </w:r>
      <w:r w:rsidR="009F63CE" w:rsidRPr="009F63CE">
        <w:rPr>
          <w:rFonts w:cs="Arial"/>
        </w:rPr>
        <w:t>data set</w:t>
      </w:r>
      <w:r w:rsidRPr="009F63CE">
        <w:rPr>
          <w:rFonts w:cs="Arial"/>
        </w:rPr>
        <w:t xml:space="preserve"> as </w:t>
      </w:r>
      <w:r w:rsidR="00D544F3" w:rsidRPr="009F63CE">
        <w:rPr>
          <w:rFonts w:cs="Arial"/>
        </w:rPr>
        <w:lastRenderedPageBreak/>
        <w:t>‘</w:t>
      </w:r>
      <w:r w:rsidRPr="009F63CE">
        <w:rPr>
          <w:rFonts w:cs="Arial"/>
        </w:rPr>
        <w:t>missing</w:t>
      </w:r>
      <w:r w:rsidR="00D544F3" w:rsidRPr="009F63CE">
        <w:rPr>
          <w:rFonts w:cs="Arial"/>
        </w:rPr>
        <w:t>’</w:t>
      </w:r>
      <w:r w:rsidRPr="009F63CE">
        <w:rPr>
          <w:rFonts w:cs="Arial"/>
        </w:rPr>
        <w:t xml:space="preserve"> parity. For this reason</w:t>
      </w:r>
      <w:r w:rsidR="006447CA" w:rsidRPr="009F63CE">
        <w:rPr>
          <w:rFonts w:cs="Arial"/>
        </w:rPr>
        <w:t>,</w:t>
      </w:r>
      <w:r w:rsidRPr="009F63CE">
        <w:rPr>
          <w:rFonts w:cs="Arial"/>
        </w:rPr>
        <w:t xml:space="preserve"> analyses of parity </w:t>
      </w:r>
      <w:r w:rsidR="00551505" w:rsidRPr="009F63CE">
        <w:rPr>
          <w:rFonts w:cs="Arial"/>
        </w:rPr>
        <w:t>are limited to women under the care of midwifery, private obstetric and GP LMCs. As the variable for LMC is inaccurate prior to 2008, parity is only reported from 2008.</w:t>
      </w:r>
    </w:p>
    <w:p w14:paraId="3BBE635A" w14:textId="1F9B4AD3" w:rsidR="00551505" w:rsidRPr="009F63CE" w:rsidRDefault="00710022" w:rsidP="00B239C8">
      <w:pPr>
        <w:pStyle w:val="ListParagraph"/>
        <w:numPr>
          <w:ilvl w:val="0"/>
          <w:numId w:val="16"/>
        </w:numPr>
        <w:spacing w:after="120"/>
        <w:ind w:hanging="357"/>
        <w:contextualSpacing w:val="0"/>
        <w:rPr>
          <w:rFonts w:cs="Arial"/>
        </w:rPr>
      </w:pPr>
      <w:r w:rsidRPr="009F63CE">
        <w:rPr>
          <w:rFonts w:cs="Arial"/>
        </w:rPr>
        <w:t xml:space="preserve">There are differences in the ethnicity defined for mothers and babies </w:t>
      </w:r>
      <w:r w:rsidR="00310337" w:rsidRPr="009F63CE">
        <w:rPr>
          <w:rFonts w:cs="Arial"/>
        </w:rPr>
        <w:t>in</w:t>
      </w:r>
      <w:r w:rsidRPr="009F63CE">
        <w:rPr>
          <w:rFonts w:cs="Arial"/>
        </w:rPr>
        <w:t xml:space="preserve"> the PMMRC </w:t>
      </w:r>
      <w:r w:rsidR="009F63CE" w:rsidRPr="009F63CE">
        <w:rPr>
          <w:rFonts w:cs="Arial"/>
        </w:rPr>
        <w:t>data set</w:t>
      </w:r>
      <w:r w:rsidR="00310337" w:rsidRPr="009F63CE">
        <w:rPr>
          <w:rFonts w:cs="Arial"/>
        </w:rPr>
        <w:t xml:space="preserve">s compared </w:t>
      </w:r>
      <w:r w:rsidR="00DF3A43">
        <w:rPr>
          <w:rFonts w:cs="Arial"/>
        </w:rPr>
        <w:t xml:space="preserve">with </w:t>
      </w:r>
      <w:r w:rsidRPr="009F63CE">
        <w:rPr>
          <w:rFonts w:cs="Arial"/>
        </w:rPr>
        <w:t xml:space="preserve">the MAT </w:t>
      </w:r>
      <w:r w:rsidR="009F63CE" w:rsidRPr="009F63CE">
        <w:rPr>
          <w:rFonts w:cs="Arial"/>
        </w:rPr>
        <w:t>data set</w:t>
      </w:r>
      <w:r w:rsidR="00DF3A43">
        <w:rPr>
          <w:rFonts w:cs="Arial"/>
        </w:rPr>
        <w:t>,</w:t>
      </w:r>
      <w:r w:rsidR="008E2EED" w:rsidRPr="008E2EED">
        <w:t xml:space="preserve"> </w:t>
      </w:r>
      <w:r w:rsidR="008E2EED">
        <w:rPr>
          <w:rFonts w:cs="Arial"/>
        </w:rPr>
        <w:t>and this is an</w:t>
      </w:r>
      <w:r w:rsidR="008E2EED" w:rsidRPr="008E2EED">
        <w:rPr>
          <w:rFonts w:cs="Arial"/>
        </w:rPr>
        <w:t xml:space="preserve"> example of</w:t>
      </w:r>
      <w:r w:rsidR="008E2EED">
        <w:rPr>
          <w:rFonts w:cs="Arial"/>
        </w:rPr>
        <w:t xml:space="preserve"> potential </w:t>
      </w:r>
      <w:r w:rsidR="008E2EED" w:rsidRPr="008E2EED">
        <w:rPr>
          <w:rFonts w:cs="Arial"/>
        </w:rPr>
        <w:t>numerator</w:t>
      </w:r>
      <w:r w:rsidR="00DF3A43">
        <w:rPr>
          <w:rFonts w:cs="Arial"/>
        </w:rPr>
        <w:t>–</w:t>
      </w:r>
      <w:r w:rsidR="008E2EED" w:rsidRPr="008E2EED">
        <w:rPr>
          <w:rFonts w:cs="Arial"/>
        </w:rPr>
        <w:t>denominator bias</w:t>
      </w:r>
      <w:r w:rsidRPr="009F63CE">
        <w:rPr>
          <w:rFonts w:cs="Arial"/>
        </w:rPr>
        <w:t xml:space="preserve">. </w:t>
      </w:r>
      <w:r w:rsidR="00310337" w:rsidRPr="009F63CE">
        <w:rPr>
          <w:rFonts w:cs="Arial"/>
        </w:rPr>
        <w:t>E</w:t>
      </w:r>
      <w:r w:rsidRPr="009F63CE">
        <w:rPr>
          <w:rFonts w:cs="Arial"/>
        </w:rPr>
        <w:t xml:space="preserve">thnicity for </w:t>
      </w:r>
      <w:r w:rsidR="00310337" w:rsidRPr="009F63CE">
        <w:rPr>
          <w:rFonts w:cs="Arial"/>
        </w:rPr>
        <w:t xml:space="preserve">numerators (perinatal and maternal mortality and </w:t>
      </w:r>
      <w:r w:rsidR="006447CA" w:rsidRPr="009F63CE">
        <w:rPr>
          <w:rFonts w:cs="Arial"/>
        </w:rPr>
        <w:t>NE</w:t>
      </w:r>
      <w:r w:rsidR="00310337" w:rsidRPr="009F63CE">
        <w:rPr>
          <w:rFonts w:cs="Arial"/>
        </w:rPr>
        <w:t>)</w:t>
      </w:r>
      <w:r w:rsidRPr="009F63CE">
        <w:rPr>
          <w:rFonts w:cs="Arial"/>
        </w:rPr>
        <w:t xml:space="preserve"> has been defined </w:t>
      </w:r>
      <w:r w:rsidR="00310337" w:rsidRPr="009F63CE">
        <w:rPr>
          <w:rFonts w:cs="Arial"/>
        </w:rPr>
        <w:t>in most instances using</w:t>
      </w:r>
      <w:r w:rsidRPr="009F63CE">
        <w:rPr>
          <w:rFonts w:cs="Arial"/>
        </w:rPr>
        <w:t xml:space="preserve"> the </w:t>
      </w:r>
      <w:r w:rsidR="00310337" w:rsidRPr="009F63CE">
        <w:rPr>
          <w:rFonts w:cs="Arial"/>
        </w:rPr>
        <w:t xml:space="preserve">ethnicity </w:t>
      </w:r>
      <w:r w:rsidRPr="009F63CE">
        <w:rPr>
          <w:rFonts w:cs="Arial"/>
        </w:rPr>
        <w:t xml:space="preserve">data in the PMMRC </w:t>
      </w:r>
      <w:r w:rsidR="009F63CE" w:rsidRPr="009F63CE">
        <w:rPr>
          <w:rFonts w:cs="Arial"/>
        </w:rPr>
        <w:t>data set</w:t>
      </w:r>
      <w:r w:rsidR="00310337" w:rsidRPr="009F63CE">
        <w:rPr>
          <w:rFonts w:cs="Arial"/>
        </w:rPr>
        <w:t>s</w:t>
      </w:r>
      <w:r w:rsidRPr="009F63CE">
        <w:rPr>
          <w:rFonts w:cs="Arial"/>
        </w:rPr>
        <w:t xml:space="preserve"> (primarily obtained from BDM registration)</w:t>
      </w:r>
      <w:r w:rsidR="00562B61" w:rsidRPr="009F63CE">
        <w:rPr>
          <w:rFonts w:cs="Arial"/>
        </w:rPr>
        <w:t xml:space="preserve"> because BDM data are most similar to </w:t>
      </w:r>
      <w:r w:rsidR="006447CA" w:rsidRPr="009F63CE">
        <w:rPr>
          <w:rFonts w:cs="Arial"/>
        </w:rPr>
        <w:t>c</w:t>
      </w:r>
      <w:r w:rsidR="00562B61" w:rsidRPr="009F63CE">
        <w:rPr>
          <w:rFonts w:cs="Arial"/>
        </w:rPr>
        <w:t xml:space="preserve">ensus data </w:t>
      </w:r>
      <w:r w:rsidR="00310337" w:rsidRPr="009F63CE">
        <w:rPr>
          <w:rFonts w:cs="Arial"/>
        </w:rPr>
        <w:t>(</w:t>
      </w:r>
      <w:r w:rsidR="000F19A5" w:rsidRPr="009F63CE">
        <w:rPr>
          <w:rFonts w:cs="Arial"/>
        </w:rPr>
        <w:t>ie</w:t>
      </w:r>
      <w:r w:rsidR="006447CA" w:rsidRPr="009F63CE">
        <w:rPr>
          <w:rFonts w:cs="Arial"/>
        </w:rPr>
        <w:t>,</w:t>
      </w:r>
      <w:r w:rsidR="00562B61" w:rsidRPr="009F63CE">
        <w:rPr>
          <w:rFonts w:cs="Arial"/>
        </w:rPr>
        <w:t xml:space="preserve"> the ethnicity in the BDM </w:t>
      </w:r>
      <w:r w:rsidR="009F63CE" w:rsidRPr="009F63CE">
        <w:rPr>
          <w:rFonts w:cs="Arial"/>
        </w:rPr>
        <w:t>data set</w:t>
      </w:r>
      <w:r w:rsidR="00562B61" w:rsidRPr="009F63CE">
        <w:rPr>
          <w:rFonts w:cs="Arial"/>
        </w:rPr>
        <w:t xml:space="preserve"> is obtained directly from parents</w:t>
      </w:r>
      <w:r w:rsidR="00310337" w:rsidRPr="009F63CE">
        <w:rPr>
          <w:rFonts w:cs="Arial"/>
        </w:rPr>
        <w:t>)</w:t>
      </w:r>
      <w:r w:rsidRPr="009F63CE">
        <w:rPr>
          <w:rFonts w:cs="Arial"/>
        </w:rPr>
        <w:t xml:space="preserve">. </w:t>
      </w:r>
      <w:r w:rsidR="007F73EF">
        <w:rPr>
          <w:rFonts w:cs="Arial"/>
        </w:rPr>
        <w:t>Any e</w:t>
      </w:r>
      <w:r w:rsidR="00310337" w:rsidRPr="009F63CE">
        <w:rPr>
          <w:rFonts w:cs="Arial"/>
        </w:rPr>
        <w:t xml:space="preserve">xceptions are indicated as footnotes to tables and figures. </w:t>
      </w:r>
      <w:r w:rsidRPr="009F63CE">
        <w:rPr>
          <w:rFonts w:cs="Arial"/>
        </w:rPr>
        <w:t xml:space="preserve">Denominator ethnicity is that defined in the MAT </w:t>
      </w:r>
      <w:r w:rsidR="009F63CE" w:rsidRPr="009F63CE">
        <w:rPr>
          <w:rFonts w:cs="Arial"/>
        </w:rPr>
        <w:t>data set</w:t>
      </w:r>
      <w:r w:rsidRPr="009F63CE">
        <w:rPr>
          <w:rFonts w:cs="Arial"/>
        </w:rPr>
        <w:t xml:space="preserve">. </w:t>
      </w:r>
    </w:p>
    <w:p w14:paraId="11F65927" w14:textId="23923135" w:rsidR="00551505" w:rsidRPr="009F63CE" w:rsidRDefault="00710022" w:rsidP="00B239C8">
      <w:pPr>
        <w:pStyle w:val="ListParagraph"/>
        <w:spacing w:after="120"/>
        <w:ind w:left="426"/>
        <w:contextualSpacing w:val="0"/>
        <w:rPr>
          <w:rFonts w:cs="Arial"/>
        </w:rPr>
      </w:pPr>
      <w:r w:rsidRPr="009F63CE">
        <w:rPr>
          <w:rFonts w:cs="Arial"/>
        </w:rPr>
        <w:t xml:space="preserve">Ethnicity in the MAT is ‘derived from ethnic codes reported to NMDS birth and postnatal events, LMC Labour </w:t>
      </w:r>
      <w:r w:rsidR="0022162F">
        <w:rPr>
          <w:rFonts w:cs="Arial"/>
        </w:rPr>
        <w:t>and</w:t>
      </w:r>
      <w:r w:rsidRPr="009F63CE">
        <w:rPr>
          <w:rFonts w:cs="Arial"/>
        </w:rPr>
        <w:t xml:space="preserve"> Birth claims and NHI at time of delivery. The </w:t>
      </w:r>
      <w:r w:rsidR="00487EE3">
        <w:rPr>
          <w:rFonts w:cs="Arial"/>
        </w:rPr>
        <w:t>three</w:t>
      </w:r>
      <w:r w:rsidRPr="009F63CE">
        <w:rPr>
          <w:rFonts w:cs="Arial"/>
        </w:rPr>
        <w:t xml:space="preserve"> highest priority ethnic codes that reach a threshold proportion are stored in the Aggregated Pregnancy table’ (National Health Board Business Unit 2011).</w:t>
      </w:r>
      <w:r w:rsidR="00365A61" w:rsidRPr="009F63CE">
        <w:rPr>
          <w:rFonts w:cs="Arial"/>
        </w:rPr>
        <w:t xml:space="preserve"> </w:t>
      </w:r>
    </w:p>
    <w:p w14:paraId="32C6DE66" w14:textId="27C95553" w:rsidR="00710022" w:rsidRPr="009F63CE" w:rsidRDefault="00710022" w:rsidP="00B239C8">
      <w:pPr>
        <w:pStyle w:val="ListParagraph"/>
        <w:spacing w:after="120"/>
        <w:ind w:left="426"/>
        <w:contextualSpacing w:val="0"/>
        <w:rPr>
          <w:rFonts w:cs="Arial"/>
        </w:rPr>
      </w:pPr>
      <w:r w:rsidRPr="009F63CE">
        <w:rPr>
          <w:rFonts w:cs="Arial"/>
        </w:rPr>
        <w:t xml:space="preserve">Further analysis of the impact of differences in the collection and output of ethnicity data can be found in </w:t>
      </w:r>
      <w:r w:rsidR="00B21A60" w:rsidRPr="009F63CE">
        <w:rPr>
          <w:rFonts w:cs="Arial"/>
        </w:rPr>
        <w:t xml:space="preserve">chapter 5 </w:t>
      </w:r>
      <w:r w:rsidR="00551505" w:rsidRPr="009F63CE">
        <w:rPr>
          <w:rFonts w:cs="Arial"/>
        </w:rPr>
        <w:t xml:space="preserve">of the 11th </w:t>
      </w:r>
      <w:r w:rsidR="004F7A0B" w:rsidRPr="009F63CE">
        <w:rPr>
          <w:rFonts w:cs="Arial"/>
        </w:rPr>
        <w:t xml:space="preserve">PMMRC </w:t>
      </w:r>
      <w:r w:rsidR="00551505" w:rsidRPr="009F63CE">
        <w:rPr>
          <w:rFonts w:cs="Arial"/>
        </w:rPr>
        <w:t xml:space="preserve">report </w:t>
      </w:r>
      <w:r w:rsidR="00DE52A1" w:rsidRPr="009F63CE">
        <w:rPr>
          <w:rFonts w:cs="Arial"/>
        </w:rPr>
        <w:t>(PMMRC 2017, p 138)</w:t>
      </w:r>
      <w:r w:rsidR="006C68ED" w:rsidRPr="009F63CE">
        <w:rPr>
          <w:rFonts w:cs="Arial"/>
        </w:rPr>
        <w:t>.</w:t>
      </w:r>
      <w:r w:rsidR="00562B61" w:rsidRPr="009F63CE">
        <w:rPr>
          <w:rFonts w:cs="Arial"/>
        </w:rPr>
        <w:t xml:space="preserve"> Briefly, it appears that the MAT </w:t>
      </w:r>
      <w:r w:rsidR="009F63CE" w:rsidRPr="009F63CE">
        <w:rPr>
          <w:rFonts w:cs="Arial"/>
        </w:rPr>
        <w:t>data set</w:t>
      </w:r>
      <w:r w:rsidR="00562B61" w:rsidRPr="009F63CE">
        <w:rPr>
          <w:rFonts w:cs="Arial"/>
        </w:rPr>
        <w:t xml:space="preserve"> overestimates Māori </w:t>
      </w:r>
      <w:r w:rsidR="00BB42A3" w:rsidRPr="009F63CE">
        <w:rPr>
          <w:rFonts w:cs="Arial"/>
        </w:rPr>
        <w:t xml:space="preserve">ethnicity </w:t>
      </w:r>
      <w:r w:rsidR="00562B61" w:rsidRPr="009F63CE">
        <w:rPr>
          <w:rFonts w:cs="Arial"/>
        </w:rPr>
        <w:t xml:space="preserve">in comparison to BDM data, at least for live births. When BDM data are used for </w:t>
      </w:r>
      <w:r w:rsidR="002D4BC9">
        <w:rPr>
          <w:rFonts w:cs="Arial"/>
        </w:rPr>
        <w:t xml:space="preserve">both </w:t>
      </w:r>
      <w:r w:rsidR="00562B61" w:rsidRPr="009F63CE">
        <w:rPr>
          <w:rFonts w:cs="Arial"/>
        </w:rPr>
        <w:t>deaths (numerator) and births (denominator)</w:t>
      </w:r>
      <w:r w:rsidR="00065BD1" w:rsidRPr="009F63CE">
        <w:rPr>
          <w:rFonts w:cs="Arial"/>
        </w:rPr>
        <w:t>,</w:t>
      </w:r>
      <w:r w:rsidR="00562B61" w:rsidRPr="009F63CE">
        <w:rPr>
          <w:rFonts w:cs="Arial"/>
        </w:rPr>
        <w:t xml:space="preserve"> </w:t>
      </w:r>
      <w:r w:rsidR="00A92194" w:rsidRPr="009F63CE">
        <w:rPr>
          <w:rFonts w:cs="Arial"/>
        </w:rPr>
        <w:t>a higher perinatal related mortality</w:t>
      </w:r>
      <w:r w:rsidR="001944D2" w:rsidRPr="009F63CE">
        <w:rPr>
          <w:rFonts w:cs="Arial"/>
        </w:rPr>
        <w:t xml:space="preserve"> rate</w:t>
      </w:r>
      <w:r w:rsidR="00A92194" w:rsidRPr="009F63CE">
        <w:rPr>
          <w:rFonts w:cs="Arial"/>
        </w:rPr>
        <w:t xml:space="preserve"> is observed than when MAT data are used for either denominator alone or for both numerator and denominator.</w:t>
      </w:r>
      <w:r w:rsidR="00562B61" w:rsidRPr="009F63CE">
        <w:rPr>
          <w:rFonts w:cs="Arial"/>
        </w:rPr>
        <w:t xml:space="preserve"> </w:t>
      </w:r>
      <w:r w:rsidR="00D2139B" w:rsidRPr="009F63CE">
        <w:rPr>
          <w:rFonts w:cs="Arial"/>
        </w:rPr>
        <w:t xml:space="preserve">The 11th </w:t>
      </w:r>
      <w:r w:rsidR="00065BD1" w:rsidRPr="009F63CE">
        <w:rPr>
          <w:rFonts w:cs="Arial"/>
        </w:rPr>
        <w:t xml:space="preserve">PMMRC </w:t>
      </w:r>
      <w:r w:rsidR="00D2139B" w:rsidRPr="009F63CE">
        <w:rPr>
          <w:rFonts w:cs="Arial"/>
        </w:rPr>
        <w:t xml:space="preserve">report changed to using the MAT </w:t>
      </w:r>
      <w:r w:rsidR="009F63CE" w:rsidRPr="009F63CE">
        <w:rPr>
          <w:rFonts w:cs="Arial"/>
        </w:rPr>
        <w:t>data set</w:t>
      </w:r>
      <w:r w:rsidR="00D2139B" w:rsidRPr="009F63CE">
        <w:rPr>
          <w:rFonts w:cs="Arial"/>
        </w:rPr>
        <w:t xml:space="preserve"> as the preferred denominator</w:t>
      </w:r>
      <w:r w:rsidR="00065BD1" w:rsidRPr="009F63CE">
        <w:rPr>
          <w:rFonts w:cs="Arial"/>
        </w:rPr>
        <w:t xml:space="preserve"> because</w:t>
      </w:r>
      <w:r w:rsidR="00D2139B" w:rsidRPr="009F63CE">
        <w:rPr>
          <w:rFonts w:cs="Arial"/>
        </w:rPr>
        <w:t xml:space="preserve"> the BDM denominator </w:t>
      </w:r>
      <w:r w:rsidR="009F63CE" w:rsidRPr="009F63CE">
        <w:rPr>
          <w:rFonts w:cs="Arial"/>
        </w:rPr>
        <w:t>data set</w:t>
      </w:r>
      <w:r w:rsidR="00D2139B" w:rsidRPr="009F63CE">
        <w:rPr>
          <w:rFonts w:cs="Arial"/>
        </w:rPr>
        <w:t xml:space="preserve"> includes very few variables for analyses in maternity; in addition, it does not </w:t>
      </w:r>
      <w:r w:rsidR="00310337" w:rsidRPr="009F63CE">
        <w:rPr>
          <w:rFonts w:cs="Arial"/>
        </w:rPr>
        <w:t>retain</w:t>
      </w:r>
      <w:r w:rsidR="00D2139B" w:rsidRPr="009F63CE">
        <w:rPr>
          <w:rFonts w:cs="Arial"/>
        </w:rPr>
        <w:t xml:space="preserve"> NHIs</w:t>
      </w:r>
      <w:r w:rsidR="001944D2" w:rsidRPr="009F63CE">
        <w:rPr>
          <w:rFonts w:cs="Arial"/>
        </w:rPr>
        <w:t>,</w:t>
      </w:r>
      <w:r w:rsidR="00D2139B" w:rsidRPr="009F63CE">
        <w:rPr>
          <w:rFonts w:cs="Arial"/>
        </w:rPr>
        <w:t xml:space="preserve"> so data </w:t>
      </w:r>
      <w:r w:rsidR="00310337" w:rsidRPr="009F63CE">
        <w:rPr>
          <w:rFonts w:cs="Arial"/>
        </w:rPr>
        <w:t xml:space="preserve">are </w:t>
      </w:r>
      <w:r w:rsidR="00D2139B" w:rsidRPr="009F63CE">
        <w:rPr>
          <w:rFonts w:cs="Arial"/>
        </w:rPr>
        <w:t>not easy</w:t>
      </w:r>
      <w:r w:rsidR="00310337" w:rsidRPr="009F63CE">
        <w:rPr>
          <w:rFonts w:cs="Arial"/>
        </w:rPr>
        <w:t xml:space="preserve"> to</w:t>
      </w:r>
      <w:r w:rsidR="00D2139B" w:rsidRPr="009F63CE">
        <w:rPr>
          <w:rFonts w:cs="Arial"/>
        </w:rPr>
        <w:t xml:space="preserve"> merge. Using the MAT denominator for PMMRC analyses enabled linking of the PMMRC </w:t>
      </w:r>
      <w:r w:rsidR="009F63CE" w:rsidRPr="009F63CE">
        <w:rPr>
          <w:rFonts w:cs="Arial"/>
        </w:rPr>
        <w:t>data set</w:t>
      </w:r>
      <w:r w:rsidR="00D2139B" w:rsidRPr="009F63CE">
        <w:rPr>
          <w:rFonts w:cs="Arial"/>
        </w:rPr>
        <w:t xml:space="preserve"> of deaths with their birth data in the MAT </w:t>
      </w:r>
      <w:r w:rsidR="009F63CE" w:rsidRPr="009F63CE">
        <w:rPr>
          <w:rFonts w:cs="Arial"/>
        </w:rPr>
        <w:t>data set</w:t>
      </w:r>
      <w:r w:rsidR="00D2139B" w:rsidRPr="009F63CE">
        <w:rPr>
          <w:rFonts w:cs="Arial"/>
        </w:rPr>
        <w:t xml:space="preserve"> and therefore provided a </w:t>
      </w:r>
      <w:r w:rsidR="009F63CE" w:rsidRPr="009F63CE">
        <w:rPr>
          <w:rFonts w:cs="Arial"/>
        </w:rPr>
        <w:t>data set</w:t>
      </w:r>
      <w:r w:rsidR="00D2139B" w:rsidRPr="009F63CE">
        <w:rPr>
          <w:rFonts w:cs="Arial"/>
        </w:rPr>
        <w:t xml:space="preserve"> </w:t>
      </w:r>
      <w:r w:rsidR="00065BD1" w:rsidRPr="009F63CE">
        <w:rPr>
          <w:rFonts w:cs="Arial"/>
        </w:rPr>
        <w:t xml:space="preserve">that </w:t>
      </w:r>
      <w:r w:rsidR="00D2139B" w:rsidRPr="009F63CE">
        <w:rPr>
          <w:rFonts w:cs="Arial"/>
        </w:rPr>
        <w:t xml:space="preserve">could be used for more extensive analysis. In the 12th </w:t>
      </w:r>
      <w:r w:rsidR="00065BD1" w:rsidRPr="009F63CE">
        <w:rPr>
          <w:rFonts w:cs="Arial"/>
        </w:rPr>
        <w:t xml:space="preserve">PMMRC </w:t>
      </w:r>
      <w:r w:rsidR="00D2139B" w:rsidRPr="009F63CE">
        <w:rPr>
          <w:rFonts w:cs="Arial"/>
        </w:rPr>
        <w:t>report</w:t>
      </w:r>
      <w:r w:rsidR="004C115C" w:rsidRPr="009F63CE">
        <w:rPr>
          <w:rFonts w:cs="Arial"/>
        </w:rPr>
        <w:t>,</w:t>
      </w:r>
      <w:r w:rsidR="00D2139B" w:rsidRPr="009F63CE">
        <w:rPr>
          <w:rFonts w:cs="Arial"/>
        </w:rPr>
        <w:t xml:space="preserve"> </w:t>
      </w:r>
      <w:r w:rsidR="002461B5" w:rsidRPr="009F63CE">
        <w:rPr>
          <w:rFonts w:cs="Arial"/>
        </w:rPr>
        <w:t>NE</w:t>
      </w:r>
      <w:r w:rsidR="00D2139B" w:rsidRPr="009F63CE">
        <w:rPr>
          <w:rFonts w:cs="Arial"/>
        </w:rPr>
        <w:t xml:space="preserve"> data were also linked to the MAT </w:t>
      </w:r>
      <w:r w:rsidR="009F63CE" w:rsidRPr="009F63CE">
        <w:rPr>
          <w:rFonts w:cs="Arial"/>
        </w:rPr>
        <w:t>data set</w:t>
      </w:r>
      <w:r w:rsidR="00D2139B" w:rsidRPr="009F63CE">
        <w:rPr>
          <w:rFonts w:cs="Arial"/>
        </w:rPr>
        <w:t xml:space="preserve"> of births.</w:t>
      </w:r>
      <w:r w:rsidR="00A92194" w:rsidRPr="009F63CE">
        <w:rPr>
          <w:rFonts w:cs="Arial"/>
        </w:rPr>
        <w:t xml:space="preserve"> On </w:t>
      </w:r>
      <w:r w:rsidR="001C0BF4">
        <w:rPr>
          <w:rFonts w:cs="Arial"/>
        </w:rPr>
        <w:t>several</w:t>
      </w:r>
      <w:r w:rsidR="00A92194" w:rsidRPr="009F63CE">
        <w:rPr>
          <w:rFonts w:cs="Arial"/>
        </w:rPr>
        <w:t xml:space="preserve"> occasions</w:t>
      </w:r>
      <w:r w:rsidR="00461DE0">
        <w:rPr>
          <w:rFonts w:cs="Arial"/>
        </w:rPr>
        <w:t>,</w:t>
      </w:r>
      <w:r w:rsidR="00A92194" w:rsidRPr="009F63CE">
        <w:rPr>
          <w:rFonts w:cs="Arial"/>
        </w:rPr>
        <w:t xml:space="preserve"> the PMMRC has recommended that the Ministry of Health retain the ethnicity data shared with it by BDM within the MAT </w:t>
      </w:r>
      <w:r w:rsidR="009F63CE" w:rsidRPr="009F63CE">
        <w:rPr>
          <w:rFonts w:cs="Arial"/>
        </w:rPr>
        <w:t>data set</w:t>
      </w:r>
      <w:r w:rsidR="00A92194" w:rsidRPr="009F63CE">
        <w:rPr>
          <w:rFonts w:cs="Arial"/>
        </w:rPr>
        <w:t xml:space="preserve"> so that an ethnicity variable </w:t>
      </w:r>
      <w:r w:rsidR="00065BD1" w:rsidRPr="009F63CE">
        <w:rPr>
          <w:rFonts w:cs="Arial"/>
        </w:rPr>
        <w:t xml:space="preserve">that </w:t>
      </w:r>
      <w:r w:rsidR="00A92194" w:rsidRPr="009F63CE">
        <w:rPr>
          <w:rFonts w:cs="Arial"/>
        </w:rPr>
        <w:t>more closely resembles Census data (at least in definition) could be available for more accurate analysis of ethnicity associations within maternity</w:t>
      </w:r>
      <w:r w:rsidR="00D2139B" w:rsidRPr="009F63CE">
        <w:rPr>
          <w:rFonts w:cs="Arial"/>
        </w:rPr>
        <w:t xml:space="preserve"> (PMMRC </w:t>
      </w:r>
      <w:r w:rsidR="004C115C" w:rsidRPr="009F63CE">
        <w:rPr>
          <w:rFonts w:cs="Arial"/>
        </w:rPr>
        <w:t xml:space="preserve">2015, </w:t>
      </w:r>
      <w:r w:rsidR="00942E5F" w:rsidRPr="009F63CE">
        <w:rPr>
          <w:rFonts w:cs="Arial"/>
        </w:rPr>
        <w:t>2017</w:t>
      </w:r>
      <w:r w:rsidR="00BB42A3" w:rsidRPr="009F63CE">
        <w:rPr>
          <w:rFonts w:cs="Arial"/>
        </w:rPr>
        <w:t>)</w:t>
      </w:r>
      <w:r w:rsidR="00A92194" w:rsidRPr="009F63CE">
        <w:rPr>
          <w:rFonts w:cs="Arial"/>
        </w:rPr>
        <w:t xml:space="preserve">. </w:t>
      </w:r>
    </w:p>
    <w:p w14:paraId="124EAF7F" w14:textId="3982EA61" w:rsidR="00710022" w:rsidRPr="009F63CE" w:rsidRDefault="00710022" w:rsidP="00941C2C">
      <w:pPr>
        <w:pStyle w:val="ListParagraph"/>
        <w:numPr>
          <w:ilvl w:val="0"/>
          <w:numId w:val="16"/>
        </w:numPr>
        <w:ind w:hanging="357"/>
        <w:contextualSpacing w:val="0"/>
        <w:rPr>
          <w:rFonts w:cs="Arial"/>
        </w:rPr>
      </w:pPr>
      <w:r w:rsidRPr="009F63CE">
        <w:rPr>
          <w:rFonts w:cs="Arial"/>
        </w:rPr>
        <w:t>In the MAT</w:t>
      </w:r>
      <w:r w:rsidR="00BC67EF" w:rsidRPr="009F63CE">
        <w:rPr>
          <w:rFonts w:cs="Arial"/>
        </w:rPr>
        <w:t xml:space="preserve"> </w:t>
      </w:r>
      <w:r w:rsidR="009F63CE" w:rsidRPr="009F63CE">
        <w:rPr>
          <w:rFonts w:cs="Arial"/>
        </w:rPr>
        <w:t>data set</w:t>
      </w:r>
      <w:r w:rsidRPr="009F63CE">
        <w:rPr>
          <w:rFonts w:cs="Arial"/>
        </w:rPr>
        <w:t xml:space="preserve">, only </w:t>
      </w:r>
      <w:r w:rsidR="00610A18">
        <w:rPr>
          <w:rFonts w:cs="Arial"/>
        </w:rPr>
        <w:t>CAU</w:t>
      </w:r>
      <w:r w:rsidR="009F63CE">
        <w:rPr>
          <w:rFonts w:cs="Arial"/>
        </w:rPr>
        <w:t>-</w:t>
      </w:r>
      <w:r w:rsidRPr="009F63CE">
        <w:rPr>
          <w:rFonts w:cs="Arial"/>
        </w:rPr>
        <w:t>based deprivation score is available as a measure of residence</w:t>
      </w:r>
      <w:r w:rsidR="00A0726E" w:rsidRPr="009F63CE">
        <w:rPr>
          <w:rFonts w:cs="Arial"/>
        </w:rPr>
        <w:t>-</w:t>
      </w:r>
      <w:r w:rsidRPr="009F63CE">
        <w:rPr>
          <w:rFonts w:cs="Arial"/>
        </w:rPr>
        <w:t>based deprivation</w:t>
      </w:r>
      <w:r w:rsidR="00657ABD">
        <w:rPr>
          <w:rFonts w:cs="Arial"/>
        </w:rPr>
        <w:t>. This changed to SA2 from 2018</w:t>
      </w:r>
      <w:r w:rsidRPr="009F63CE">
        <w:rPr>
          <w:rFonts w:cs="Arial"/>
        </w:rPr>
        <w:t xml:space="preserve">. Previously, </w:t>
      </w:r>
      <w:r w:rsidR="00610A18">
        <w:rPr>
          <w:rFonts w:cs="Arial"/>
        </w:rPr>
        <w:t xml:space="preserve">a </w:t>
      </w:r>
      <w:r w:rsidRPr="009F63CE">
        <w:rPr>
          <w:rFonts w:cs="Arial"/>
        </w:rPr>
        <w:t>meshblock</w:t>
      </w:r>
      <w:r w:rsidR="00A0726E" w:rsidRPr="009F63CE">
        <w:rPr>
          <w:rFonts w:cs="Arial"/>
        </w:rPr>
        <w:t>-</w:t>
      </w:r>
      <w:r w:rsidRPr="009F63CE">
        <w:rPr>
          <w:rFonts w:cs="Arial"/>
        </w:rPr>
        <w:t xml:space="preserve">based deprivation score was used in PMMRC analyses. </w:t>
      </w:r>
      <w:r w:rsidR="00657ABD">
        <w:rPr>
          <w:rFonts w:cs="Arial"/>
        </w:rPr>
        <w:t>CAUs</w:t>
      </w:r>
      <w:r w:rsidRPr="009F63CE">
        <w:rPr>
          <w:rFonts w:cs="Arial"/>
        </w:rPr>
        <w:t xml:space="preserve"> </w:t>
      </w:r>
      <w:r w:rsidR="00657ABD">
        <w:rPr>
          <w:rFonts w:cs="Arial"/>
        </w:rPr>
        <w:t xml:space="preserve">and SA2s </w:t>
      </w:r>
      <w:r w:rsidRPr="009F63CE">
        <w:rPr>
          <w:rFonts w:cs="Arial"/>
        </w:rPr>
        <w:t xml:space="preserve">are larger than meshblocks. </w:t>
      </w:r>
      <w:r w:rsidR="00657ABD">
        <w:rPr>
          <w:rFonts w:cs="Arial"/>
        </w:rPr>
        <w:t xml:space="preserve">CAU (prior to 2018) and SA2 (from 2018) </w:t>
      </w:r>
      <w:r w:rsidRPr="009F63CE">
        <w:rPr>
          <w:rFonts w:cs="Arial"/>
        </w:rPr>
        <w:t>based deprivation score</w:t>
      </w:r>
      <w:r w:rsidR="00E30B78">
        <w:rPr>
          <w:rFonts w:cs="Arial"/>
        </w:rPr>
        <w:t>s</w:t>
      </w:r>
      <w:r w:rsidRPr="009F63CE">
        <w:rPr>
          <w:rFonts w:cs="Arial"/>
        </w:rPr>
        <w:t xml:space="preserve"> will be used for both numerator and denominator so that rates can still be presented.</w:t>
      </w:r>
    </w:p>
    <w:p w14:paraId="6FAF56B4" w14:textId="4D25E980" w:rsidR="001C4055" w:rsidRPr="009F63CE" w:rsidRDefault="001C4055" w:rsidP="002D24D2">
      <w:pPr>
        <w:pStyle w:val="Heading2"/>
      </w:pPr>
      <w:bookmarkStart w:id="149" w:name="_Toc480971553"/>
      <w:bookmarkStart w:id="150" w:name="_Toc483987183"/>
      <w:bookmarkStart w:id="151" w:name="_Toc119317632"/>
      <w:bookmarkStart w:id="152" w:name="_Toc119407153"/>
      <w:r w:rsidRPr="009F63CE">
        <w:t xml:space="preserve">Data </w:t>
      </w:r>
      <w:r w:rsidR="00AC3547" w:rsidRPr="009F63CE">
        <w:t>Analysis</w:t>
      </w:r>
      <w:bookmarkEnd w:id="149"/>
      <w:bookmarkEnd w:id="150"/>
      <w:bookmarkEnd w:id="151"/>
      <w:bookmarkEnd w:id="152"/>
    </w:p>
    <w:p w14:paraId="349E20BE" w14:textId="77777777" w:rsidR="001C4055" w:rsidRPr="009F63CE" w:rsidRDefault="001C4055" w:rsidP="009E7CD2">
      <w:pPr>
        <w:pStyle w:val="Heading3"/>
      </w:pPr>
      <w:bookmarkStart w:id="153" w:name="_Toc119317633"/>
      <w:bookmarkStart w:id="154" w:name="_Toc119317852"/>
      <w:bookmarkStart w:id="155" w:name="_Toc119317928"/>
      <w:bookmarkStart w:id="156" w:name="_Toc119407154"/>
      <w:r w:rsidRPr="009F63CE">
        <w:t>Percentages</w:t>
      </w:r>
      <w:bookmarkEnd w:id="153"/>
      <w:bookmarkEnd w:id="154"/>
      <w:bookmarkEnd w:id="155"/>
      <w:bookmarkEnd w:id="156"/>
    </w:p>
    <w:p w14:paraId="315ADB7C" w14:textId="77777777" w:rsidR="001C4055" w:rsidRPr="009F63CE" w:rsidRDefault="001C4055" w:rsidP="001C4055">
      <w:pPr>
        <w:rPr>
          <w:rFonts w:cs="Arial"/>
        </w:rPr>
      </w:pPr>
      <w:r w:rsidRPr="009F63CE">
        <w:rPr>
          <w:rFonts w:cs="Arial"/>
        </w:rPr>
        <w:t>Percentages have been displayed with one decimal place or without decimal places when the denominator is small. In some cases, due to rounding, the percentages do not add to exactly 100 percent.</w:t>
      </w:r>
    </w:p>
    <w:p w14:paraId="5DD5E2A7" w14:textId="3DD0C06B" w:rsidR="001C4055" w:rsidRPr="009F63CE" w:rsidRDefault="001C4055" w:rsidP="009E7CD2">
      <w:pPr>
        <w:pStyle w:val="Heading3"/>
      </w:pPr>
      <w:bookmarkStart w:id="157" w:name="_Toc119317634"/>
      <w:bookmarkStart w:id="158" w:name="_Toc119317853"/>
      <w:bookmarkStart w:id="159" w:name="_Toc119317929"/>
      <w:bookmarkStart w:id="160" w:name="_Toc119407155"/>
      <w:r w:rsidRPr="009F63CE">
        <w:lastRenderedPageBreak/>
        <w:t>Confidence intervals</w:t>
      </w:r>
      <w:r w:rsidR="00AF7C9C">
        <w:t xml:space="preserve"> (CIs)</w:t>
      </w:r>
      <w:bookmarkEnd w:id="157"/>
      <w:bookmarkEnd w:id="158"/>
      <w:bookmarkEnd w:id="159"/>
      <w:bookmarkEnd w:id="160"/>
    </w:p>
    <w:p w14:paraId="716504FF" w14:textId="6AECCEAA" w:rsidR="001C4055" w:rsidRPr="009F63CE" w:rsidRDefault="001C4055" w:rsidP="001C4055">
      <w:pPr>
        <w:rPr>
          <w:rFonts w:cs="Arial"/>
        </w:rPr>
      </w:pPr>
      <w:r w:rsidRPr="009F63CE">
        <w:rPr>
          <w:rFonts w:cs="Arial"/>
        </w:rPr>
        <w:t>Ninety-five percent CIs for perinatal mortality rates have been computed using the methods for vital statistics described by the Centers for Disease Control and Prevention (Heron 2011). The CI represents the degree of uncertainty around the point estimate of the rate for the particular period.</w:t>
      </w:r>
    </w:p>
    <w:p w14:paraId="4B7D8CCB" w14:textId="2BC47A50" w:rsidR="001C4055" w:rsidRPr="009F63CE" w:rsidRDefault="001C4055" w:rsidP="001C4055">
      <w:pPr>
        <w:rPr>
          <w:rFonts w:cs="Arial"/>
        </w:rPr>
      </w:pPr>
      <w:r w:rsidRPr="009F63CE">
        <w:rPr>
          <w:rFonts w:cs="Arial"/>
        </w:rPr>
        <w:t>This uncertainty depends on the absolute number of deaths and the number of births from which the deaths arose. If the number of births is large, then the CI (</w:t>
      </w:r>
      <w:r w:rsidR="000F19A5" w:rsidRPr="009F63CE">
        <w:rPr>
          <w:rFonts w:cs="Arial"/>
        </w:rPr>
        <w:t>ie</w:t>
      </w:r>
      <w:r w:rsidRPr="009F63CE">
        <w:rPr>
          <w:rFonts w:cs="Arial"/>
        </w:rPr>
        <w:t>, the level of uncertainty) is generally small; if the number of births is small, the CI is large. The CI represents the limits within which the ‘true’ rate is most likely to lie. This calculation is necessary when numbers are small because the point estimate of the rate calculated from the data given may by chance have taken a wide range of values. The CI describes this range.</w:t>
      </w:r>
    </w:p>
    <w:p w14:paraId="2A8F1FCA" w14:textId="1C68D6F1" w:rsidR="001C4055" w:rsidRDefault="001C4055" w:rsidP="001C4055">
      <w:pPr>
        <w:rPr>
          <w:rFonts w:cs="Arial"/>
        </w:rPr>
      </w:pPr>
      <w:r w:rsidRPr="009F63CE">
        <w:rPr>
          <w:rFonts w:cs="Arial"/>
        </w:rPr>
        <w:t xml:space="preserve">It is possible to compare rates by looking at the CI. If the CI for </w:t>
      </w:r>
      <w:r w:rsidR="00D64C0D" w:rsidRPr="009F63CE">
        <w:rPr>
          <w:rFonts w:cs="Arial"/>
        </w:rPr>
        <w:t>one</w:t>
      </w:r>
      <w:r w:rsidRPr="009F63CE">
        <w:rPr>
          <w:rFonts w:cs="Arial"/>
        </w:rPr>
        <w:t xml:space="preserve"> rate does not overlap the estimate of </w:t>
      </w:r>
      <w:r w:rsidR="00D64C0D" w:rsidRPr="009F63CE">
        <w:rPr>
          <w:rFonts w:cs="Arial"/>
        </w:rPr>
        <w:t>an</w:t>
      </w:r>
      <w:r w:rsidRPr="009F63CE">
        <w:rPr>
          <w:rFonts w:cs="Arial"/>
        </w:rPr>
        <w:t>other rate, it is likely that the rates are different. This is equivalent to the rates being statistically significantly different at the p&lt;0.05 level. If the CI does overlap the estimate, the rates may or may not be different.</w:t>
      </w:r>
      <w:r w:rsidR="000F19A5" w:rsidRPr="009F63CE">
        <w:rPr>
          <w:rFonts w:cs="Arial"/>
        </w:rPr>
        <w:t xml:space="preserve"> </w:t>
      </w:r>
    </w:p>
    <w:p w14:paraId="5EDEF32F" w14:textId="19C14F5D" w:rsidR="00024E16" w:rsidRDefault="00280DDB" w:rsidP="009E7CD2">
      <w:pPr>
        <w:pStyle w:val="Heading3"/>
      </w:pPr>
      <w:bookmarkStart w:id="161" w:name="_Toc119317635"/>
      <w:bookmarkStart w:id="162" w:name="_Toc119317854"/>
      <w:bookmarkStart w:id="163" w:name="_Toc119317930"/>
      <w:bookmarkStart w:id="164" w:name="_Toc119407156"/>
      <w:r>
        <w:t xml:space="preserve">Rate </w:t>
      </w:r>
      <w:r w:rsidR="00190C2B">
        <w:t>r</w:t>
      </w:r>
      <w:r>
        <w:t>atio</w:t>
      </w:r>
      <w:bookmarkEnd w:id="161"/>
      <w:bookmarkEnd w:id="162"/>
      <w:bookmarkEnd w:id="163"/>
      <w:bookmarkEnd w:id="164"/>
    </w:p>
    <w:p w14:paraId="48E25E7C" w14:textId="280E6326" w:rsidR="00024E16" w:rsidRPr="00024E16" w:rsidRDefault="00024E16" w:rsidP="00024E16">
      <w:pPr>
        <w:rPr>
          <w:rFonts w:eastAsiaTheme="majorEastAsia" w:cstheme="majorBidi"/>
          <w:bCs/>
          <w:color w:val="808080" w:themeColor="background1" w:themeShade="80"/>
          <w:sz w:val="26"/>
          <w:szCs w:val="24"/>
        </w:rPr>
      </w:pPr>
      <w:r>
        <w:rPr>
          <w:bCs/>
        </w:rPr>
        <w:t>R</w:t>
      </w:r>
      <w:r w:rsidRPr="00024E16">
        <w:t>ate ratio is calculated as the ratio of the incidence rate for an exposed group and an unexposed or less exposed group. For example, the ratio of the maternal mortality rate associated with mothers living in deprivation quintile 5 areas (exposed group) versus those living in deprivation quintile 1 (less/unexposed group)</w:t>
      </w:r>
      <w:r>
        <w:rPr>
          <w:bCs/>
        </w:rPr>
        <w:t>.</w:t>
      </w:r>
    </w:p>
    <w:p w14:paraId="4FC34C44" w14:textId="7FE680A6" w:rsidR="001C4055" w:rsidRPr="009F63CE" w:rsidRDefault="001C4055" w:rsidP="009E7CD2">
      <w:pPr>
        <w:pStyle w:val="Heading3"/>
      </w:pPr>
      <w:bookmarkStart w:id="165" w:name="_Toc119317636"/>
      <w:bookmarkStart w:id="166" w:name="_Toc119317855"/>
      <w:bookmarkStart w:id="167" w:name="_Toc119317931"/>
      <w:bookmarkStart w:id="168" w:name="_Toc119407157"/>
      <w:r w:rsidRPr="009F63CE">
        <w:t>Statistical testing</w:t>
      </w:r>
      <w:bookmarkEnd w:id="165"/>
      <w:bookmarkEnd w:id="166"/>
      <w:bookmarkEnd w:id="167"/>
      <w:bookmarkEnd w:id="168"/>
    </w:p>
    <w:p w14:paraId="1251BC46" w14:textId="77777777" w:rsidR="001C4055" w:rsidRPr="009F63CE" w:rsidRDefault="001C4055" w:rsidP="001C4055">
      <w:pPr>
        <w:rPr>
          <w:rFonts w:cs="Arial"/>
        </w:rPr>
      </w:pPr>
      <w:r w:rsidRPr="009F63CE">
        <w:rPr>
          <w:rFonts w:cs="Arial"/>
        </w:rPr>
        <w:t>Where the text notes that there is a statistically significant difference or association, this indicates that a statistical test has been applied and that the p-value is less than (&lt;) 0.05. Conversely, if a difference is said to be not statistically significant, then the p-value is equal to or greater than (≥) 0.05. If the words ‘statistically significant’ are not used to describe a difference or association, it can be assumed that a statistical test has not been applied.</w:t>
      </w:r>
    </w:p>
    <w:p w14:paraId="50E3F65F" w14:textId="4AFE83C4" w:rsidR="003B77BB" w:rsidRDefault="003B77BB" w:rsidP="001C4055">
      <w:pPr>
        <w:rPr>
          <w:rFonts w:cs="Arial"/>
        </w:rPr>
      </w:pPr>
      <w:r>
        <w:rPr>
          <w:rFonts w:cs="Arial"/>
        </w:rPr>
        <w:t xml:space="preserve">Simple </w:t>
      </w:r>
      <w:r w:rsidRPr="009F63CE">
        <w:rPr>
          <w:rFonts w:cs="Arial"/>
        </w:rPr>
        <w:t>linear regressio</w:t>
      </w:r>
      <w:r>
        <w:rPr>
          <w:rFonts w:cs="Arial"/>
        </w:rPr>
        <w:t xml:space="preserve">n analysis has been used to investigate linear change across time. Autocorrelation and normality of the residuals was investigated for all models. </w:t>
      </w:r>
      <w:r w:rsidR="00CA3843">
        <w:rPr>
          <w:rFonts w:cs="Arial"/>
        </w:rPr>
        <w:t>From each model</w:t>
      </w:r>
      <w:r w:rsidR="001C3357">
        <w:rPr>
          <w:rFonts w:cs="Arial"/>
        </w:rPr>
        <w:t>,</w:t>
      </w:r>
      <w:r w:rsidR="00CA3843">
        <w:rPr>
          <w:rFonts w:cs="Arial"/>
        </w:rPr>
        <w:t xml:space="preserve"> the change across time is estimated along with the 95% </w:t>
      </w:r>
      <w:r w:rsidR="001C3357">
        <w:rPr>
          <w:rFonts w:cs="Arial"/>
        </w:rPr>
        <w:t>CI</w:t>
      </w:r>
      <w:r w:rsidR="00CA3843">
        <w:rPr>
          <w:rFonts w:cs="Arial"/>
        </w:rPr>
        <w:t xml:space="preserve">. If the </w:t>
      </w:r>
      <w:r w:rsidR="00EB736E">
        <w:rPr>
          <w:rFonts w:cs="Arial"/>
        </w:rPr>
        <w:t>slope</w:t>
      </w:r>
      <w:r w:rsidR="00CA3843">
        <w:rPr>
          <w:rFonts w:cs="Arial"/>
        </w:rPr>
        <w:t xml:space="preserve"> is positive, this indicates an increase in rate during that time period. Whereas if the </w:t>
      </w:r>
      <w:r w:rsidR="00EB736E">
        <w:rPr>
          <w:rFonts w:cs="Arial"/>
        </w:rPr>
        <w:t>slope</w:t>
      </w:r>
      <w:r w:rsidR="00CA3843">
        <w:rPr>
          <w:rFonts w:cs="Arial"/>
        </w:rPr>
        <w:t xml:space="preserve"> is negative, this indicates a decrease over time.</w:t>
      </w:r>
    </w:p>
    <w:p w14:paraId="1ED905D8" w14:textId="2111E3AD" w:rsidR="003B77BB" w:rsidRDefault="003B77BB" w:rsidP="001C4055">
      <w:pPr>
        <w:rPr>
          <w:rFonts w:cs="Arial"/>
        </w:rPr>
      </w:pPr>
      <w:r>
        <w:rPr>
          <w:rFonts w:cs="Arial"/>
        </w:rPr>
        <w:t>Where applicable, chi</w:t>
      </w:r>
      <w:r w:rsidR="006D1D6E">
        <w:rPr>
          <w:rFonts w:cs="Arial"/>
        </w:rPr>
        <w:t>-</w:t>
      </w:r>
      <w:r>
        <w:rPr>
          <w:rFonts w:cs="Arial"/>
        </w:rPr>
        <w:t>squared tests were used to investigate the association between categorical variables.</w:t>
      </w:r>
    </w:p>
    <w:p w14:paraId="645DE34D" w14:textId="77777777" w:rsidR="001C4055" w:rsidRPr="009F63CE" w:rsidRDefault="001C4055" w:rsidP="009E7CD2">
      <w:pPr>
        <w:pStyle w:val="Heading3"/>
      </w:pPr>
      <w:bookmarkStart w:id="169" w:name="_Toc119317637"/>
      <w:bookmarkStart w:id="170" w:name="_Toc119317856"/>
      <w:bookmarkStart w:id="171" w:name="_Toc119317932"/>
      <w:bookmarkStart w:id="172" w:name="_Toc119407158"/>
      <w:r w:rsidRPr="009F63CE">
        <w:t>Missing data</w:t>
      </w:r>
      <w:bookmarkEnd w:id="169"/>
      <w:bookmarkEnd w:id="170"/>
      <w:bookmarkEnd w:id="171"/>
      <w:bookmarkEnd w:id="172"/>
    </w:p>
    <w:p w14:paraId="00E5EF1F" w14:textId="5BF86513" w:rsidR="001C4055" w:rsidRPr="009F63CE" w:rsidRDefault="001C4055" w:rsidP="001C4055">
      <w:pPr>
        <w:rPr>
          <w:rFonts w:cs="Arial"/>
        </w:rPr>
      </w:pPr>
      <w:r w:rsidRPr="009F63CE">
        <w:rPr>
          <w:rFonts w:cs="Arial"/>
        </w:rPr>
        <w:t>Cases that have missing data have still been included in the data tables</w:t>
      </w:r>
      <w:r w:rsidR="00284AA7">
        <w:rPr>
          <w:rFonts w:cs="Arial"/>
        </w:rPr>
        <w:t xml:space="preserve">. </w:t>
      </w:r>
      <w:r w:rsidRPr="009F63CE">
        <w:rPr>
          <w:rFonts w:cs="Arial"/>
        </w:rPr>
        <w:t>However, where missing data exceed 30 percent of all possible data points, the data have generally not been presented.</w:t>
      </w:r>
    </w:p>
    <w:p w14:paraId="10132C31" w14:textId="3EAE63DD" w:rsidR="001C4055" w:rsidRPr="009F63CE" w:rsidRDefault="001C4055" w:rsidP="001C4055">
      <w:pPr>
        <w:rPr>
          <w:rFonts w:cs="Arial"/>
        </w:rPr>
      </w:pPr>
      <w:r w:rsidRPr="009F63CE">
        <w:rPr>
          <w:rFonts w:cs="Arial"/>
        </w:rPr>
        <w:lastRenderedPageBreak/>
        <w:t>At the lower extremes of gestation and birthweight</w:t>
      </w:r>
      <w:r w:rsidR="00BA65FA">
        <w:rPr>
          <w:rFonts w:cs="Arial"/>
        </w:rPr>
        <w:t xml:space="preserve">, </w:t>
      </w:r>
      <w:bookmarkStart w:id="173" w:name="_Hlk114651258"/>
      <w:r w:rsidR="00BA65FA">
        <w:rPr>
          <w:rFonts w:cs="Arial"/>
        </w:rPr>
        <w:t>for example less than 23 weeks gestation or less than 500</w:t>
      </w:r>
      <w:r w:rsidR="00CC198D">
        <w:rPr>
          <w:rFonts w:cs="Arial"/>
        </w:rPr>
        <w:t xml:space="preserve"> </w:t>
      </w:r>
      <w:r w:rsidR="00BA65FA">
        <w:rPr>
          <w:rFonts w:cs="Arial"/>
        </w:rPr>
        <w:t>g birthweight</w:t>
      </w:r>
      <w:bookmarkEnd w:id="173"/>
      <w:r w:rsidRPr="009F63CE">
        <w:rPr>
          <w:rFonts w:cs="Arial"/>
        </w:rPr>
        <w:t>, denominator numbers are small and almost all babies will not survive. If the denominator</w:t>
      </w:r>
      <w:r w:rsidR="00BC67EF" w:rsidRPr="009F63CE">
        <w:rPr>
          <w:rFonts w:cs="Arial"/>
        </w:rPr>
        <w:t xml:space="preserve"> </w:t>
      </w:r>
      <w:r w:rsidR="009F63CE" w:rsidRPr="009F63CE">
        <w:rPr>
          <w:rFonts w:cs="Arial"/>
        </w:rPr>
        <w:t>data set</w:t>
      </w:r>
      <w:r w:rsidRPr="009F63CE">
        <w:rPr>
          <w:rFonts w:cs="Arial"/>
        </w:rPr>
        <w:t xml:space="preserve"> does not include all births for whatever reason, then it will appear that more babies died than were born. For this reason, perinatal related mortality rates at the lower extremes</w:t>
      </w:r>
      <w:r w:rsidR="00BA65FA">
        <w:rPr>
          <w:rFonts w:cs="Arial"/>
        </w:rPr>
        <w:t xml:space="preserve"> </w:t>
      </w:r>
      <w:r w:rsidRPr="009F63CE">
        <w:rPr>
          <w:rFonts w:cs="Arial"/>
        </w:rPr>
        <w:t>have not been reported.</w:t>
      </w:r>
    </w:p>
    <w:p w14:paraId="4A93028F" w14:textId="77777777" w:rsidR="001C4055" w:rsidRPr="009F63CE" w:rsidRDefault="001C4055" w:rsidP="009E7CD2">
      <w:pPr>
        <w:pStyle w:val="Heading3"/>
      </w:pPr>
      <w:bookmarkStart w:id="174" w:name="_Toc119317638"/>
      <w:bookmarkStart w:id="175" w:name="_Toc119317857"/>
      <w:bookmarkStart w:id="176" w:name="_Toc119317933"/>
      <w:bookmarkStart w:id="177" w:name="_Toc119407159"/>
      <w:r w:rsidRPr="009F63CE">
        <w:t>Multiple-year data</w:t>
      </w:r>
      <w:bookmarkEnd w:id="174"/>
      <w:bookmarkEnd w:id="175"/>
      <w:bookmarkEnd w:id="176"/>
      <w:bookmarkEnd w:id="177"/>
      <w:r w:rsidR="00997783" w:rsidRPr="009F63CE">
        <w:t xml:space="preserve"> </w:t>
      </w:r>
    </w:p>
    <w:p w14:paraId="04D5F41E" w14:textId="142F03C1" w:rsidR="001C4055" w:rsidRDefault="008C3279" w:rsidP="001C4055">
      <w:pPr>
        <w:rPr>
          <w:rFonts w:cs="Arial"/>
        </w:rPr>
      </w:pPr>
      <w:r w:rsidRPr="009F63CE">
        <w:rPr>
          <w:rFonts w:cs="Arial"/>
        </w:rPr>
        <w:t>F</w:t>
      </w:r>
      <w:r w:rsidR="001C4055" w:rsidRPr="009F63CE">
        <w:rPr>
          <w:rFonts w:cs="Arial"/>
        </w:rPr>
        <w:t>igures</w:t>
      </w:r>
      <w:r w:rsidRPr="009F63CE">
        <w:rPr>
          <w:rFonts w:cs="Arial"/>
        </w:rPr>
        <w:t xml:space="preserve"> (and tables)</w:t>
      </w:r>
      <w:r w:rsidR="001C4055" w:rsidRPr="009F63CE">
        <w:rPr>
          <w:rFonts w:cs="Arial"/>
        </w:rPr>
        <w:t xml:space="preserve"> </w:t>
      </w:r>
      <w:r w:rsidRPr="009F63CE">
        <w:rPr>
          <w:rFonts w:cs="Arial"/>
        </w:rPr>
        <w:t>in the reports</w:t>
      </w:r>
      <w:r w:rsidR="001C4055" w:rsidRPr="009F63CE">
        <w:rPr>
          <w:rFonts w:cs="Arial"/>
        </w:rPr>
        <w:t xml:space="preserve"> sometimes include combined data for the most recent five years</w:t>
      </w:r>
      <w:r w:rsidR="002D58DC" w:rsidRPr="009F63CE">
        <w:rPr>
          <w:rFonts w:cs="Arial"/>
        </w:rPr>
        <w:t xml:space="preserve"> (or for all years)</w:t>
      </w:r>
      <w:r w:rsidR="001C4055" w:rsidRPr="009F63CE">
        <w:rPr>
          <w:rFonts w:cs="Arial"/>
        </w:rPr>
        <w:t xml:space="preserve"> that the PMMR</w:t>
      </w:r>
      <w:r w:rsidRPr="009F63CE">
        <w:rPr>
          <w:rFonts w:cs="Arial"/>
        </w:rPr>
        <w:t>C has collected data</w:t>
      </w:r>
      <w:r w:rsidR="001C4055" w:rsidRPr="009F63CE">
        <w:rPr>
          <w:rFonts w:cs="Arial"/>
        </w:rPr>
        <w:t>. This increases the numbers and so improves the confidence around the estimates given, while restricting to the most recent five years of data minimise</w:t>
      </w:r>
      <w:r w:rsidR="00E33AF7">
        <w:rPr>
          <w:rFonts w:cs="Arial"/>
        </w:rPr>
        <w:t>s</w:t>
      </w:r>
      <w:r w:rsidR="001C4055" w:rsidRPr="009F63CE">
        <w:rPr>
          <w:rFonts w:cs="Arial"/>
        </w:rPr>
        <w:t xml:space="preserve"> the impact of changes over time on rates.</w:t>
      </w:r>
    </w:p>
    <w:p w14:paraId="6AAFB563" w14:textId="20DDACC8" w:rsidR="002512E5" w:rsidRDefault="002512E5" w:rsidP="009E7CD2">
      <w:pPr>
        <w:pStyle w:val="Heading3"/>
      </w:pPr>
      <w:bookmarkStart w:id="178" w:name="_Toc119317639"/>
      <w:bookmarkStart w:id="179" w:name="_Toc119317858"/>
      <w:bookmarkStart w:id="180" w:name="_Toc119317934"/>
      <w:bookmarkStart w:id="181" w:name="_Toc119407160"/>
      <w:r>
        <w:t>National rates</w:t>
      </w:r>
      <w:bookmarkEnd w:id="178"/>
      <w:bookmarkEnd w:id="179"/>
      <w:bookmarkEnd w:id="180"/>
      <w:bookmarkEnd w:id="181"/>
    </w:p>
    <w:p w14:paraId="733A2CB3" w14:textId="7A260033" w:rsidR="002512E5" w:rsidRPr="002512E5" w:rsidRDefault="002512E5" w:rsidP="002512E5">
      <w:r>
        <w:t>In some figures presenting DHB data, a national rate is indicated. This</w:t>
      </w:r>
      <w:r w:rsidRPr="002512E5">
        <w:t xml:space="preserve"> is calculated as a total rate over the stated time period for all DHBs shown</w:t>
      </w:r>
      <w:r>
        <w:t>.</w:t>
      </w:r>
    </w:p>
    <w:p w14:paraId="1F02DBB2" w14:textId="77777777" w:rsidR="00997783" w:rsidRPr="009F63CE" w:rsidRDefault="00997783" w:rsidP="009E7CD2">
      <w:pPr>
        <w:pStyle w:val="Heading3"/>
      </w:pPr>
      <w:bookmarkStart w:id="182" w:name="_Toc119317640"/>
      <w:bookmarkStart w:id="183" w:name="_Toc119317859"/>
      <w:bookmarkStart w:id="184" w:name="_Toc119317935"/>
      <w:bookmarkStart w:id="185" w:name="_Toc119407161"/>
      <w:r w:rsidRPr="009F63CE">
        <w:t>Management of late notifications</w:t>
      </w:r>
      <w:bookmarkEnd w:id="182"/>
      <w:bookmarkEnd w:id="183"/>
      <w:bookmarkEnd w:id="184"/>
      <w:bookmarkEnd w:id="185"/>
    </w:p>
    <w:p w14:paraId="2E7B1C7D" w14:textId="51185F4E" w:rsidR="00C64FF2" w:rsidRPr="009C6534" w:rsidRDefault="00997783">
      <w:pPr>
        <w:rPr>
          <w:rFonts w:cs="Arial"/>
        </w:rPr>
      </w:pPr>
      <w:r w:rsidRPr="009F63CE">
        <w:rPr>
          <w:rFonts w:cs="Arial"/>
        </w:rPr>
        <w:t xml:space="preserve">Cases notified after the </w:t>
      </w:r>
      <w:r w:rsidR="009F63CE" w:rsidRPr="009F63CE">
        <w:rPr>
          <w:rFonts w:cs="Arial"/>
        </w:rPr>
        <w:t>data set</w:t>
      </w:r>
      <w:r w:rsidRPr="009F63CE">
        <w:rPr>
          <w:rFonts w:cs="Arial"/>
        </w:rPr>
        <w:t xml:space="preserve"> is closed are included in overall mortality rates in the initial tables of each section but not in subsequent tables.</w:t>
      </w:r>
      <w:r w:rsidR="00E975CD">
        <w:rPr>
          <w:rFonts w:cs="Arial"/>
        </w:rPr>
        <w:t xml:space="preserve"> </w:t>
      </w:r>
      <w:bookmarkStart w:id="186" w:name="_Toc511381613"/>
      <w:bookmarkStart w:id="187" w:name="_Toc511823262"/>
      <w:bookmarkEnd w:id="186"/>
      <w:bookmarkEnd w:id="187"/>
      <w:r w:rsidR="00C64FF2" w:rsidRPr="009F63CE">
        <w:rPr>
          <w:rFonts w:cs="Arial"/>
        </w:rPr>
        <w:br w:type="page"/>
      </w:r>
    </w:p>
    <w:p w14:paraId="6881AE45" w14:textId="54F0F099" w:rsidR="0000678F" w:rsidRPr="002D24D2" w:rsidRDefault="004C115C" w:rsidP="002D24D2">
      <w:pPr>
        <w:pStyle w:val="Heading1"/>
      </w:pPr>
      <w:bookmarkStart w:id="188" w:name="_Toc119407162"/>
      <w:r w:rsidRPr="009F63CE">
        <w:lastRenderedPageBreak/>
        <w:t xml:space="preserve">List of </w:t>
      </w:r>
      <w:bookmarkStart w:id="189" w:name="_Toc480797230"/>
      <w:bookmarkStart w:id="190" w:name="_Ref482617864"/>
      <w:bookmarkStart w:id="191" w:name="_Ref482617904"/>
      <w:bookmarkStart w:id="192" w:name="_Toc483987266"/>
      <w:r w:rsidR="00AC3547" w:rsidRPr="009F63CE">
        <w:t>Abbreviations</w:t>
      </w:r>
      <w:bookmarkEnd w:id="189"/>
      <w:bookmarkEnd w:id="190"/>
      <w:bookmarkEnd w:id="191"/>
      <w:bookmarkEnd w:id="192"/>
      <w:r w:rsidR="00AC3547" w:rsidRPr="009F63CE">
        <w:t xml:space="preserve"> </w:t>
      </w:r>
      <w:r w:rsidR="00E15BBC">
        <w:t xml:space="preserve">| </w:t>
      </w:r>
      <w:r w:rsidR="00E15BBC" w:rsidRPr="00E15BBC">
        <w:t xml:space="preserve">Rārangi </w:t>
      </w:r>
      <w:r w:rsidR="0054229E">
        <w:t>W</w:t>
      </w:r>
      <w:r w:rsidR="00E15BBC" w:rsidRPr="00E15BBC">
        <w:t>hakapotonga</w:t>
      </w:r>
      <w:bookmarkEnd w:id="188"/>
    </w:p>
    <w:p w14:paraId="52077A3C"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BDM</w:t>
      </w:r>
      <w:r w:rsidRPr="009F63CE">
        <w:rPr>
          <w:rFonts w:cs="Arial"/>
        </w:rPr>
        <w:tab/>
        <w:t>Births, Deaths and Marriages</w:t>
      </w:r>
    </w:p>
    <w:p w14:paraId="03E94297"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BMI</w:t>
      </w:r>
      <w:r w:rsidRPr="009F63CE">
        <w:rPr>
          <w:rFonts w:cs="Arial"/>
        </w:rPr>
        <w:tab/>
        <w:t>Body mass index (kg/m</w:t>
      </w:r>
      <w:r w:rsidRPr="009F63CE">
        <w:rPr>
          <w:rFonts w:cs="Arial"/>
          <w:vertAlign w:val="superscript"/>
        </w:rPr>
        <w:t>2</w:t>
      </w:r>
      <w:r w:rsidRPr="009F63CE">
        <w:rPr>
          <w:rFonts w:cs="Arial"/>
        </w:rPr>
        <w:t>)</w:t>
      </w:r>
    </w:p>
    <w:p w14:paraId="26AC58D3" w14:textId="77777777" w:rsidR="00D85A99" w:rsidRPr="009F63CE" w:rsidRDefault="001C4055" w:rsidP="00CC034E">
      <w:pPr>
        <w:tabs>
          <w:tab w:val="left" w:pos="1701"/>
        </w:tabs>
        <w:spacing w:before="120" w:after="120" w:line="240" w:lineRule="auto"/>
        <w:ind w:left="1701" w:hanging="1701"/>
        <w:rPr>
          <w:rFonts w:cs="Arial"/>
        </w:rPr>
      </w:pPr>
      <w:r w:rsidRPr="009F63CE">
        <w:rPr>
          <w:rFonts w:cs="Arial"/>
        </w:rPr>
        <w:t>CI</w:t>
      </w:r>
      <w:r w:rsidRPr="009F63CE">
        <w:rPr>
          <w:rFonts w:cs="Arial"/>
        </w:rPr>
        <w:tab/>
        <w:t>Confidence interval</w:t>
      </w:r>
    </w:p>
    <w:p w14:paraId="3CD85272"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DHB</w:t>
      </w:r>
      <w:r w:rsidRPr="009F63CE">
        <w:rPr>
          <w:rFonts w:cs="Arial"/>
        </w:rPr>
        <w:tab/>
        <w:t>District health board</w:t>
      </w:r>
    </w:p>
    <w:p w14:paraId="51DFB74E"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GP</w:t>
      </w:r>
      <w:r w:rsidRPr="009F63CE">
        <w:rPr>
          <w:rFonts w:cs="Arial"/>
        </w:rPr>
        <w:tab/>
        <w:t>General practitioner</w:t>
      </w:r>
    </w:p>
    <w:p w14:paraId="0E8807A7" w14:textId="77777777" w:rsidR="00502D17" w:rsidRPr="009F63CE" w:rsidRDefault="00502D17" w:rsidP="00CC034E">
      <w:pPr>
        <w:tabs>
          <w:tab w:val="left" w:pos="1701"/>
        </w:tabs>
        <w:spacing w:before="120" w:after="120" w:line="240" w:lineRule="auto"/>
        <w:ind w:left="1701" w:hanging="1701"/>
        <w:rPr>
          <w:rFonts w:cs="Arial"/>
        </w:rPr>
      </w:pPr>
      <w:r w:rsidRPr="009F63CE">
        <w:rPr>
          <w:rFonts w:cs="Arial"/>
        </w:rPr>
        <w:t>HISO</w:t>
      </w:r>
      <w:r w:rsidRPr="009F63CE">
        <w:rPr>
          <w:rFonts w:cs="Arial"/>
        </w:rPr>
        <w:tab/>
        <w:t>Health Information Standards Organisation</w:t>
      </w:r>
    </w:p>
    <w:p w14:paraId="139A3CC1"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LMC</w:t>
      </w:r>
      <w:r w:rsidRPr="009F63CE">
        <w:rPr>
          <w:rFonts w:cs="Arial"/>
        </w:rPr>
        <w:tab/>
        <w:t>Lead maternity carer</w:t>
      </w:r>
    </w:p>
    <w:p w14:paraId="1F197C9A"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MAT</w:t>
      </w:r>
      <w:r w:rsidRPr="009F63CE">
        <w:rPr>
          <w:rFonts w:cs="Arial"/>
        </w:rPr>
        <w:tab/>
        <w:t>New Zealand National Maternity Collection</w:t>
      </w:r>
    </w:p>
    <w:p w14:paraId="2FCDD42C" w14:textId="77777777" w:rsidR="00E06C74" w:rsidRPr="009F63CE" w:rsidRDefault="00E06C74" w:rsidP="00CC034E">
      <w:pPr>
        <w:tabs>
          <w:tab w:val="left" w:pos="1701"/>
        </w:tabs>
        <w:spacing w:before="120" w:after="120" w:line="240" w:lineRule="auto"/>
        <w:ind w:left="1701" w:hanging="1701"/>
        <w:rPr>
          <w:rFonts w:cs="Arial"/>
        </w:rPr>
      </w:pPr>
      <w:r w:rsidRPr="009F63CE">
        <w:rPr>
          <w:rFonts w:cs="Arial"/>
        </w:rPr>
        <w:t>MELAA</w:t>
      </w:r>
      <w:r w:rsidRPr="009F63CE">
        <w:rPr>
          <w:rFonts w:cs="Arial"/>
        </w:rPr>
        <w:tab/>
        <w:t xml:space="preserve">Middle Eastern, Latin American </w:t>
      </w:r>
      <w:r w:rsidR="00EA2974" w:rsidRPr="009F63CE">
        <w:rPr>
          <w:rFonts w:cs="Arial"/>
        </w:rPr>
        <w:t xml:space="preserve">or </w:t>
      </w:r>
      <w:r w:rsidRPr="009F63CE">
        <w:rPr>
          <w:rFonts w:cs="Arial"/>
        </w:rPr>
        <w:t>African</w:t>
      </w:r>
    </w:p>
    <w:p w14:paraId="0651669E"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MMRWG</w:t>
      </w:r>
      <w:r w:rsidRPr="009F63CE">
        <w:rPr>
          <w:rFonts w:cs="Arial"/>
        </w:rPr>
        <w:tab/>
        <w:t>Maternal Mortality Review Working Group</w:t>
      </w:r>
    </w:p>
    <w:p w14:paraId="7BDA6B93"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NE</w:t>
      </w:r>
      <w:r w:rsidRPr="009F63CE">
        <w:rPr>
          <w:rFonts w:cs="Arial"/>
        </w:rPr>
        <w:tab/>
        <w:t>Neonatal encephalopathy</w:t>
      </w:r>
    </w:p>
    <w:p w14:paraId="055DDEBE"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NHI</w:t>
      </w:r>
      <w:r w:rsidRPr="009F63CE">
        <w:rPr>
          <w:rFonts w:cs="Arial"/>
        </w:rPr>
        <w:tab/>
        <w:t>National Health Index</w:t>
      </w:r>
    </w:p>
    <w:p w14:paraId="39985CCC"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NMDS</w:t>
      </w:r>
      <w:r w:rsidRPr="009F63CE">
        <w:rPr>
          <w:rFonts w:cs="Arial"/>
        </w:rPr>
        <w:tab/>
        <w:t>National Minimum Dataset</w:t>
      </w:r>
    </w:p>
    <w:p w14:paraId="252CC345"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NZDep</w:t>
      </w:r>
      <w:r w:rsidRPr="009F63CE">
        <w:rPr>
          <w:rFonts w:cs="Arial"/>
        </w:rPr>
        <w:tab/>
        <w:t xml:space="preserve">New Zealand Index of Deprivation </w:t>
      </w:r>
    </w:p>
    <w:p w14:paraId="414BFAA5"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PMMRC</w:t>
      </w:r>
      <w:r w:rsidRPr="009F63CE">
        <w:rPr>
          <w:rFonts w:cs="Arial"/>
        </w:rPr>
        <w:tab/>
        <w:t>Perinatal and Maternal Mortality Review Committee</w:t>
      </w:r>
    </w:p>
    <w:p w14:paraId="1ADB57D9"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PSANZ</w:t>
      </w:r>
      <w:r w:rsidRPr="009F63CE">
        <w:rPr>
          <w:rFonts w:cs="Arial"/>
        </w:rPr>
        <w:tab/>
        <w:t>Perinatal Society of Australia and New Zealand</w:t>
      </w:r>
    </w:p>
    <w:p w14:paraId="6BC5D361"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PSANZ-NDC</w:t>
      </w:r>
      <w:r w:rsidRPr="009F63CE">
        <w:rPr>
          <w:rFonts w:cs="Arial"/>
        </w:rPr>
        <w:tab/>
        <w:t xml:space="preserve">PSANZ </w:t>
      </w:r>
      <w:r w:rsidR="00906B7A" w:rsidRPr="009F63CE">
        <w:rPr>
          <w:rFonts w:cs="Arial"/>
        </w:rPr>
        <w:t>Neonatal Death Classification</w:t>
      </w:r>
    </w:p>
    <w:p w14:paraId="1F4B2F3E"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PSANZ-PDC</w:t>
      </w:r>
      <w:r w:rsidRPr="009F63CE">
        <w:rPr>
          <w:rFonts w:cs="Arial"/>
        </w:rPr>
        <w:tab/>
        <w:t xml:space="preserve">PSANZ </w:t>
      </w:r>
      <w:r w:rsidR="00906B7A" w:rsidRPr="009F63CE">
        <w:rPr>
          <w:rFonts w:cs="Arial"/>
        </w:rPr>
        <w:t>Perinatal Death Classification</w:t>
      </w:r>
    </w:p>
    <w:p w14:paraId="226032DE" w14:textId="77777777" w:rsidR="001C4055" w:rsidRPr="009F63CE" w:rsidRDefault="001C4055" w:rsidP="00CC034E">
      <w:pPr>
        <w:tabs>
          <w:tab w:val="left" w:pos="1701"/>
        </w:tabs>
        <w:spacing w:before="120" w:after="120" w:line="240" w:lineRule="auto"/>
        <w:ind w:left="1701" w:hanging="1701"/>
        <w:rPr>
          <w:rFonts w:cs="Arial"/>
        </w:rPr>
      </w:pPr>
      <w:r w:rsidRPr="009F63CE">
        <w:rPr>
          <w:rFonts w:cs="Arial"/>
        </w:rPr>
        <w:t>WHO</w:t>
      </w:r>
      <w:r w:rsidRPr="009F63CE">
        <w:rPr>
          <w:rFonts w:cs="Arial"/>
        </w:rPr>
        <w:tab/>
        <w:t>World Health Organization</w:t>
      </w:r>
      <w:bookmarkStart w:id="193" w:name="_Toc417715658"/>
    </w:p>
    <w:bookmarkEnd w:id="193"/>
    <w:p w14:paraId="5F8C4437" w14:textId="77777777" w:rsidR="00C923B7" w:rsidRPr="009F63CE" w:rsidRDefault="00C923B7" w:rsidP="00312B36">
      <w:pPr>
        <w:tabs>
          <w:tab w:val="left" w:pos="1418"/>
        </w:tabs>
        <w:spacing w:before="120" w:after="120" w:line="240" w:lineRule="auto"/>
        <w:rPr>
          <w:rFonts w:eastAsiaTheme="majorEastAsia" w:cs="Arial"/>
          <w:color w:val="C00000"/>
          <w:spacing w:val="5"/>
          <w:kern w:val="28"/>
          <w:sz w:val="28"/>
          <w:szCs w:val="52"/>
          <w:highlight w:val="yellow"/>
        </w:rPr>
      </w:pPr>
    </w:p>
    <w:p w14:paraId="2321DC75" w14:textId="77777777" w:rsidR="00C64FF2" w:rsidRPr="009F63CE" w:rsidRDefault="00C64FF2">
      <w:pPr>
        <w:rPr>
          <w:rFonts w:cs="Arial"/>
          <w:color w:val="C00000"/>
          <w:sz w:val="28"/>
        </w:rPr>
      </w:pPr>
      <w:r w:rsidRPr="009F63CE">
        <w:rPr>
          <w:rFonts w:cs="Arial"/>
        </w:rPr>
        <w:br w:type="page"/>
      </w:r>
    </w:p>
    <w:p w14:paraId="65132C40" w14:textId="3175FFB0" w:rsidR="001C4055" w:rsidRDefault="00C923B7" w:rsidP="002D24D2">
      <w:pPr>
        <w:pStyle w:val="Heading1"/>
      </w:pPr>
      <w:bookmarkStart w:id="194" w:name="_Toc119407163"/>
      <w:r w:rsidRPr="009F63CE">
        <w:lastRenderedPageBreak/>
        <w:t>References</w:t>
      </w:r>
      <w:r w:rsidR="008213B2">
        <w:t xml:space="preserve"> | </w:t>
      </w:r>
      <w:r w:rsidR="008213B2" w:rsidRPr="008213B2">
        <w:t>Tohutoro</w:t>
      </w:r>
      <w:bookmarkEnd w:id="194"/>
    </w:p>
    <w:p w14:paraId="1F55D3B8" w14:textId="77777777" w:rsidR="00C923B7" w:rsidRPr="009F63CE" w:rsidRDefault="00C923B7" w:rsidP="00400484">
      <w:pPr>
        <w:spacing w:after="120"/>
        <w:rPr>
          <w:rFonts w:cs="Arial"/>
        </w:rPr>
      </w:pPr>
      <w:r w:rsidRPr="009F63CE">
        <w:rPr>
          <w:rFonts w:cs="Arial"/>
        </w:rPr>
        <w:t xml:space="preserve">American College of Obstetricians and Gynecologists. 2014. Executive </w:t>
      </w:r>
      <w:r w:rsidR="005E286F" w:rsidRPr="009F63CE">
        <w:rPr>
          <w:rFonts w:cs="Arial"/>
        </w:rPr>
        <w:t>summary</w:t>
      </w:r>
      <w:r w:rsidRPr="009F63CE">
        <w:rPr>
          <w:rFonts w:cs="Arial"/>
        </w:rPr>
        <w:t xml:space="preserve">: Neonatal </w:t>
      </w:r>
      <w:r w:rsidR="005E286F" w:rsidRPr="009F63CE">
        <w:rPr>
          <w:rFonts w:cs="Arial"/>
        </w:rPr>
        <w:t>encephalopathy and neurologic outcome, second edition</w:t>
      </w:r>
      <w:r w:rsidRPr="009F63CE">
        <w:rPr>
          <w:rFonts w:cs="Arial"/>
        </w:rPr>
        <w:t xml:space="preserve">. </w:t>
      </w:r>
      <w:r w:rsidRPr="009F63CE">
        <w:rPr>
          <w:rFonts w:cs="Arial"/>
          <w:i/>
          <w:iCs/>
        </w:rPr>
        <w:t>Obstetrics and Gynecology</w:t>
      </w:r>
      <w:r w:rsidRPr="009F63CE">
        <w:rPr>
          <w:rFonts w:cs="Arial"/>
          <w:iCs/>
        </w:rPr>
        <w:t xml:space="preserve"> 123: 896–901</w:t>
      </w:r>
      <w:r w:rsidRPr="009F63CE">
        <w:rPr>
          <w:rFonts w:cs="Arial"/>
        </w:rPr>
        <w:t xml:space="preserve">. URL: </w:t>
      </w:r>
      <w:hyperlink r:id="rId37" w:history="1">
        <w:r w:rsidRPr="009F63CE">
          <w:rPr>
            <w:rFonts w:cs="Arial"/>
            <w:color w:val="0000FF"/>
            <w:u w:val="single"/>
          </w:rPr>
          <w:t>http://pediatrics.aappublications.org/content/133/5/e1482</w:t>
        </w:r>
      </w:hyperlink>
      <w:r w:rsidRPr="009F63CE">
        <w:rPr>
          <w:rFonts w:cs="Arial"/>
        </w:rPr>
        <w:t xml:space="preserve"> (accessed April 2018).</w:t>
      </w:r>
    </w:p>
    <w:p w14:paraId="3AA7F710" w14:textId="64404341" w:rsidR="00A47EFB" w:rsidRPr="00282106" w:rsidRDefault="00C923B7" w:rsidP="00400484">
      <w:pPr>
        <w:pStyle w:val="Bibliography"/>
        <w:spacing w:after="120"/>
      </w:pPr>
      <w:r w:rsidRPr="009F63CE">
        <w:rPr>
          <w:rFonts w:cs="Arial"/>
        </w:rPr>
        <w:t xml:space="preserve">Atkinson J, Salmond C, Crampton P. 2014. </w:t>
      </w:r>
      <w:r w:rsidRPr="009F63CE">
        <w:rPr>
          <w:rFonts w:cs="Arial"/>
          <w:i/>
        </w:rPr>
        <w:t>NZDep2013 Index of Deprivation.</w:t>
      </w:r>
      <w:r w:rsidRPr="009F63CE">
        <w:rPr>
          <w:rFonts w:cs="Arial"/>
        </w:rPr>
        <w:t xml:space="preserve"> Wellington: Department of Public Health, University of Otago. URL: </w:t>
      </w:r>
      <w:hyperlink r:id="rId38" w:history="1">
        <w:r w:rsidRPr="009F63CE">
          <w:rPr>
            <w:rFonts w:cs="Arial"/>
            <w:color w:val="0000FF" w:themeColor="hyperlink"/>
            <w:u w:val="single"/>
          </w:rPr>
          <w:t>http://www.otago.ac.nz/wellington/otago069936.pdf</w:t>
        </w:r>
      </w:hyperlink>
      <w:r w:rsidRPr="009F63CE">
        <w:rPr>
          <w:rFonts w:cs="Arial"/>
        </w:rPr>
        <w:t xml:space="preserve"> (accessed April 2018).</w:t>
      </w:r>
      <w:r w:rsidR="00A47EFB" w:rsidRPr="00282106">
        <w:t xml:space="preserve"> </w:t>
      </w:r>
    </w:p>
    <w:p w14:paraId="6BC40CD1" w14:textId="578127F5" w:rsidR="00282106" w:rsidRPr="00282106" w:rsidRDefault="00282106" w:rsidP="00400484">
      <w:pPr>
        <w:spacing w:after="120"/>
      </w:pPr>
      <w:r w:rsidRPr="00282106">
        <w:t xml:space="preserve">Atkinson J, Salmond C, Crampton P. 2019. </w:t>
      </w:r>
      <w:r w:rsidRPr="00A47EFB">
        <w:rPr>
          <w:i/>
          <w:iCs/>
        </w:rPr>
        <w:t>NZDep2018 index of deprivation: interim research report,</w:t>
      </w:r>
      <w:r w:rsidRPr="00282106">
        <w:t xml:space="preserve"> </w:t>
      </w:r>
      <w:r w:rsidRPr="00990BBA">
        <w:rPr>
          <w:i/>
          <w:iCs/>
        </w:rPr>
        <w:t>December 2019</w:t>
      </w:r>
      <w:r w:rsidRPr="00282106">
        <w:t>. Wellington</w:t>
      </w:r>
      <w:r w:rsidR="003E0B06">
        <w:t>:</w:t>
      </w:r>
      <w:r w:rsidRPr="00282106">
        <w:t xml:space="preserve"> </w:t>
      </w:r>
      <w:r w:rsidR="003E0B06">
        <w:t>University of Otago</w:t>
      </w:r>
      <w:r w:rsidRPr="00282106">
        <w:t xml:space="preserve">. </w:t>
      </w:r>
      <w:r>
        <w:t xml:space="preserve">URL: </w:t>
      </w:r>
      <w:hyperlink r:id="rId39" w:history="1">
        <w:r w:rsidRPr="00751942">
          <w:rPr>
            <w:rStyle w:val="Hyperlink"/>
          </w:rPr>
          <w:t>https://www.otago.ac.nz/wellington/otago730394.pdf</w:t>
        </w:r>
      </w:hyperlink>
      <w:r>
        <w:t xml:space="preserve"> </w:t>
      </w:r>
      <w:r w:rsidR="00A47EFB">
        <w:t>(accessed May 2022).</w:t>
      </w:r>
    </w:p>
    <w:p w14:paraId="58BDE3A6" w14:textId="0154BCA4" w:rsidR="00C923B7" w:rsidRDefault="007C382C" w:rsidP="00400484">
      <w:pPr>
        <w:pStyle w:val="Bibliography"/>
        <w:spacing w:after="120"/>
        <w:rPr>
          <w:rFonts w:cs="Arial"/>
        </w:rPr>
      </w:pPr>
      <w:r w:rsidRPr="009F63CE">
        <w:rPr>
          <w:rFonts w:cs="Arial"/>
        </w:rPr>
        <w:t>Centre for Maternal and Child Enquiries (</w:t>
      </w:r>
      <w:r w:rsidR="00C923B7" w:rsidRPr="009F63CE">
        <w:rPr>
          <w:rFonts w:cs="Arial"/>
        </w:rPr>
        <w:t>CMACE</w:t>
      </w:r>
      <w:r w:rsidRPr="009F63CE">
        <w:rPr>
          <w:rFonts w:cs="Arial"/>
        </w:rPr>
        <w:t>)</w:t>
      </w:r>
      <w:r w:rsidR="00C923B7" w:rsidRPr="009F63CE">
        <w:rPr>
          <w:rFonts w:cs="Arial"/>
        </w:rPr>
        <w:t xml:space="preserve">. 2011. </w:t>
      </w:r>
      <w:r w:rsidR="00C923B7" w:rsidRPr="009F63CE">
        <w:rPr>
          <w:rFonts w:cs="Arial"/>
          <w:i/>
        </w:rPr>
        <w:t>Perinatal Mortality 2009: United Kingdom</w:t>
      </w:r>
      <w:r w:rsidR="00C923B7" w:rsidRPr="009F63CE">
        <w:rPr>
          <w:rFonts w:cs="Arial"/>
        </w:rPr>
        <w:t xml:space="preserve">. London: Centre for Maternal and Child Enquiries. URL: </w:t>
      </w:r>
      <w:hyperlink r:id="rId40" w:history="1">
        <w:r w:rsidR="00C923B7" w:rsidRPr="009F63CE">
          <w:rPr>
            <w:rFonts w:cs="Arial"/>
            <w:color w:val="0000FF" w:themeColor="hyperlink"/>
            <w:u w:val="single"/>
          </w:rPr>
          <w:t>http://www.publichealth.hscni.net/sites/default/files/Perinatal Mortality 2009.pdf</w:t>
        </w:r>
      </w:hyperlink>
      <w:r w:rsidR="00C923B7" w:rsidRPr="009F63CE">
        <w:rPr>
          <w:rFonts w:cs="Arial"/>
        </w:rPr>
        <w:t xml:space="preserve"> (accessed April 2018). </w:t>
      </w:r>
    </w:p>
    <w:p w14:paraId="2AD5A08B" w14:textId="10E6BF11" w:rsidR="00CC0C73" w:rsidRPr="00CC0C73" w:rsidRDefault="00CC0C73" w:rsidP="00400484">
      <w:pPr>
        <w:spacing w:after="120"/>
      </w:pPr>
      <w:r w:rsidRPr="00CC0C73">
        <w:t xml:space="preserve">Cormack D, Robson C. </w:t>
      </w:r>
      <w:r w:rsidR="004F1833">
        <w:t xml:space="preserve">2010. </w:t>
      </w:r>
      <w:r w:rsidRPr="00CC0C73">
        <w:t>Classification and output of multiple ethnicities: issues for monitoring Māori health. Wellington: Te Rōpū Rangahau Hauora a Eru Pōmare.</w:t>
      </w:r>
    </w:p>
    <w:p w14:paraId="07D3320C" w14:textId="77777777" w:rsidR="00C923B7" w:rsidRPr="009F63CE" w:rsidRDefault="00C923B7" w:rsidP="00400484">
      <w:pPr>
        <w:pStyle w:val="Bibliography"/>
        <w:spacing w:after="120"/>
        <w:rPr>
          <w:rFonts w:cs="Arial"/>
        </w:rPr>
      </w:pPr>
      <w:r w:rsidRPr="009F63CE">
        <w:rPr>
          <w:rFonts w:cs="Arial"/>
        </w:rPr>
        <w:t xml:space="preserve">Farquhar C, Sadler L, Masson V, et al. 2011. Beyond the numbers: classifying contributory factors and potentially avoidable maternal deaths in New Zealand, 2006–2009. </w:t>
      </w:r>
      <w:r w:rsidRPr="009F63CE">
        <w:rPr>
          <w:rFonts w:cs="Arial"/>
          <w:i/>
          <w:iCs/>
        </w:rPr>
        <w:t>American Journal of Obstetrics &amp; Gynecology</w:t>
      </w:r>
      <w:r w:rsidRPr="009F63CE">
        <w:rPr>
          <w:rFonts w:cs="Arial"/>
        </w:rPr>
        <w:t xml:space="preserve"> </w:t>
      </w:r>
      <w:r w:rsidRPr="009F63CE">
        <w:rPr>
          <w:rFonts w:cs="Arial"/>
          <w:iCs/>
        </w:rPr>
        <w:t>205</w:t>
      </w:r>
      <w:r w:rsidRPr="009F63CE">
        <w:rPr>
          <w:rFonts w:cs="Arial"/>
        </w:rPr>
        <w:t xml:space="preserve">(4): 331.e1–8. URL: </w:t>
      </w:r>
      <w:hyperlink r:id="rId41" w:history="1">
        <w:r w:rsidRPr="009F63CE">
          <w:rPr>
            <w:rFonts w:cs="Arial"/>
            <w:color w:val="0000FF" w:themeColor="hyperlink"/>
            <w:u w:val="single"/>
          </w:rPr>
          <w:t>http://www.sciencedirect.com/science/article/pii/S0002937811009616</w:t>
        </w:r>
      </w:hyperlink>
      <w:r w:rsidRPr="009F63CE">
        <w:rPr>
          <w:rFonts w:cs="Arial"/>
        </w:rPr>
        <w:t xml:space="preserve"> (accessed April 2018).</w:t>
      </w:r>
    </w:p>
    <w:p w14:paraId="4C33A890" w14:textId="77777777" w:rsidR="00C95036" w:rsidRPr="009F63CE" w:rsidRDefault="00C95036" w:rsidP="00400484">
      <w:pPr>
        <w:pStyle w:val="Bibliography"/>
        <w:spacing w:after="120"/>
        <w:rPr>
          <w:rFonts w:cs="Arial"/>
        </w:rPr>
      </w:pPr>
      <w:r w:rsidRPr="009F63CE">
        <w:rPr>
          <w:rFonts w:cs="Arial"/>
        </w:rPr>
        <w:t xml:space="preserve">Heron M. 2011. Deaths: Leading </w:t>
      </w:r>
      <w:r w:rsidR="005E286F" w:rsidRPr="009F63CE">
        <w:rPr>
          <w:rFonts w:cs="Arial"/>
        </w:rPr>
        <w:t xml:space="preserve">causes </w:t>
      </w:r>
      <w:r w:rsidRPr="009F63CE">
        <w:rPr>
          <w:rFonts w:cs="Arial"/>
        </w:rPr>
        <w:t xml:space="preserve">for 2007. </w:t>
      </w:r>
      <w:r w:rsidRPr="009F63CE">
        <w:rPr>
          <w:rFonts w:cs="Arial"/>
          <w:i/>
        </w:rPr>
        <w:t xml:space="preserve">National Vital Statistics Reports </w:t>
      </w:r>
      <w:r w:rsidRPr="009F63CE">
        <w:rPr>
          <w:rFonts w:cs="Arial"/>
        </w:rPr>
        <w:t xml:space="preserve">59(8). URL: </w:t>
      </w:r>
      <w:hyperlink r:id="rId42" w:history="1">
        <w:r w:rsidRPr="009F63CE">
          <w:rPr>
            <w:rStyle w:val="Hyperlink"/>
            <w:rFonts w:cs="Arial"/>
          </w:rPr>
          <w:t>http://www.cdc.gov/nchs/data/nvsr/nvsr59/nvsr59_08.pdf</w:t>
        </w:r>
      </w:hyperlink>
      <w:r w:rsidRPr="009F63CE">
        <w:rPr>
          <w:rFonts w:cs="Arial"/>
        </w:rPr>
        <w:t xml:space="preserve"> (accessed April 2018).</w:t>
      </w:r>
    </w:p>
    <w:p w14:paraId="74D66A9C" w14:textId="77777777" w:rsidR="00C923B7" w:rsidRPr="009F63CE" w:rsidRDefault="00C923B7" w:rsidP="00400484">
      <w:pPr>
        <w:pStyle w:val="Bibliography"/>
        <w:spacing w:after="120"/>
        <w:rPr>
          <w:rFonts w:cs="Arial"/>
        </w:rPr>
      </w:pPr>
      <w:r w:rsidRPr="009F63CE">
        <w:rPr>
          <w:rFonts w:cs="Arial"/>
        </w:rPr>
        <w:t xml:space="preserve">Lewis G (ed). 2007. </w:t>
      </w:r>
      <w:r w:rsidRPr="009F63CE">
        <w:rPr>
          <w:rFonts w:cs="Arial"/>
          <w:i/>
        </w:rPr>
        <w:t xml:space="preserve">Saving </w:t>
      </w:r>
      <w:r w:rsidR="005E286F" w:rsidRPr="009F63CE">
        <w:rPr>
          <w:rFonts w:cs="Arial"/>
          <w:i/>
        </w:rPr>
        <w:t>mothers’ lives</w:t>
      </w:r>
      <w:r w:rsidRPr="009F63CE">
        <w:rPr>
          <w:rFonts w:cs="Arial"/>
          <w:i/>
        </w:rPr>
        <w:t>: Reviewing maternal deaths to make motherhood safer – 2003–2005. The Seventh Report of the Confidential Enquiries into Maternal Deaths in the United Kingdom</w:t>
      </w:r>
      <w:r w:rsidRPr="009F63CE">
        <w:rPr>
          <w:rFonts w:cs="Arial"/>
        </w:rPr>
        <w:t xml:space="preserve">. London: Confidential Enquiry into Maternal and Child Health. URL: </w:t>
      </w:r>
      <w:hyperlink r:id="rId43" w:history="1">
        <w:r w:rsidRPr="009F63CE">
          <w:rPr>
            <w:rFonts w:cs="Arial"/>
            <w:color w:val="0000FF" w:themeColor="hyperlink"/>
            <w:u w:val="single"/>
          </w:rPr>
          <w:t>http://www.publichealth.hscni.net/sites/default/files/Saving%20Mothers'%20Lives%202003-05%20.pdf</w:t>
        </w:r>
      </w:hyperlink>
      <w:r w:rsidRPr="009F63CE">
        <w:rPr>
          <w:rFonts w:cs="Arial"/>
        </w:rPr>
        <w:t xml:space="preserve"> (accessed April 2018).</w:t>
      </w:r>
    </w:p>
    <w:p w14:paraId="60C4DBC1" w14:textId="77777777" w:rsidR="00C923B7" w:rsidRPr="009F63CE" w:rsidRDefault="00C923B7" w:rsidP="00400484">
      <w:pPr>
        <w:pStyle w:val="Bibliography"/>
        <w:spacing w:after="120"/>
        <w:rPr>
          <w:rFonts w:cs="Arial"/>
        </w:rPr>
      </w:pPr>
      <w:r w:rsidRPr="009F63CE">
        <w:rPr>
          <w:rFonts w:cs="Arial"/>
        </w:rPr>
        <w:t xml:space="preserve">Ministry of Health. 2010. </w:t>
      </w:r>
      <w:r w:rsidRPr="009F63CE">
        <w:rPr>
          <w:rFonts w:cs="Arial"/>
          <w:i/>
        </w:rPr>
        <w:t xml:space="preserve">Fetal </w:t>
      </w:r>
      <w:r w:rsidR="00A40647" w:rsidRPr="009F63CE">
        <w:rPr>
          <w:rFonts w:cs="Arial"/>
          <w:i/>
        </w:rPr>
        <w:t xml:space="preserve">and infant deaths </w:t>
      </w:r>
      <w:r w:rsidRPr="009F63CE">
        <w:rPr>
          <w:rFonts w:cs="Arial"/>
          <w:i/>
        </w:rPr>
        <w:t>2006</w:t>
      </w:r>
      <w:r w:rsidRPr="009F63CE">
        <w:rPr>
          <w:rFonts w:cs="Arial"/>
        </w:rPr>
        <w:t xml:space="preserve">. Wellington: Ministry of Health. URL: </w:t>
      </w:r>
      <w:hyperlink r:id="rId44" w:history="1">
        <w:r w:rsidRPr="009F63CE">
          <w:rPr>
            <w:rFonts w:cs="Arial"/>
            <w:color w:val="0000FF" w:themeColor="hyperlink"/>
            <w:u w:val="single"/>
          </w:rPr>
          <w:t>http://www.health.govt.nz/system/files/documents/publications/fetal-and-infant-deaths-2006.pdf</w:t>
        </w:r>
      </w:hyperlink>
      <w:r w:rsidRPr="009F63CE">
        <w:rPr>
          <w:rFonts w:cs="Arial"/>
        </w:rPr>
        <w:t xml:space="preserve"> (accessed April 2018).</w:t>
      </w:r>
    </w:p>
    <w:p w14:paraId="7B2F6954" w14:textId="77777777" w:rsidR="00C923B7" w:rsidRPr="009F63CE" w:rsidRDefault="005249FB" w:rsidP="00400484">
      <w:pPr>
        <w:pStyle w:val="Bibliography"/>
        <w:spacing w:after="120"/>
        <w:rPr>
          <w:rFonts w:cs="Arial"/>
        </w:rPr>
      </w:pPr>
      <w:r w:rsidRPr="009F63CE">
        <w:rPr>
          <w:rFonts w:cs="Arial"/>
        </w:rPr>
        <w:t>Ministry of Health. 2012</w:t>
      </w:r>
      <w:r w:rsidR="00C923B7" w:rsidRPr="009F63CE">
        <w:rPr>
          <w:rFonts w:cs="Arial"/>
        </w:rPr>
        <w:t xml:space="preserve">. </w:t>
      </w:r>
      <w:r w:rsidR="00C923B7" w:rsidRPr="009F63CE">
        <w:rPr>
          <w:rFonts w:cs="Arial"/>
          <w:i/>
        </w:rPr>
        <w:t xml:space="preserve">Guidelines for </w:t>
      </w:r>
      <w:r w:rsidR="00A40647" w:rsidRPr="009F63CE">
        <w:rPr>
          <w:rFonts w:cs="Arial"/>
          <w:i/>
        </w:rPr>
        <w:t>consultation with obstetric and related medical services</w:t>
      </w:r>
      <w:r w:rsidR="00C923B7" w:rsidRPr="009F63CE">
        <w:rPr>
          <w:rFonts w:cs="Arial"/>
          <w:i/>
        </w:rPr>
        <w:t xml:space="preserve"> (</w:t>
      </w:r>
      <w:r w:rsidR="00A40647" w:rsidRPr="009F63CE">
        <w:rPr>
          <w:rFonts w:cs="Arial"/>
          <w:i/>
        </w:rPr>
        <w:t>referral guidelines</w:t>
      </w:r>
      <w:r w:rsidR="00C923B7" w:rsidRPr="009F63CE">
        <w:rPr>
          <w:rFonts w:cs="Arial"/>
          <w:i/>
        </w:rPr>
        <w:t xml:space="preserve">). </w:t>
      </w:r>
      <w:r w:rsidR="00C923B7" w:rsidRPr="009F63CE">
        <w:rPr>
          <w:rFonts w:cs="Arial"/>
        </w:rPr>
        <w:t xml:space="preserve">Wellington: Ministry of Health. URL: </w:t>
      </w:r>
      <w:hyperlink r:id="rId45" w:history="1">
        <w:r w:rsidR="00C923B7" w:rsidRPr="009F63CE">
          <w:rPr>
            <w:rStyle w:val="Hyperlink"/>
            <w:rFonts w:cs="Arial"/>
          </w:rPr>
          <w:t>https://www.health.govt.nz/system/files/documents/publications/referral-glines-jan12.pdf</w:t>
        </w:r>
      </w:hyperlink>
      <w:r w:rsidR="00C923B7" w:rsidRPr="009F63CE">
        <w:rPr>
          <w:rFonts w:cs="Arial"/>
        </w:rPr>
        <w:t xml:space="preserve"> (accessed March 2018).</w:t>
      </w:r>
    </w:p>
    <w:p w14:paraId="64E8C322" w14:textId="77777777" w:rsidR="005249FB" w:rsidRPr="009F63CE" w:rsidRDefault="005249FB" w:rsidP="00400484">
      <w:pPr>
        <w:pStyle w:val="Bibliography"/>
        <w:spacing w:after="120"/>
        <w:rPr>
          <w:rFonts w:cs="Arial"/>
        </w:rPr>
      </w:pPr>
      <w:r w:rsidRPr="009F63CE">
        <w:rPr>
          <w:rFonts w:cs="Arial"/>
        </w:rPr>
        <w:t xml:space="preserve">Ministry of Health. 2017. </w:t>
      </w:r>
      <w:r w:rsidRPr="009F63CE">
        <w:rPr>
          <w:rFonts w:cs="Arial"/>
          <w:i/>
        </w:rPr>
        <w:t xml:space="preserve">HISO </w:t>
      </w:r>
      <w:r w:rsidR="00502D17" w:rsidRPr="009F63CE">
        <w:rPr>
          <w:rFonts w:cs="Arial"/>
          <w:i/>
        </w:rPr>
        <w:t xml:space="preserve">10001:2017 </w:t>
      </w:r>
      <w:r w:rsidRPr="009F63CE">
        <w:rPr>
          <w:rFonts w:cs="Arial"/>
          <w:i/>
        </w:rPr>
        <w:t>Ethnicity Data Protocols</w:t>
      </w:r>
      <w:r w:rsidRPr="009F63CE">
        <w:rPr>
          <w:rFonts w:cs="Arial"/>
        </w:rPr>
        <w:t xml:space="preserve">. Wellington: Ministry of Health. URL: </w:t>
      </w:r>
      <w:hyperlink r:id="rId46" w:history="1">
        <w:r w:rsidRPr="009F63CE">
          <w:rPr>
            <w:rStyle w:val="Hyperlink"/>
            <w:rFonts w:cs="Arial"/>
          </w:rPr>
          <w:t>https://www.health.govt.nz/publication/hiso-100012017-ethnicity-data-protocols</w:t>
        </w:r>
      </w:hyperlink>
      <w:r w:rsidRPr="009F63CE">
        <w:rPr>
          <w:rFonts w:cs="Arial"/>
        </w:rPr>
        <w:t xml:space="preserve"> (accessed April 2018).</w:t>
      </w:r>
    </w:p>
    <w:p w14:paraId="5092E6DD" w14:textId="56138AEA" w:rsidR="005249FB" w:rsidRPr="009F63CE" w:rsidRDefault="005249FB" w:rsidP="00400484">
      <w:pPr>
        <w:pStyle w:val="Bibliography"/>
        <w:spacing w:after="120"/>
        <w:rPr>
          <w:rFonts w:cs="Arial"/>
        </w:rPr>
      </w:pPr>
      <w:r w:rsidRPr="009F63CE">
        <w:rPr>
          <w:rFonts w:cs="Arial"/>
        </w:rPr>
        <w:t xml:space="preserve">National Health Board Business Unit. 2011. </w:t>
      </w:r>
      <w:r w:rsidRPr="009F63CE">
        <w:rPr>
          <w:rFonts w:cs="Arial"/>
          <w:i/>
        </w:rPr>
        <w:t>National Maternity Collection Data Mart Data Dictionary.</w:t>
      </w:r>
      <w:r w:rsidRPr="009F63CE">
        <w:rPr>
          <w:rFonts w:cs="Arial"/>
        </w:rPr>
        <w:t xml:space="preserve"> Wellington: Ministry of Health. URL: </w:t>
      </w:r>
      <w:hyperlink r:id="rId47" w:history="1">
        <w:r w:rsidRPr="009F63CE">
          <w:rPr>
            <w:rStyle w:val="Hyperlink"/>
            <w:rFonts w:cs="Arial"/>
            <w:szCs w:val="24"/>
          </w:rPr>
          <w:t>http://www.health.govt.nz/system/files/documents/publications/mat-dict-v1-0.pdf</w:t>
        </w:r>
      </w:hyperlink>
      <w:r w:rsidRPr="009F63CE">
        <w:rPr>
          <w:rFonts w:cs="Arial"/>
        </w:rPr>
        <w:t xml:space="preserve"> (accessed April 2018).</w:t>
      </w:r>
    </w:p>
    <w:p w14:paraId="2EAF7B43" w14:textId="7D10609A" w:rsidR="005249FB" w:rsidRPr="009F63CE" w:rsidRDefault="005249FB" w:rsidP="00400484">
      <w:pPr>
        <w:pStyle w:val="Bibliography"/>
        <w:spacing w:after="120"/>
        <w:rPr>
          <w:rFonts w:cs="Arial"/>
        </w:rPr>
      </w:pPr>
      <w:r w:rsidRPr="009F63CE">
        <w:rPr>
          <w:rFonts w:cs="Arial"/>
        </w:rPr>
        <w:lastRenderedPageBreak/>
        <w:t xml:space="preserve">Nelson KB, Leviton A. 1991. How much of neonatal encephalopathy is due to birth asphyxia? </w:t>
      </w:r>
      <w:r w:rsidRPr="009F63CE">
        <w:rPr>
          <w:rFonts w:cs="Arial"/>
          <w:i/>
        </w:rPr>
        <w:t>American Journal of Diseases of Children</w:t>
      </w:r>
      <w:r w:rsidRPr="009F63CE" w:rsidDel="002A5B1B">
        <w:rPr>
          <w:rFonts w:cs="Arial"/>
          <w:i/>
        </w:rPr>
        <w:t xml:space="preserve"> </w:t>
      </w:r>
      <w:r w:rsidRPr="009F63CE">
        <w:rPr>
          <w:rFonts w:cs="Arial"/>
        </w:rPr>
        <w:t>145(11): 1325–</w:t>
      </w:r>
      <w:r w:rsidR="006415D2">
        <w:rPr>
          <w:rFonts w:cs="Arial"/>
        </w:rPr>
        <w:t>13</w:t>
      </w:r>
      <w:r w:rsidRPr="009F63CE">
        <w:rPr>
          <w:rFonts w:cs="Arial"/>
        </w:rPr>
        <w:t>31.</w:t>
      </w:r>
    </w:p>
    <w:p w14:paraId="1D187E0D" w14:textId="57A84AC4" w:rsidR="005249FB" w:rsidRPr="009F63CE" w:rsidRDefault="005249FB" w:rsidP="00400484">
      <w:pPr>
        <w:pStyle w:val="Bibliography"/>
        <w:spacing w:after="120"/>
        <w:rPr>
          <w:rFonts w:cs="Arial"/>
        </w:rPr>
      </w:pPr>
      <w:r w:rsidRPr="009F63CE">
        <w:rPr>
          <w:rFonts w:cs="Arial"/>
        </w:rPr>
        <w:t xml:space="preserve">New Zealand Health Information Service. 2007. </w:t>
      </w:r>
      <w:r w:rsidRPr="009F63CE">
        <w:rPr>
          <w:rFonts w:cs="Arial"/>
          <w:i/>
        </w:rPr>
        <w:t xml:space="preserve">Fetal </w:t>
      </w:r>
      <w:r w:rsidR="00A40647" w:rsidRPr="009F63CE">
        <w:rPr>
          <w:rFonts w:cs="Arial"/>
          <w:i/>
        </w:rPr>
        <w:t xml:space="preserve">and infant deaths </w:t>
      </w:r>
      <w:r w:rsidRPr="009F63CE">
        <w:rPr>
          <w:rFonts w:cs="Arial"/>
          <w:i/>
        </w:rPr>
        <w:t>2003 &amp; 2004</w:t>
      </w:r>
      <w:r w:rsidRPr="009F63CE">
        <w:rPr>
          <w:rFonts w:cs="Arial"/>
        </w:rPr>
        <w:t xml:space="preserve">. Wellington: Ministry of Health. URL: </w:t>
      </w:r>
      <w:hyperlink r:id="rId48" w:history="1">
        <w:r w:rsidRPr="009F63CE">
          <w:rPr>
            <w:rStyle w:val="Hyperlink"/>
            <w:rFonts w:cs="Arial"/>
            <w:szCs w:val="24"/>
          </w:rPr>
          <w:t>http://www.health.govt.nz/system/files/documents/publications/fetal200304.pdf</w:t>
        </w:r>
      </w:hyperlink>
      <w:r w:rsidRPr="009F63CE">
        <w:rPr>
          <w:rFonts w:cs="Arial"/>
        </w:rPr>
        <w:t xml:space="preserve"> (accessed </w:t>
      </w:r>
      <w:r w:rsidR="000451F7">
        <w:rPr>
          <w:rFonts w:cs="Arial"/>
        </w:rPr>
        <w:t>November</w:t>
      </w:r>
      <w:r w:rsidRPr="009F63CE">
        <w:rPr>
          <w:rFonts w:cs="Arial"/>
        </w:rPr>
        <w:t xml:space="preserve"> 20</w:t>
      </w:r>
      <w:r w:rsidR="000451F7">
        <w:rPr>
          <w:rFonts w:cs="Arial"/>
        </w:rPr>
        <w:t>22</w:t>
      </w:r>
      <w:r w:rsidRPr="009F63CE">
        <w:rPr>
          <w:rFonts w:cs="Arial"/>
        </w:rPr>
        <w:t xml:space="preserve">). </w:t>
      </w:r>
    </w:p>
    <w:p w14:paraId="4FA881DA" w14:textId="60986A85" w:rsidR="005249FB" w:rsidRPr="009F63CE" w:rsidRDefault="005249FB" w:rsidP="00400484">
      <w:pPr>
        <w:pStyle w:val="Bibliography"/>
        <w:spacing w:after="120"/>
        <w:rPr>
          <w:rFonts w:cs="Arial"/>
        </w:rPr>
      </w:pPr>
      <w:r w:rsidRPr="009F63CE">
        <w:rPr>
          <w:rFonts w:cs="Arial"/>
        </w:rPr>
        <w:t xml:space="preserve">PMMRC. 2007. </w:t>
      </w:r>
      <w:r w:rsidRPr="009F63CE">
        <w:rPr>
          <w:rFonts w:cs="Arial"/>
          <w:i/>
        </w:rPr>
        <w:t xml:space="preserve">First </w:t>
      </w:r>
      <w:r w:rsidR="00A40647" w:rsidRPr="009F63CE">
        <w:rPr>
          <w:rFonts w:cs="Arial"/>
          <w:i/>
        </w:rPr>
        <w:t xml:space="preserve">report </w:t>
      </w:r>
      <w:r w:rsidRPr="009F63CE">
        <w:rPr>
          <w:rFonts w:cs="Arial"/>
          <w:i/>
        </w:rPr>
        <w:t>to the Minister of Health: June 2005 to June 2007</w:t>
      </w:r>
      <w:r w:rsidRPr="009F63CE">
        <w:rPr>
          <w:rFonts w:cs="Arial"/>
        </w:rPr>
        <w:t>. Wellington: Health Quality &amp; Safety Commission, Perinatal and Maternal Mortality Review Committee. URL:</w:t>
      </w:r>
      <w:hyperlink r:id="rId49" w:history="1">
        <w:r w:rsidR="000451F7" w:rsidRPr="000451F7">
          <w:rPr>
            <w:rStyle w:val="Hyperlink"/>
          </w:rPr>
          <w:t>https://www.moh.govt.nz/notebook/nbbooks.nsf/0/0482427869B6BD5ACC257391006D02C7/$file/Perinatal%20and%20Maternal%20Mortality%20First%20annual%20report%202005-07.pdf</w:t>
        </w:r>
      </w:hyperlink>
      <w:r w:rsidR="0050350C">
        <w:t xml:space="preserve"> </w:t>
      </w:r>
      <w:r w:rsidRPr="009F63CE">
        <w:rPr>
          <w:rFonts w:cs="Arial"/>
        </w:rPr>
        <w:t xml:space="preserve">(accessed </w:t>
      </w:r>
      <w:r w:rsidR="000451F7">
        <w:rPr>
          <w:rFonts w:cs="Arial"/>
        </w:rPr>
        <w:t>November</w:t>
      </w:r>
      <w:r w:rsidRPr="009F63CE">
        <w:rPr>
          <w:rFonts w:cs="Arial"/>
        </w:rPr>
        <w:t xml:space="preserve"> 20</w:t>
      </w:r>
      <w:r w:rsidR="000451F7">
        <w:rPr>
          <w:rFonts w:cs="Arial"/>
        </w:rPr>
        <w:t>22</w:t>
      </w:r>
      <w:r w:rsidRPr="009F63CE">
        <w:rPr>
          <w:rFonts w:cs="Arial"/>
        </w:rPr>
        <w:t>).</w:t>
      </w:r>
    </w:p>
    <w:p w14:paraId="0E8A6CD4" w14:textId="0A006246" w:rsidR="005249FB" w:rsidRPr="009F63CE" w:rsidRDefault="005249FB" w:rsidP="00400484">
      <w:pPr>
        <w:pStyle w:val="Bibliography"/>
        <w:spacing w:after="120"/>
        <w:rPr>
          <w:rFonts w:cs="Arial"/>
        </w:rPr>
      </w:pPr>
      <w:r w:rsidRPr="009F63CE">
        <w:rPr>
          <w:rFonts w:cs="Arial"/>
        </w:rPr>
        <w:t xml:space="preserve">PMMRC. 2011. </w:t>
      </w:r>
      <w:r w:rsidRPr="009F63CE">
        <w:rPr>
          <w:rFonts w:cs="Arial"/>
          <w:i/>
        </w:rPr>
        <w:t xml:space="preserve">Fifth </w:t>
      </w:r>
      <w:r w:rsidR="00A40647" w:rsidRPr="009F63CE">
        <w:rPr>
          <w:rFonts w:cs="Arial"/>
          <w:i/>
        </w:rPr>
        <w:t xml:space="preserve">annual report </w:t>
      </w:r>
      <w:r w:rsidRPr="009F63CE">
        <w:rPr>
          <w:rFonts w:cs="Arial"/>
          <w:i/>
        </w:rPr>
        <w:t>of the Perinatal and Maternal Mortality Review Committee: Reporting mortality 2009</w:t>
      </w:r>
      <w:r w:rsidRPr="009F63CE">
        <w:rPr>
          <w:rFonts w:cs="Arial"/>
        </w:rPr>
        <w:t>. Wellington: Health Quality &amp; Safety Commission, Perinatal and Maternal Mortality Review Committee. URL:</w:t>
      </w:r>
      <w:r w:rsidR="000451F7">
        <w:rPr>
          <w:rFonts w:cs="Arial"/>
        </w:rPr>
        <w:t xml:space="preserve"> </w:t>
      </w:r>
      <w:hyperlink r:id="rId50" w:history="1">
        <w:r w:rsidR="000451F7" w:rsidRPr="000451F7">
          <w:rPr>
            <w:rStyle w:val="Hyperlink"/>
          </w:rPr>
          <w:t>https://ourarchive.otago.ac.nz/bitstream/handle/10523/12432/Fifth%20Annual%20Report%20of%20the%20Perinatal%20and%20Maternal%20Mortality%20Review%20Committee</w:t>
        </w:r>
      </w:hyperlink>
      <w:r w:rsidR="0050350C">
        <w:t xml:space="preserve"> </w:t>
      </w:r>
      <w:r w:rsidRPr="009F63CE">
        <w:rPr>
          <w:rFonts w:cs="Arial"/>
        </w:rPr>
        <w:t xml:space="preserve">(accessed </w:t>
      </w:r>
      <w:r w:rsidR="000451F7">
        <w:rPr>
          <w:rFonts w:cs="Arial"/>
        </w:rPr>
        <w:t>November</w:t>
      </w:r>
      <w:r w:rsidRPr="009F63CE">
        <w:rPr>
          <w:rFonts w:cs="Arial"/>
        </w:rPr>
        <w:t xml:space="preserve"> 20</w:t>
      </w:r>
      <w:r w:rsidR="000451F7">
        <w:rPr>
          <w:rFonts w:cs="Arial"/>
        </w:rPr>
        <w:t>22</w:t>
      </w:r>
      <w:r w:rsidRPr="009F63CE">
        <w:rPr>
          <w:rFonts w:cs="Arial"/>
        </w:rPr>
        <w:t>).</w:t>
      </w:r>
    </w:p>
    <w:p w14:paraId="6F7DB251" w14:textId="4BC6D9AA" w:rsidR="005249FB" w:rsidRPr="009F63CE" w:rsidRDefault="005249FB" w:rsidP="00400484">
      <w:pPr>
        <w:spacing w:after="120"/>
        <w:rPr>
          <w:rFonts w:cs="Arial"/>
        </w:rPr>
      </w:pPr>
      <w:r w:rsidRPr="009F63CE">
        <w:rPr>
          <w:rFonts w:cs="Arial"/>
        </w:rPr>
        <w:t xml:space="preserve">PMMRC. 2015. </w:t>
      </w:r>
      <w:r w:rsidRPr="009F63CE">
        <w:rPr>
          <w:rFonts w:cs="Arial"/>
          <w:i/>
        </w:rPr>
        <w:t xml:space="preserve">Ninth </w:t>
      </w:r>
      <w:r w:rsidR="00A40647" w:rsidRPr="009F63CE">
        <w:rPr>
          <w:rFonts w:cs="Arial"/>
          <w:i/>
        </w:rPr>
        <w:t xml:space="preserve">annual report </w:t>
      </w:r>
      <w:r w:rsidRPr="009F63CE">
        <w:rPr>
          <w:rFonts w:cs="Arial"/>
          <w:i/>
        </w:rPr>
        <w:t>of the Perinatal and Maternal Mortality Review Committee: Reporting mortality 2013</w:t>
      </w:r>
      <w:r w:rsidRPr="009F63CE">
        <w:rPr>
          <w:rFonts w:cs="Arial"/>
        </w:rPr>
        <w:t xml:space="preserve">. Wellington: Health Quality &amp; Safety Commission, Perinatal and Maternal Mortality Review Committee. URL: </w:t>
      </w:r>
      <w:r w:rsidR="00F8760A" w:rsidRPr="00F8760A">
        <w:t>https://www.hqsc.govt.nz/resources/resource-library/ninth-annual-report-of-the-perinatal-and-maternal-mortality-review-committee/</w:t>
      </w:r>
      <w:r w:rsidR="0050350C">
        <w:t xml:space="preserve"> </w:t>
      </w:r>
      <w:r w:rsidRPr="009F63CE">
        <w:rPr>
          <w:rFonts w:cs="Arial"/>
        </w:rPr>
        <w:t>(accessed April 2018).</w:t>
      </w:r>
    </w:p>
    <w:p w14:paraId="442EBB32" w14:textId="26993E7A" w:rsidR="005249FB" w:rsidRDefault="005249FB" w:rsidP="00400484">
      <w:pPr>
        <w:pStyle w:val="Bibliography"/>
        <w:spacing w:after="120"/>
        <w:rPr>
          <w:rFonts w:cs="Arial"/>
        </w:rPr>
      </w:pPr>
      <w:r w:rsidRPr="009F63CE">
        <w:rPr>
          <w:rFonts w:cs="Arial"/>
        </w:rPr>
        <w:t xml:space="preserve">PMMRC. 2017. </w:t>
      </w:r>
      <w:r w:rsidRPr="009F63CE">
        <w:rPr>
          <w:rFonts w:cs="Arial"/>
          <w:i/>
        </w:rPr>
        <w:t xml:space="preserve">Eleventh </w:t>
      </w:r>
      <w:r w:rsidR="00A40647" w:rsidRPr="009F63CE">
        <w:rPr>
          <w:rFonts w:cs="Arial"/>
          <w:i/>
        </w:rPr>
        <w:t xml:space="preserve">annual report </w:t>
      </w:r>
      <w:r w:rsidRPr="009F63CE">
        <w:rPr>
          <w:rFonts w:cs="Arial"/>
          <w:i/>
        </w:rPr>
        <w:t>of the Perinatal and Maternal Mortality Review Committee: Reporting mortality 2015</w:t>
      </w:r>
      <w:r w:rsidRPr="009F63CE">
        <w:rPr>
          <w:rFonts w:cs="Arial"/>
        </w:rPr>
        <w:t xml:space="preserve">. Wellington: Health Quality &amp; Safety Commission, Perinatal and Maternal Mortality Review Committee. URL: </w:t>
      </w:r>
      <w:r w:rsidR="00F90552" w:rsidRPr="00F90552">
        <w:t>https://www.hqsc.govt.nz/resources/resource-library/eleventh-annual-report-of-the-perinatal-and-maternal-mortality-review-committee/</w:t>
      </w:r>
      <w:r w:rsidR="0050350C">
        <w:t xml:space="preserve"> </w:t>
      </w:r>
      <w:r w:rsidRPr="009F63CE">
        <w:rPr>
          <w:rFonts w:cs="Arial"/>
        </w:rPr>
        <w:t>(accessed March 2018).</w:t>
      </w:r>
    </w:p>
    <w:p w14:paraId="72E7D665" w14:textId="3930C45D" w:rsidR="00C4750D" w:rsidRPr="00C4750D" w:rsidRDefault="00C4750D" w:rsidP="00400484">
      <w:pPr>
        <w:spacing w:after="120"/>
      </w:pPr>
      <w:r>
        <w:t xml:space="preserve">PMMRC. 2018. </w:t>
      </w:r>
      <w:r w:rsidRPr="00B114F8">
        <w:rPr>
          <w:i/>
          <w:iCs/>
        </w:rPr>
        <w:t>Twelfth annual report of the Peri</w:t>
      </w:r>
      <w:r w:rsidR="00516557" w:rsidRPr="00B114F8">
        <w:rPr>
          <w:i/>
          <w:iCs/>
        </w:rPr>
        <w:t>natal and Maternal Mortality Review Committee: Reporting mortality 2016.</w:t>
      </w:r>
      <w:r w:rsidR="00516557">
        <w:t xml:space="preserve"> Wellington: Health Quality &amp; Safety Commission, Perinatal and Maternal Mortality Review Committee. URL: </w:t>
      </w:r>
      <w:hyperlink r:id="rId51" w:history="1">
        <w:r w:rsidR="00BA155D" w:rsidRPr="0056295E">
          <w:rPr>
            <w:rStyle w:val="Hyperlink"/>
          </w:rPr>
          <w:t>https://www.hqsc.govt.nz/resources/resource-library/twelfth-annual-report-of-the-perinatal-and-maternal-mortality-review-committee/</w:t>
        </w:r>
      </w:hyperlink>
      <w:r w:rsidR="00BA155D" w:rsidRPr="00BA155D">
        <w:t xml:space="preserve"> </w:t>
      </w:r>
      <w:r w:rsidR="00516557">
        <w:t>(accessed</w:t>
      </w:r>
      <w:r w:rsidR="0056295E">
        <w:t xml:space="preserve"> November</w:t>
      </w:r>
      <w:r w:rsidR="00B114F8">
        <w:t xml:space="preserve"> </w:t>
      </w:r>
      <w:r w:rsidR="0056295E">
        <w:t>2022</w:t>
      </w:r>
      <w:r w:rsidR="00B114F8">
        <w:t>)</w:t>
      </w:r>
    </w:p>
    <w:p w14:paraId="04DBFC0E" w14:textId="5196AA4A" w:rsidR="005249FB" w:rsidRPr="009F63CE" w:rsidRDefault="005249FB" w:rsidP="00400484">
      <w:pPr>
        <w:pStyle w:val="Bibliography"/>
        <w:spacing w:after="120"/>
        <w:rPr>
          <w:rFonts w:cs="Arial"/>
        </w:rPr>
      </w:pPr>
      <w:r w:rsidRPr="009F63CE">
        <w:rPr>
          <w:rFonts w:cs="Arial"/>
        </w:rPr>
        <w:t xml:space="preserve">Salmond C, Crampton P, Atkinson J. 2007. </w:t>
      </w:r>
      <w:r w:rsidRPr="009F63CE">
        <w:rPr>
          <w:rFonts w:cs="Arial"/>
          <w:i/>
        </w:rPr>
        <w:t>NZDep2006 Index of Deprivation</w:t>
      </w:r>
      <w:r w:rsidR="0038648B" w:rsidRPr="009F63CE">
        <w:rPr>
          <w:rFonts w:cs="Arial"/>
          <w:i/>
        </w:rPr>
        <w:t xml:space="preserve"> </w:t>
      </w:r>
      <w:r w:rsidR="00A40647" w:rsidRPr="009F63CE">
        <w:rPr>
          <w:rFonts w:cs="Arial"/>
          <w:i/>
        </w:rPr>
        <w:t>user’s manual</w:t>
      </w:r>
      <w:r w:rsidRPr="009F63CE">
        <w:rPr>
          <w:rFonts w:cs="Arial"/>
        </w:rPr>
        <w:t xml:space="preserve">. Wellington: Department of Public Health, University of Otago. URL: </w:t>
      </w:r>
      <w:hyperlink r:id="rId52" w:history="1">
        <w:r w:rsidR="00487EE3" w:rsidRPr="00843D72">
          <w:rPr>
            <w:rStyle w:val="Hyperlink"/>
            <w:rFonts w:cs="Arial"/>
          </w:rPr>
          <w:t>www.otago.ac.nz/wellington/otago020337.pdf</w:t>
        </w:r>
      </w:hyperlink>
      <w:r w:rsidRPr="009F63CE">
        <w:rPr>
          <w:rFonts w:cs="Arial"/>
        </w:rPr>
        <w:t xml:space="preserve"> (accessed April 2018).</w:t>
      </w:r>
    </w:p>
    <w:p w14:paraId="06615FC2" w14:textId="0DC62D24" w:rsidR="005249FB" w:rsidRPr="009F63CE" w:rsidRDefault="005249FB" w:rsidP="00400484">
      <w:pPr>
        <w:pStyle w:val="Bibliography"/>
        <w:spacing w:after="120"/>
        <w:rPr>
          <w:rFonts w:cs="Arial"/>
        </w:rPr>
      </w:pPr>
      <w:r w:rsidRPr="009F63CE">
        <w:rPr>
          <w:rFonts w:cs="Arial"/>
        </w:rPr>
        <w:t xml:space="preserve">Sullivan EA, Hall B, King JF. 2008. </w:t>
      </w:r>
      <w:r w:rsidRPr="009F63CE">
        <w:rPr>
          <w:rFonts w:cs="Arial"/>
          <w:i/>
        </w:rPr>
        <w:t>Maternal deaths in Australia 2003–2005.</w:t>
      </w:r>
      <w:r w:rsidRPr="009F63CE">
        <w:rPr>
          <w:rFonts w:cs="Arial"/>
        </w:rPr>
        <w:t xml:space="preserve"> Maternal deaths series no. 3. Cat. no. PER 42. Canberra: Australian Institute of Health and Welfare. URL: </w:t>
      </w:r>
      <w:hyperlink r:id="rId53" w:history="1">
        <w:r w:rsidR="00487EE3" w:rsidRPr="00843D72">
          <w:rPr>
            <w:rStyle w:val="Hyperlink"/>
            <w:rFonts w:cs="Arial"/>
          </w:rPr>
          <w:t>www.aihw.gov.au/publication-detail/?id=6442468086</w:t>
        </w:r>
      </w:hyperlink>
      <w:r w:rsidRPr="009F63CE">
        <w:rPr>
          <w:rFonts w:cs="Arial"/>
        </w:rPr>
        <w:t xml:space="preserve"> (accessed April 2018).</w:t>
      </w:r>
    </w:p>
    <w:p w14:paraId="60A35191" w14:textId="5CC5819D" w:rsidR="005249FB" w:rsidRPr="009F63CE" w:rsidRDefault="005249FB" w:rsidP="00400484">
      <w:pPr>
        <w:pStyle w:val="Bibliography"/>
        <w:spacing w:after="120"/>
        <w:rPr>
          <w:rFonts w:cs="Arial"/>
          <w:color w:val="303030"/>
          <w:shd w:val="clear" w:color="auto" w:fill="FFFFFF"/>
        </w:rPr>
      </w:pPr>
      <w:r w:rsidRPr="009F63CE">
        <w:rPr>
          <w:rFonts w:cs="Arial"/>
          <w:color w:val="303030"/>
          <w:shd w:val="clear" w:color="auto" w:fill="FFFFFF"/>
        </w:rPr>
        <w:t xml:space="preserve">WHO. (nd). </w:t>
      </w:r>
      <w:r w:rsidRPr="009F63CE">
        <w:rPr>
          <w:rFonts w:cs="Arial"/>
          <w:i/>
          <w:color w:val="303030"/>
          <w:shd w:val="clear" w:color="auto" w:fill="FFFFFF"/>
        </w:rPr>
        <w:t>Maternal mortality ratio (per 100 000 live births)</w:t>
      </w:r>
      <w:r w:rsidRPr="009F63CE">
        <w:rPr>
          <w:rFonts w:cs="Arial"/>
          <w:color w:val="303030"/>
          <w:shd w:val="clear" w:color="auto" w:fill="FFFFFF"/>
        </w:rPr>
        <w:t xml:space="preserve">. URL: </w:t>
      </w:r>
      <w:hyperlink r:id="rId54" w:history="1">
        <w:r w:rsidR="0056295E">
          <w:rPr>
            <w:rStyle w:val="Hyperlink"/>
            <w:rFonts w:cs="Arial"/>
            <w:shd w:val="clear" w:color="auto" w:fill="FFFFFF"/>
          </w:rPr>
          <w:t>https://www.who.int/data/gho/indicator-metadata-registry/imr-details/26</w:t>
        </w:r>
      </w:hyperlink>
      <w:r w:rsidRPr="009F63CE">
        <w:rPr>
          <w:rFonts w:cs="Arial"/>
          <w:color w:val="303030"/>
          <w:shd w:val="clear" w:color="auto" w:fill="FFFFFF"/>
        </w:rPr>
        <w:t xml:space="preserve"> (accessed </w:t>
      </w:r>
      <w:r w:rsidR="0056295E">
        <w:rPr>
          <w:rFonts w:cs="Arial"/>
          <w:color w:val="303030"/>
          <w:shd w:val="clear" w:color="auto" w:fill="FFFFFF"/>
        </w:rPr>
        <w:t>November</w:t>
      </w:r>
      <w:r w:rsidR="0056295E" w:rsidRPr="009F63CE">
        <w:rPr>
          <w:rFonts w:cs="Arial"/>
          <w:color w:val="303030"/>
          <w:shd w:val="clear" w:color="auto" w:fill="FFFFFF"/>
        </w:rPr>
        <w:t xml:space="preserve"> </w:t>
      </w:r>
      <w:r w:rsidRPr="009F63CE">
        <w:rPr>
          <w:rFonts w:cs="Arial"/>
          <w:color w:val="303030"/>
          <w:shd w:val="clear" w:color="auto" w:fill="FFFFFF"/>
        </w:rPr>
        <w:t>20</w:t>
      </w:r>
      <w:r w:rsidR="0056295E">
        <w:rPr>
          <w:rFonts w:cs="Arial"/>
          <w:color w:val="303030"/>
          <w:shd w:val="clear" w:color="auto" w:fill="FFFFFF"/>
        </w:rPr>
        <w:t>22</w:t>
      </w:r>
      <w:r w:rsidRPr="009F63CE">
        <w:rPr>
          <w:rFonts w:cs="Arial"/>
          <w:color w:val="303030"/>
          <w:shd w:val="clear" w:color="auto" w:fill="FFFFFF"/>
        </w:rPr>
        <w:t>).</w:t>
      </w:r>
    </w:p>
    <w:p w14:paraId="747D1B70" w14:textId="77777777" w:rsidR="005249FB" w:rsidRPr="009F63CE" w:rsidRDefault="005249FB" w:rsidP="00400484">
      <w:pPr>
        <w:pStyle w:val="Bibliography"/>
        <w:spacing w:after="120"/>
        <w:rPr>
          <w:rFonts w:cs="Arial"/>
          <w:color w:val="303030"/>
          <w:shd w:val="clear" w:color="auto" w:fill="FFFFFF"/>
        </w:rPr>
      </w:pPr>
      <w:r w:rsidRPr="009F63CE">
        <w:rPr>
          <w:rFonts w:cs="Arial"/>
          <w:color w:val="303030"/>
          <w:shd w:val="clear" w:color="auto" w:fill="FFFFFF"/>
        </w:rPr>
        <w:lastRenderedPageBreak/>
        <w:t xml:space="preserve">WHO. 2006. </w:t>
      </w:r>
      <w:r w:rsidRPr="009F63CE">
        <w:rPr>
          <w:rFonts w:cs="Arial"/>
          <w:i/>
          <w:color w:val="303030"/>
          <w:shd w:val="clear" w:color="auto" w:fill="FFFFFF"/>
        </w:rPr>
        <w:t xml:space="preserve">Neonatal and </w:t>
      </w:r>
      <w:r w:rsidR="00AE6B59" w:rsidRPr="009F63CE">
        <w:rPr>
          <w:rFonts w:cs="Arial"/>
          <w:i/>
          <w:color w:val="303030"/>
          <w:shd w:val="clear" w:color="auto" w:fill="FFFFFF"/>
        </w:rPr>
        <w:t>perinatal mortality: country, regional and global estimates</w:t>
      </w:r>
      <w:r w:rsidRPr="009F63CE">
        <w:rPr>
          <w:rFonts w:cs="Arial"/>
          <w:color w:val="303030"/>
          <w:shd w:val="clear" w:color="auto" w:fill="FFFFFF"/>
        </w:rPr>
        <w:t xml:space="preserve">. Geneva: World Health Organization. URL: </w:t>
      </w:r>
      <w:hyperlink r:id="rId55" w:history="1">
        <w:r w:rsidRPr="009F63CE">
          <w:rPr>
            <w:rStyle w:val="Hyperlink"/>
            <w:rFonts w:cs="Arial"/>
            <w:shd w:val="clear" w:color="auto" w:fill="FFFFFF"/>
          </w:rPr>
          <w:t>http://apps.who.int/iris/bitstream/10665/43444/1/9241563206_eng.pdf</w:t>
        </w:r>
      </w:hyperlink>
      <w:r w:rsidRPr="009F63CE">
        <w:rPr>
          <w:rFonts w:cs="Arial"/>
          <w:color w:val="303030"/>
          <w:shd w:val="clear" w:color="auto" w:fill="FFFFFF"/>
        </w:rPr>
        <w:t xml:space="preserve"> (accessed April 2018).</w:t>
      </w:r>
    </w:p>
    <w:p w14:paraId="7E9289E0" w14:textId="77777777" w:rsidR="00C923B7" w:rsidRPr="009F63CE" w:rsidRDefault="005249FB" w:rsidP="007741BE">
      <w:pPr>
        <w:pStyle w:val="Bibliography"/>
        <w:rPr>
          <w:rFonts w:cs="Arial"/>
          <w:color w:val="303030"/>
          <w:shd w:val="clear" w:color="auto" w:fill="FFFFFF"/>
        </w:rPr>
      </w:pPr>
      <w:r w:rsidRPr="009F63CE">
        <w:rPr>
          <w:rFonts w:cs="Arial"/>
          <w:color w:val="303030"/>
          <w:shd w:val="clear" w:color="auto" w:fill="FFFFFF"/>
        </w:rPr>
        <w:t xml:space="preserve">WHO. 2012. </w:t>
      </w:r>
      <w:r w:rsidRPr="009F63CE">
        <w:rPr>
          <w:rFonts w:cs="Arial"/>
          <w:i/>
        </w:rPr>
        <w:t>The WHO Application of ICD-10 to deaths during pregnancy, childbirth and the puerperium: ICD-MM</w:t>
      </w:r>
      <w:r w:rsidRPr="009F63CE">
        <w:rPr>
          <w:rFonts w:cs="Arial"/>
          <w:color w:val="303030"/>
          <w:shd w:val="clear" w:color="auto" w:fill="FFFFFF"/>
        </w:rPr>
        <w:t xml:space="preserve">. Geneva: World Health Organization. URL: </w:t>
      </w:r>
      <w:hyperlink r:id="rId56" w:history="1">
        <w:r w:rsidRPr="009F63CE">
          <w:rPr>
            <w:rStyle w:val="Hyperlink"/>
            <w:rFonts w:cs="Arial"/>
            <w:shd w:val="clear" w:color="auto" w:fill="FFFFFF"/>
          </w:rPr>
          <w:t>http://apps.who.int/iris/bitstream/10665/70929/1/9789241548458_eng.pdf?ua=1</w:t>
        </w:r>
      </w:hyperlink>
      <w:r w:rsidRPr="009F63CE">
        <w:rPr>
          <w:rFonts w:cs="Arial"/>
          <w:color w:val="303030"/>
          <w:shd w:val="clear" w:color="auto" w:fill="FFFFFF"/>
        </w:rPr>
        <w:t xml:space="preserve"> (accessed April 2018).</w:t>
      </w:r>
    </w:p>
    <w:sectPr w:rsidR="00C923B7" w:rsidRPr="009F63CE" w:rsidSect="004B2141">
      <w:headerReference w:type="default" r:id="rId57"/>
      <w:footerReference w:type="even" r:id="rId58"/>
      <w:footerReference w:type="default" r:id="rId59"/>
      <w:headerReference w:type="first" r:id="rId6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A757" w14:textId="77777777" w:rsidR="00381107" w:rsidRDefault="00381107" w:rsidP="00174C87">
      <w:pPr>
        <w:spacing w:after="0" w:line="240" w:lineRule="auto"/>
      </w:pPr>
      <w:r>
        <w:separator/>
      </w:r>
    </w:p>
  </w:endnote>
  <w:endnote w:type="continuationSeparator" w:id="0">
    <w:p w14:paraId="7D7FFF80" w14:textId="77777777" w:rsidR="00381107" w:rsidRDefault="00381107" w:rsidP="00174C87">
      <w:pPr>
        <w:spacing w:after="0" w:line="240" w:lineRule="auto"/>
      </w:pPr>
      <w:r>
        <w:continuationSeparator/>
      </w:r>
    </w:p>
  </w:endnote>
  <w:endnote w:type="continuationNotice" w:id="1">
    <w:p w14:paraId="06A275D0" w14:textId="77777777" w:rsidR="00381107" w:rsidRDefault="00381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Hv BT">
    <w:panose1 w:val="020B07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896232"/>
      <w:docPartObj>
        <w:docPartGallery w:val="Page Numbers (Bottom of Page)"/>
        <w:docPartUnique/>
      </w:docPartObj>
    </w:sdtPr>
    <w:sdtEndPr>
      <w:rPr>
        <w:noProof/>
      </w:rPr>
    </w:sdtEndPr>
    <w:sdtContent>
      <w:p w14:paraId="1E514E9C" w14:textId="2EC4B8DC" w:rsidR="004B2141" w:rsidRPr="004B2141" w:rsidRDefault="004B2141">
        <w:pPr>
          <w:pStyle w:val="Footer"/>
          <w:rPr>
            <w:sz w:val="18"/>
            <w:szCs w:val="18"/>
          </w:rPr>
        </w:pPr>
        <w:r w:rsidRPr="00E448D7">
          <w:rPr>
            <w:sz w:val="18"/>
            <w:szCs w:val="18"/>
          </w:rPr>
          <w:t xml:space="preserve">Methods and Definitions for Perinatal and Maternal Mortality Review Committee Reporting </w:t>
        </w:r>
        <w:r w:rsidRPr="00E448D7">
          <w:rPr>
            <w:sz w:val="18"/>
            <w:szCs w:val="18"/>
          </w:rPr>
          <w:tab/>
        </w:r>
        <w:r w:rsidRPr="00E448D7">
          <w:rPr>
            <w:sz w:val="18"/>
            <w:szCs w:val="18"/>
          </w:rPr>
          <w:fldChar w:fldCharType="begin"/>
        </w:r>
        <w:r w:rsidRPr="00E448D7">
          <w:rPr>
            <w:sz w:val="18"/>
            <w:szCs w:val="18"/>
          </w:rPr>
          <w:instrText xml:space="preserve"> PAGE   \* MERGEFORMAT </w:instrText>
        </w:r>
        <w:r w:rsidRPr="00E448D7">
          <w:rPr>
            <w:sz w:val="18"/>
            <w:szCs w:val="18"/>
          </w:rPr>
          <w:fldChar w:fldCharType="separate"/>
        </w:r>
        <w:r>
          <w:rPr>
            <w:sz w:val="18"/>
            <w:szCs w:val="18"/>
          </w:rPr>
          <w:t>3</w:t>
        </w:r>
        <w:r w:rsidRPr="00E448D7">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39859319"/>
      <w:docPartObj>
        <w:docPartGallery w:val="Page Numbers (Bottom of Page)"/>
        <w:docPartUnique/>
      </w:docPartObj>
    </w:sdtPr>
    <w:sdtEndPr>
      <w:rPr>
        <w:noProof/>
      </w:rPr>
    </w:sdtEndPr>
    <w:sdtContent>
      <w:p w14:paraId="553CBD67" w14:textId="04B316C3" w:rsidR="00384455" w:rsidRPr="00E448D7" w:rsidRDefault="004B2141" w:rsidP="00FF3112">
        <w:pPr>
          <w:pStyle w:val="Footer"/>
          <w:rPr>
            <w:sz w:val="18"/>
            <w:szCs w:val="18"/>
          </w:rPr>
        </w:pPr>
        <w:r w:rsidRPr="004B2141">
          <w:rPr>
            <w:sz w:val="18"/>
            <w:szCs w:val="18"/>
          </w:rPr>
          <w:t>Ngā Tikanga me ngā Kupu Whakamārama mō te Tuku Pūrongo a te Komiti Arotake Ira Tangata</w:t>
        </w:r>
        <w:r w:rsidR="00AC3547" w:rsidRPr="00E448D7">
          <w:rPr>
            <w:sz w:val="18"/>
            <w:szCs w:val="18"/>
          </w:rPr>
          <w:t xml:space="preserve"> </w:t>
        </w:r>
        <w:r w:rsidR="00384455" w:rsidRPr="00E448D7">
          <w:rPr>
            <w:sz w:val="18"/>
            <w:szCs w:val="18"/>
          </w:rPr>
          <w:tab/>
        </w:r>
        <w:r w:rsidR="00384455" w:rsidRPr="00E448D7">
          <w:rPr>
            <w:sz w:val="18"/>
            <w:szCs w:val="18"/>
          </w:rPr>
          <w:fldChar w:fldCharType="begin"/>
        </w:r>
        <w:r w:rsidR="00384455" w:rsidRPr="00E448D7">
          <w:rPr>
            <w:sz w:val="18"/>
            <w:szCs w:val="18"/>
          </w:rPr>
          <w:instrText xml:space="preserve"> PAGE   \* MERGEFORMAT </w:instrText>
        </w:r>
        <w:r w:rsidR="00384455" w:rsidRPr="00E448D7">
          <w:rPr>
            <w:sz w:val="18"/>
            <w:szCs w:val="18"/>
          </w:rPr>
          <w:fldChar w:fldCharType="separate"/>
        </w:r>
        <w:r w:rsidR="005B0999" w:rsidRPr="00E448D7">
          <w:rPr>
            <w:noProof/>
            <w:sz w:val="18"/>
            <w:szCs w:val="18"/>
          </w:rPr>
          <w:t>20</w:t>
        </w:r>
        <w:r w:rsidR="00384455" w:rsidRPr="00E448D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D404" w14:textId="77777777" w:rsidR="00381107" w:rsidRDefault="00381107" w:rsidP="00174C87">
      <w:pPr>
        <w:spacing w:after="0" w:line="240" w:lineRule="auto"/>
      </w:pPr>
      <w:r>
        <w:separator/>
      </w:r>
    </w:p>
  </w:footnote>
  <w:footnote w:type="continuationSeparator" w:id="0">
    <w:p w14:paraId="47EADE48" w14:textId="77777777" w:rsidR="00381107" w:rsidRDefault="00381107" w:rsidP="00174C87">
      <w:pPr>
        <w:spacing w:after="0" w:line="240" w:lineRule="auto"/>
      </w:pPr>
      <w:r>
        <w:continuationSeparator/>
      </w:r>
    </w:p>
  </w:footnote>
  <w:footnote w:type="continuationNotice" w:id="1">
    <w:p w14:paraId="737D767D" w14:textId="77777777" w:rsidR="00381107" w:rsidRDefault="00381107">
      <w:pPr>
        <w:spacing w:after="0" w:line="240" w:lineRule="auto"/>
      </w:pPr>
    </w:p>
  </w:footnote>
  <w:footnote w:id="2">
    <w:p w14:paraId="6D31C5AF" w14:textId="3ACB401C" w:rsidR="00EA27B9" w:rsidRDefault="00EA27B9" w:rsidP="004D320C">
      <w:pPr>
        <w:pStyle w:val="FootnoteText"/>
        <w:ind w:left="284" w:hanging="284"/>
      </w:pPr>
      <w:r>
        <w:rPr>
          <w:rStyle w:val="FootnoteReference"/>
        </w:rPr>
        <w:footnoteRef/>
      </w:r>
      <w:r>
        <w:t xml:space="preserve"> </w:t>
      </w:r>
      <w:r w:rsidR="00C91F27">
        <w:tab/>
      </w:r>
      <w:r w:rsidRPr="00EA27B9">
        <w:t>Births, Deaths, Marriages, and Relationships Registration Act 1995</w:t>
      </w:r>
      <w:r>
        <w:t xml:space="preserve"> </w:t>
      </w:r>
      <w:hyperlink r:id="rId1" w:history="1">
        <w:r w:rsidRPr="00EA27B9">
          <w:rPr>
            <w:rStyle w:val="Hyperlink"/>
          </w:rPr>
          <w:t>https://www.legislation.govt.nz/act/public/1995/0016/latest/whole.html</w:t>
        </w:r>
      </w:hyperlink>
    </w:p>
  </w:footnote>
  <w:footnote w:id="3">
    <w:p w14:paraId="3ABE8712" w14:textId="471BAE99" w:rsidR="00E1122C" w:rsidRDefault="00E1122C" w:rsidP="004B5CFE">
      <w:pPr>
        <w:pStyle w:val="FootnoteText"/>
        <w:tabs>
          <w:tab w:val="left" w:pos="284"/>
        </w:tabs>
      </w:pPr>
      <w:r>
        <w:rPr>
          <w:rStyle w:val="FootnoteReference"/>
        </w:rPr>
        <w:footnoteRef/>
      </w:r>
      <w:r>
        <w:t xml:space="preserve"> </w:t>
      </w:r>
      <w:r w:rsidR="004B5CFE">
        <w:tab/>
      </w:r>
      <w:r>
        <w:t xml:space="preserve">Puerperium is </w:t>
      </w:r>
      <w:r w:rsidR="0094142B">
        <w:t xml:space="preserve">the period </w:t>
      </w:r>
      <w:r>
        <w:t xml:space="preserve">up to and including 42 days postpartum after </w:t>
      </w:r>
      <w:r w:rsidR="0094142B">
        <w:t>end of pregnancy</w:t>
      </w:r>
      <w:r w:rsidR="00967B14">
        <w:t>.</w:t>
      </w:r>
    </w:p>
  </w:footnote>
  <w:footnote w:id="4">
    <w:p w14:paraId="0C897411" w14:textId="7CF3C0CD" w:rsidR="00D228B1" w:rsidRDefault="00D228B1">
      <w:pPr>
        <w:pStyle w:val="FootnoteText"/>
      </w:pPr>
      <w:r>
        <w:rPr>
          <w:rStyle w:val="FootnoteReference"/>
        </w:rPr>
        <w:footnoteRef/>
      </w:r>
      <w:r>
        <w:t xml:space="preserve"> District health boards were disestablished </w:t>
      </w:r>
      <w:r w:rsidR="00492747">
        <w:t xml:space="preserve">as part of the health reforms </w:t>
      </w:r>
      <w:r>
        <w:t>in Ju</w:t>
      </w:r>
      <w:r w:rsidR="004037F3">
        <w:t xml:space="preserve">ly 2022, but we </w:t>
      </w:r>
      <w:r w:rsidR="00646FF4">
        <w:t xml:space="preserve">refer to them in this document </w:t>
      </w:r>
      <w:r w:rsidR="0053354C">
        <w:t xml:space="preserve">because </w:t>
      </w:r>
      <w:r w:rsidR="00464D80">
        <w:t>they are relevant to the methods and definitions discussed.</w:t>
      </w:r>
    </w:p>
  </w:footnote>
  <w:footnote w:id="5">
    <w:p w14:paraId="49B8684E" w14:textId="4B428865" w:rsidR="00384455" w:rsidRPr="00D6538A" w:rsidRDefault="00384455">
      <w:pPr>
        <w:pStyle w:val="FootnoteText"/>
        <w:rPr>
          <w:sz w:val="17"/>
          <w:szCs w:val="17"/>
        </w:rPr>
      </w:pPr>
      <w:r w:rsidRPr="00D6538A">
        <w:rPr>
          <w:rStyle w:val="FootnoteReference"/>
          <w:sz w:val="17"/>
          <w:szCs w:val="17"/>
        </w:rPr>
        <w:footnoteRef/>
      </w:r>
      <w:r w:rsidRPr="00D6538A">
        <w:rPr>
          <w:sz w:val="17"/>
          <w:szCs w:val="17"/>
        </w:rPr>
        <w:t xml:space="preserve"> In 2017, PSANZ revised these death classification systems to include new subcategories, which were subsequently implemented in </w:t>
      </w:r>
      <w:r w:rsidR="007C3F49">
        <w:rPr>
          <w:sz w:val="17"/>
          <w:szCs w:val="17"/>
        </w:rPr>
        <w:t xml:space="preserve">Aotearoa </w:t>
      </w:r>
      <w:r w:rsidRPr="00D6538A">
        <w:rPr>
          <w:sz w:val="17"/>
          <w:szCs w:val="17"/>
        </w:rPr>
        <w:t xml:space="preserve">New Zealand in 2018. A comparison of the PSANZ death classification systems can be found on the Stillbirth and Neonatal Death Alliance (PSANZ-SANDA) website. URL: </w:t>
      </w:r>
      <w:hyperlink r:id="rId2" w:history="1">
        <w:r w:rsidRPr="00D6538A">
          <w:rPr>
            <w:rStyle w:val="Hyperlink"/>
            <w:sz w:val="17"/>
            <w:szCs w:val="17"/>
          </w:rPr>
          <w:t>https://sanda.psanz.com.au/assets/Uploads/Appendix-U-Changes-in-this-version-of-the-classifications.pdf</w:t>
        </w:r>
      </w:hyperlink>
      <w:r w:rsidRPr="00D6538A">
        <w:rPr>
          <w:sz w:val="17"/>
          <w:szCs w:val="17"/>
        </w:rPr>
        <w:t xml:space="preserve"> (accessed 13 May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7531" w14:textId="7CBE63A4" w:rsidR="00384455" w:rsidRPr="00F96619" w:rsidRDefault="00384455" w:rsidP="0045739C">
    <w:pPr>
      <w:pStyle w:val="Header"/>
      <w:rPr>
        <w:b/>
        <w:bCs/>
        <w:sz w:val="20"/>
        <w:szCs w:val="20"/>
      </w:rPr>
    </w:pPr>
    <w:r>
      <w:rPr>
        <w:noProof/>
        <w:lang w:eastAsia="en-NZ"/>
      </w:rPr>
      <w:drawing>
        <wp:anchor distT="0" distB="0" distL="114300" distR="114300" simplePos="0" relativeHeight="251659264" behindDoc="1" locked="0" layoutInCell="1" allowOverlap="1" wp14:anchorId="07503B83" wp14:editId="2C07D800">
          <wp:simplePos x="0" y="0"/>
          <wp:positionH relativeFrom="column">
            <wp:posOffset>-944218</wp:posOffset>
          </wp:positionH>
          <wp:positionV relativeFrom="paragraph">
            <wp:posOffset>-437957</wp:posOffset>
          </wp:positionV>
          <wp:extent cx="3644900" cy="345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MMRC logo corner with lines.jpg"/>
                  <pic:cNvPicPr/>
                </pic:nvPicPr>
                <pic:blipFill>
                  <a:blip r:embed="rId1">
                    <a:extLst>
                      <a:ext uri="{28A0092B-C50C-407E-A947-70E740481C1C}">
                        <a14:useLocalDpi xmlns:a14="http://schemas.microsoft.com/office/drawing/2010/main" val="0"/>
                      </a:ext>
                    </a:extLst>
                  </a:blip>
                  <a:stretch>
                    <a:fillRect/>
                  </a:stretch>
                </pic:blipFill>
                <pic:spPr>
                  <a:xfrm>
                    <a:off x="0" y="0"/>
                    <a:ext cx="3644900" cy="3454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2239" w14:textId="5E93E09F" w:rsidR="00E448D7" w:rsidRPr="00F96619" w:rsidRDefault="00E448D7" w:rsidP="0045739C">
    <w:pPr>
      <w:pStyle w:val="Header"/>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F40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3011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245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5E08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BA9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7C2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18D2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34D3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C6C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DC8A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7BDE"/>
    <w:multiLevelType w:val="multilevel"/>
    <w:tmpl w:val="60061A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657EC0"/>
    <w:multiLevelType w:val="multilevel"/>
    <w:tmpl w:val="4628F530"/>
    <w:lvl w:ilvl="0">
      <w:start w:val="3"/>
      <w:numFmt w:val="decimal"/>
      <w:lvlText w:val="%1"/>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4540323"/>
    <w:multiLevelType w:val="multilevel"/>
    <w:tmpl w:val="FE78C7CE"/>
    <w:lvl w:ilvl="0">
      <w:start w:val="1"/>
      <w:numFmt w:val="decimal"/>
      <w:lvlText w:val="%1"/>
      <w:lvlJc w:val="left"/>
      <w:pPr>
        <w:tabs>
          <w:tab w:val="num" w:pos="709"/>
        </w:tabs>
        <w:ind w:left="709" w:hanging="567"/>
      </w:pPr>
      <w:rPr>
        <w:rFonts w:ascii="Candara" w:hAnsi="Candara" w:hint="default"/>
      </w:rPr>
    </w:lvl>
    <w:lvl w:ilvl="1">
      <w:start w:val="1"/>
      <w:numFmt w:val="decimal"/>
      <w:lvlText w:val="%1.%2"/>
      <w:lvlJc w:val="left"/>
      <w:pPr>
        <w:tabs>
          <w:tab w:val="num" w:pos="1135"/>
        </w:tabs>
        <w:ind w:left="567" w:hanging="567"/>
      </w:pPr>
      <w:rPr>
        <w:rFonts w:ascii="Candara" w:hAnsi="Candar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59302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2463D3"/>
    <w:multiLevelType w:val="hybridMultilevel"/>
    <w:tmpl w:val="AD6CB6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0543887"/>
    <w:multiLevelType w:val="multilevel"/>
    <w:tmpl w:val="CBA88F18"/>
    <w:lvl w:ilvl="0">
      <w:start w:val="1"/>
      <w:numFmt w:val="decimal"/>
      <w:pStyle w:val="Heading3TOC"/>
      <w:lvlText w:val="%1"/>
      <w:lvlJc w:val="left"/>
      <w:pPr>
        <w:ind w:left="432" w:hanging="432"/>
      </w:pPr>
      <w:rPr>
        <w:rFonts w:hint="default"/>
      </w:rPr>
    </w:lvl>
    <w:lvl w:ilvl="1">
      <w:start w:val="1"/>
      <w:numFmt w:val="decimal"/>
      <w:pStyle w:val="Heading3TOC"/>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173426A"/>
    <w:multiLevelType w:val="multilevel"/>
    <w:tmpl w:val="1A1040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6F7B3F"/>
    <w:multiLevelType w:val="multilevel"/>
    <w:tmpl w:val="FB34BDF0"/>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627992"/>
    <w:multiLevelType w:val="multilevel"/>
    <w:tmpl w:val="FCF0186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1F7E7F"/>
    <w:multiLevelType w:val="hybridMultilevel"/>
    <w:tmpl w:val="DB7CE4CC"/>
    <w:lvl w:ilvl="0" w:tplc="1D8CDBEE">
      <w:start w:val="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49C4482"/>
    <w:multiLevelType w:val="multilevel"/>
    <w:tmpl w:val="F24E4BC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E03AF1"/>
    <w:multiLevelType w:val="multilevel"/>
    <w:tmpl w:val="FCF0186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246C99"/>
    <w:multiLevelType w:val="multilevel"/>
    <w:tmpl w:val="438EF8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D94C48"/>
    <w:multiLevelType w:val="multilevel"/>
    <w:tmpl w:val="F41EDFC8"/>
    <w:lvl w:ilvl="0">
      <w:start w:val="3"/>
      <w:numFmt w:val="decimal"/>
      <w:pStyle w:val="Title"/>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F42B31"/>
    <w:multiLevelType w:val="hybridMultilevel"/>
    <w:tmpl w:val="5E86AA6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8F069D8"/>
    <w:multiLevelType w:val="multilevel"/>
    <w:tmpl w:val="6218C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9062AA6"/>
    <w:multiLevelType w:val="hybridMultilevel"/>
    <w:tmpl w:val="D234D2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9F56C45"/>
    <w:multiLevelType w:val="hybridMultilevel"/>
    <w:tmpl w:val="A3989FFC"/>
    <w:lvl w:ilvl="0" w:tplc="7A5EDB5A">
      <w:start w:val="4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7B4C7595"/>
    <w:multiLevelType w:val="hybridMultilevel"/>
    <w:tmpl w:val="47A295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908416833">
    <w:abstractNumId w:val="12"/>
  </w:num>
  <w:num w:numId="2" w16cid:durableId="10498712">
    <w:abstractNumId w:val="9"/>
  </w:num>
  <w:num w:numId="3" w16cid:durableId="616331916">
    <w:abstractNumId w:val="25"/>
  </w:num>
  <w:num w:numId="4" w16cid:durableId="1046417090">
    <w:abstractNumId w:val="17"/>
  </w:num>
  <w:num w:numId="5" w16cid:durableId="1498839114">
    <w:abstractNumId w:val="20"/>
  </w:num>
  <w:num w:numId="6" w16cid:durableId="449014020">
    <w:abstractNumId w:val="11"/>
  </w:num>
  <w:num w:numId="7" w16cid:durableId="890850429">
    <w:abstractNumId w:val="13"/>
  </w:num>
  <w:num w:numId="8" w16cid:durableId="1958370898">
    <w:abstractNumId w:val="23"/>
  </w:num>
  <w:num w:numId="9" w16cid:durableId="1053387769">
    <w:abstractNumId w:val="15"/>
  </w:num>
  <w:num w:numId="10" w16cid:durableId="354232983">
    <w:abstractNumId w:val="26"/>
  </w:num>
  <w:num w:numId="11" w16cid:durableId="1874265192">
    <w:abstractNumId w:val="28"/>
  </w:num>
  <w:num w:numId="12" w16cid:durableId="584730371">
    <w:abstractNumId w:val="24"/>
  </w:num>
  <w:num w:numId="13" w16cid:durableId="826215910">
    <w:abstractNumId w:val="14"/>
  </w:num>
  <w:num w:numId="14" w16cid:durableId="150567070">
    <w:abstractNumId w:val="18"/>
  </w:num>
  <w:num w:numId="15" w16cid:durableId="80949913">
    <w:abstractNumId w:val="21"/>
  </w:num>
  <w:num w:numId="16" w16cid:durableId="742532531">
    <w:abstractNumId w:val="16"/>
  </w:num>
  <w:num w:numId="17" w16cid:durableId="399058678">
    <w:abstractNumId w:val="15"/>
    <w:lvlOverride w:ilvl="0">
      <w:startOverride w:val="1"/>
    </w:lvlOverride>
    <w:lvlOverride w:ilvl="1">
      <w:startOverride w:val="5"/>
    </w:lvlOverride>
  </w:num>
  <w:num w:numId="18" w16cid:durableId="729688348">
    <w:abstractNumId w:val="7"/>
  </w:num>
  <w:num w:numId="19" w16cid:durableId="588778073">
    <w:abstractNumId w:val="6"/>
  </w:num>
  <w:num w:numId="20" w16cid:durableId="1741516856">
    <w:abstractNumId w:val="5"/>
  </w:num>
  <w:num w:numId="21" w16cid:durableId="660502332">
    <w:abstractNumId w:val="4"/>
  </w:num>
  <w:num w:numId="22" w16cid:durableId="882862397">
    <w:abstractNumId w:val="8"/>
  </w:num>
  <w:num w:numId="23" w16cid:durableId="338429699">
    <w:abstractNumId w:val="3"/>
  </w:num>
  <w:num w:numId="24" w16cid:durableId="376391566">
    <w:abstractNumId w:val="2"/>
  </w:num>
  <w:num w:numId="25" w16cid:durableId="200703941">
    <w:abstractNumId w:val="1"/>
  </w:num>
  <w:num w:numId="26" w16cid:durableId="1071388770">
    <w:abstractNumId w:val="0"/>
  </w:num>
  <w:num w:numId="27" w16cid:durableId="1589191187">
    <w:abstractNumId w:val="10"/>
  </w:num>
  <w:num w:numId="28" w16cid:durableId="810556493">
    <w:abstractNumId w:val="22"/>
  </w:num>
  <w:num w:numId="29" w16cid:durableId="1316254485">
    <w:abstractNumId w:val="9"/>
  </w:num>
  <w:num w:numId="30" w16cid:durableId="1446534448">
    <w:abstractNumId w:val="19"/>
  </w:num>
  <w:num w:numId="31" w16cid:durableId="1888907846">
    <w:abstractNumId w:val="27"/>
  </w:num>
  <w:num w:numId="32" w16cid:durableId="1590190543">
    <w:abstractNumId w:val="9"/>
  </w:num>
  <w:num w:numId="33" w16cid:durableId="120998759">
    <w:abstractNumId w:val="9"/>
  </w:num>
  <w:num w:numId="34" w16cid:durableId="1273243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activeWritingStyle w:appName="MSWord" w:lang="en-US" w:vendorID="64" w:dllVersion="0" w:nlCheck="1" w:checkStyle="0"/>
  <w:activeWritingStyle w:appName="MSWord" w:lang="en-NZ" w:vendorID="64" w:dllVersion="4096" w:nlCheck="1" w:checkStyle="0"/>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TQ3sTQ2NDCwsDBU0lEKTi0uzszPAykwNKgFAOYhXvotAAAA"/>
  </w:docVars>
  <w:rsids>
    <w:rsidRoot w:val="001C4055"/>
    <w:rsid w:val="000049D5"/>
    <w:rsid w:val="000049EE"/>
    <w:rsid w:val="00005779"/>
    <w:rsid w:val="00005907"/>
    <w:rsid w:val="00005FE6"/>
    <w:rsid w:val="0000603A"/>
    <w:rsid w:val="0000612D"/>
    <w:rsid w:val="0000678F"/>
    <w:rsid w:val="00006D87"/>
    <w:rsid w:val="000101EC"/>
    <w:rsid w:val="000109C6"/>
    <w:rsid w:val="0001362B"/>
    <w:rsid w:val="00021D1F"/>
    <w:rsid w:val="00024801"/>
    <w:rsid w:val="00024E16"/>
    <w:rsid w:val="0002550A"/>
    <w:rsid w:val="00025586"/>
    <w:rsid w:val="000263CB"/>
    <w:rsid w:val="0002713A"/>
    <w:rsid w:val="00033E35"/>
    <w:rsid w:val="00035257"/>
    <w:rsid w:val="0003538E"/>
    <w:rsid w:val="00036540"/>
    <w:rsid w:val="00036E27"/>
    <w:rsid w:val="00036E8E"/>
    <w:rsid w:val="000374D4"/>
    <w:rsid w:val="000377E6"/>
    <w:rsid w:val="0004062D"/>
    <w:rsid w:val="000417E7"/>
    <w:rsid w:val="0004280B"/>
    <w:rsid w:val="00044403"/>
    <w:rsid w:val="000451F7"/>
    <w:rsid w:val="00051838"/>
    <w:rsid w:val="000532D9"/>
    <w:rsid w:val="00053945"/>
    <w:rsid w:val="00053F15"/>
    <w:rsid w:val="00060A22"/>
    <w:rsid w:val="000613A5"/>
    <w:rsid w:val="000620D4"/>
    <w:rsid w:val="0006216D"/>
    <w:rsid w:val="00065120"/>
    <w:rsid w:val="00065BD1"/>
    <w:rsid w:val="00065FA2"/>
    <w:rsid w:val="00067BB0"/>
    <w:rsid w:val="000707E3"/>
    <w:rsid w:val="00071A30"/>
    <w:rsid w:val="000725BD"/>
    <w:rsid w:val="000736B9"/>
    <w:rsid w:val="00076061"/>
    <w:rsid w:val="000761E2"/>
    <w:rsid w:val="00077499"/>
    <w:rsid w:val="00077C33"/>
    <w:rsid w:val="0008058F"/>
    <w:rsid w:val="000811B9"/>
    <w:rsid w:val="00083E01"/>
    <w:rsid w:val="0008561C"/>
    <w:rsid w:val="0008636B"/>
    <w:rsid w:val="00086C7D"/>
    <w:rsid w:val="00087048"/>
    <w:rsid w:val="0008775B"/>
    <w:rsid w:val="0009123E"/>
    <w:rsid w:val="00091EC0"/>
    <w:rsid w:val="00092451"/>
    <w:rsid w:val="00092B14"/>
    <w:rsid w:val="00093938"/>
    <w:rsid w:val="00094D7F"/>
    <w:rsid w:val="000956D8"/>
    <w:rsid w:val="00096037"/>
    <w:rsid w:val="000A0EDA"/>
    <w:rsid w:val="000A45CB"/>
    <w:rsid w:val="000A4761"/>
    <w:rsid w:val="000A5EE8"/>
    <w:rsid w:val="000B0924"/>
    <w:rsid w:val="000B0DFA"/>
    <w:rsid w:val="000B1300"/>
    <w:rsid w:val="000B186C"/>
    <w:rsid w:val="000B2A70"/>
    <w:rsid w:val="000B2AF4"/>
    <w:rsid w:val="000B4350"/>
    <w:rsid w:val="000B4CF8"/>
    <w:rsid w:val="000B4F96"/>
    <w:rsid w:val="000B5AF8"/>
    <w:rsid w:val="000B5F3F"/>
    <w:rsid w:val="000B7484"/>
    <w:rsid w:val="000B77EA"/>
    <w:rsid w:val="000C073C"/>
    <w:rsid w:val="000C0DFC"/>
    <w:rsid w:val="000C1894"/>
    <w:rsid w:val="000C1C77"/>
    <w:rsid w:val="000C6DCD"/>
    <w:rsid w:val="000C6E3F"/>
    <w:rsid w:val="000C79B3"/>
    <w:rsid w:val="000D26C0"/>
    <w:rsid w:val="000D379B"/>
    <w:rsid w:val="000D4608"/>
    <w:rsid w:val="000D4A25"/>
    <w:rsid w:val="000D518C"/>
    <w:rsid w:val="000D66DF"/>
    <w:rsid w:val="000D711A"/>
    <w:rsid w:val="000E0877"/>
    <w:rsid w:val="000E4ED0"/>
    <w:rsid w:val="000E6180"/>
    <w:rsid w:val="000E6226"/>
    <w:rsid w:val="000F1192"/>
    <w:rsid w:val="000F19A5"/>
    <w:rsid w:val="000F1E82"/>
    <w:rsid w:val="000F214B"/>
    <w:rsid w:val="000F3AC7"/>
    <w:rsid w:val="000F5BCA"/>
    <w:rsid w:val="000F7F98"/>
    <w:rsid w:val="00100745"/>
    <w:rsid w:val="00101BA4"/>
    <w:rsid w:val="001026E5"/>
    <w:rsid w:val="00103BA3"/>
    <w:rsid w:val="00104515"/>
    <w:rsid w:val="00111F2B"/>
    <w:rsid w:val="00111F48"/>
    <w:rsid w:val="00112756"/>
    <w:rsid w:val="0011438F"/>
    <w:rsid w:val="001150D0"/>
    <w:rsid w:val="00115CC8"/>
    <w:rsid w:val="00116427"/>
    <w:rsid w:val="0011787F"/>
    <w:rsid w:val="00122359"/>
    <w:rsid w:val="00123738"/>
    <w:rsid w:val="001270C2"/>
    <w:rsid w:val="00136AA2"/>
    <w:rsid w:val="00137BA0"/>
    <w:rsid w:val="00137F5A"/>
    <w:rsid w:val="00140B4A"/>
    <w:rsid w:val="001416ED"/>
    <w:rsid w:val="00142642"/>
    <w:rsid w:val="0014550D"/>
    <w:rsid w:val="001466D0"/>
    <w:rsid w:val="00152A8F"/>
    <w:rsid w:val="00152FD7"/>
    <w:rsid w:val="00154FAD"/>
    <w:rsid w:val="00155508"/>
    <w:rsid w:val="00155E9E"/>
    <w:rsid w:val="001564EE"/>
    <w:rsid w:val="00160A4F"/>
    <w:rsid w:val="00161EB8"/>
    <w:rsid w:val="00162B10"/>
    <w:rsid w:val="00163B4F"/>
    <w:rsid w:val="00165820"/>
    <w:rsid w:val="00167701"/>
    <w:rsid w:val="00167A6F"/>
    <w:rsid w:val="00167E64"/>
    <w:rsid w:val="00170237"/>
    <w:rsid w:val="00170D08"/>
    <w:rsid w:val="00171820"/>
    <w:rsid w:val="00171E59"/>
    <w:rsid w:val="001732FC"/>
    <w:rsid w:val="0017445E"/>
    <w:rsid w:val="00174BA7"/>
    <w:rsid w:val="00174C87"/>
    <w:rsid w:val="00175E34"/>
    <w:rsid w:val="001763A0"/>
    <w:rsid w:val="00177CE4"/>
    <w:rsid w:val="001807D2"/>
    <w:rsid w:val="0018090B"/>
    <w:rsid w:val="0018230F"/>
    <w:rsid w:val="0018399E"/>
    <w:rsid w:val="00183EE2"/>
    <w:rsid w:val="001858A9"/>
    <w:rsid w:val="00186C33"/>
    <w:rsid w:val="001877C8"/>
    <w:rsid w:val="00190C2B"/>
    <w:rsid w:val="001913FC"/>
    <w:rsid w:val="00191851"/>
    <w:rsid w:val="001922AA"/>
    <w:rsid w:val="00192CD0"/>
    <w:rsid w:val="0019435F"/>
    <w:rsid w:val="001944D2"/>
    <w:rsid w:val="0019478E"/>
    <w:rsid w:val="0019566A"/>
    <w:rsid w:val="00195C88"/>
    <w:rsid w:val="0019724C"/>
    <w:rsid w:val="001973EA"/>
    <w:rsid w:val="001A01B2"/>
    <w:rsid w:val="001A0457"/>
    <w:rsid w:val="001A463F"/>
    <w:rsid w:val="001A4D81"/>
    <w:rsid w:val="001A61A2"/>
    <w:rsid w:val="001A7AF7"/>
    <w:rsid w:val="001B05BF"/>
    <w:rsid w:val="001B1CF3"/>
    <w:rsid w:val="001B2870"/>
    <w:rsid w:val="001B5199"/>
    <w:rsid w:val="001B5C91"/>
    <w:rsid w:val="001B7080"/>
    <w:rsid w:val="001B7440"/>
    <w:rsid w:val="001B7D7E"/>
    <w:rsid w:val="001B7EAE"/>
    <w:rsid w:val="001C0BF4"/>
    <w:rsid w:val="001C12DC"/>
    <w:rsid w:val="001C22A3"/>
    <w:rsid w:val="001C3357"/>
    <w:rsid w:val="001C3B20"/>
    <w:rsid w:val="001C4055"/>
    <w:rsid w:val="001C483D"/>
    <w:rsid w:val="001C4E65"/>
    <w:rsid w:val="001C7828"/>
    <w:rsid w:val="001D09D7"/>
    <w:rsid w:val="001D1504"/>
    <w:rsid w:val="001D41FA"/>
    <w:rsid w:val="001D4E8A"/>
    <w:rsid w:val="001D5089"/>
    <w:rsid w:val="001D6254"/>
    <w:rsid w:val="001D6563"/>
    <w:rsid w:val="001D6B67"/>
    <w:rsid w:val="001E04AE"/>
    <w:rsid w:val="001E0703"/>
    <w:rsid w:val="001E29CC"/>
    <w:rsid w:val="001E2C38"/>
    <w:rsid w:val="001E34C6"/>
    <w:rsid w:val="001E3B6C"/>
    <w:rsid w:val="001E4CEA"/>
    <w:rsid w:val="001E6D59"/>
    <w:rsid w:val="001F17AE"/>
    <w:rsid w:val="001F2F56"/>
    <w:rsid w:val="001F30F5"/>
    <w:rsid w:val="001F3F19"/>
    <w:rsid w:val="001F629F"/>
    <w:rsid w:val="001F79DA"/>
    <w:rsid w:val="001F7A01"/>
    <w:rsid w:val="00200983"/>
    <w:rsid w:val="00200DDE"/>
    <w:rsid w:val="00205141"/>
    <w:rsid w:val="00205CD4"/>
    <w:rsid w:val="00212BD8"/>
    <w:rsid w:val="002143C2"/>
    <w:rsid w:val="002143C7"/>
    <w:rsid w:val="002160F0"/>
    <w:rsid w:val="00216845"/>
    <w:rsid w:val="002169E7"/>
    <w:rsid w:val="00216DFA"/>
    <w:rsid w:val="0022162F"/>
    <w:rsid w:val="00224E2E"/>
    <w:rsid w:val="00226571"/>
    <w:rsid w:val="0022764A"/>
    <w:rsid w:val="00230861"/>
    <w:rsid w:val="00231194"/>
    <w:rsid w:val="00232077"/>
    <w:rsid w:val="00232B9F"/>
    <w:rsid w:val="002343E4"/>
    <w:rsid w:val="0023448B"/>
    <w:rsid w:val="00241F06"/>
    <w:rsid w:val="0024243B"/>
    <w:rsid w:val="00242BC3"/>
    <w:rsid w:val="0024300B"/>
    <w:rsid w:val="00243343"/>
    <w:rsid w:val="002461B5"/>
    <w:rsid w:val="00250E9C"/>
    <w:rsid w:val="002512E5"/>
    <w:rsid w:val="002521EA"/>
    <w:rsid w:val="0025285D"/>
    <w:rsid w:val="002529C1"/>
    <w:rsid w:val="00252E27"/>
    <w:rsid w:val="00255ECC"/>
    <w:rsid w:val="0025791E"/>
    <w:rsid w:val="00257ED9"/>
    <w:rsid w:val="002618CC"/>
    <w:rsid w:val="00261AB9"/>
    <w:rsid w:val="0026250B"/>
    <w:rsid w:val="00263271"/>
    <w:rsid w:val="0026377A"/>
    <w:rsid w:val="0026424F"/>
    <w:rsid w:val="002644D4"/>
    <w:rsid w:val="00266A58"/>
    <w:rsid w:val="00270C48"/>
    <w:rsid w:val="002717D3"/>
    <w:rsid w:val="002741AA"/>
    <w:rsid w:val="002742EF"/>
    <w:rsid w:val="002747FB"/>
    <w:rsid w:val="00277149"/>
    <w:rsid w:val="0028064A"/>
    <w:rsid w:val="00280BC4"/>
    <w:rsid w:val="00280DDB"/>
    <w:rsid w:val="002818CB"/>
    <w:rsid w:val="00281E53"/>
    <w:rsid w:val="00282106"/>
    <w:rsid w:val="00284AA7"/>
    <w:rsid w:val="002871FA"/>
    <w:rsid w:val="002879F9"/>
    <w:rsid w:val="0029177F"/>
    <w:rsid w:val="002947FB"/>
    <w:rsid w:val="00294E2B"/>
    <w:rsid w:val="00295F94"/>
    <w:rsid w:val="002A0704"/>
    <w:rsid w:val="002A101D"/>
    <w:rsid w:val="002A14BC"/>
    <w:rsid w:val="002A2D2C"/>
    <w:rsid w:val="002B2158"/>
    <w:rsid w:val="002B373E"/>
    <w:rsid w:val="002B538C"/>
    <w:rsid w:val="002B58F1"/>
    <w:rsid w:val="002B659C"/>
    <w:rsid w:val="002C2CE4"/>
    <w:rsid w:val="002C458C"/>
    <w:rsid w:val="002C5164"/>
    <w:rsid w:val="002D0C27"/>
    <w:rsid w:val="002D1BD1"/>
    <w:rsid w:val="002D24D2"/>
    <w:rsid w:val="002D3809"/>
    <w:rsid w:val="002D3CCD"/>
    <w:rsid w:val="002D4BC9"/>
    <w:rsid w:val="002D58DC"/>
    <w:rsid w:val="002D65E3"/>
    <w:rsid w:val="002D7C03"/>
    <w:rsid w:val="002E1D0F"/>
    <w:rsid w:val="002E1DE6"/>
    <w:rsid w:val="002E29A4"/>
    <w:rsid w:val="002E351D"/>
    <w:rsid w:val="002E363E"/>
    <w:rsid w:val="002E79CA"/>
    <w:rsid w:val="002F001E"/>
    <w:rsid w:val="002F0DC2"/>
    <w:rsid w:val="002F1E27"/>
    <w:rsid w:val="002F576F"/>
    <w:rsid w:val="002F5BD2"/>
    <w:rsid w:val="002F6EDB"/>
    <w:rsid w:val="003015DB"/>
    <w:rsid w:val="00301802"/>
    <w:rsid w:val="00303A9C"/>
    <w:rsid w:val="003056A9"/>
    <w:rsid w:val="00306971"/>
    <w:rsid w:val="00310337"/>
    <w:rsid w:val="00310DD8"/>
    <w:rsid w:val="003117E9"/>
    <w:rsid w:val="00311946"/>
    <w:rsid w:val="00311E02"/>
    <w:rsid w:val="00312856"/>
    <w:rsid w:val="00312B36"/>
    <w:rsid w:val="00312C7C"/>
    <w:rsid w:val="003144CD"/>
    <w:rsid w:val="0031482A"/>
    <w:rsid w:val="00314C98"/>
    <w:rsid w:val="00315C8D"/>
    <w:rsid w:val="0031628C"/>
    <w:rsid w:val="003167A5"/>
    <w:rsid w:val="00316DE3"/>
    <w:rsid w:val="00317D30"/>
    <w:rsid w:val="003204B5"/>
    <w:rsid w:val="00320CA0"/>
    <w:rsid w:val="003210C7"/>
    <w:rsid w:val="00321831"/>
    <w:rsid w:val="00322EF8"/>
    <w:rsid w:val="00323F6E"/>
    <w:rsid w:val="003246AF"/>
    <w:rsid w:val="00325B93"/>
    <w:rsid w:val="00331717"/>
    <w:rsid w:val="00334AA2"/>
    <w:rsid w:val="00334F58"/>
    <w:rsid w:val="0034402B"/>
    <w:rsid w:val="00346A98"/>
    <w:rsid w:val="00347A95"/>
    <w:rsid w:val="00350707"/>
    <w:rsid w:val="003518A2"/>
    <w:rsid w:val="00351E0D"/>
    <w:rsid w:val="003533F2"/>
    <w:rsid w:val="00355717"/>
    <w:rsid w:val="003569A3"/>
    <w:rsid w:val="00360EF9"/>
    <w:rsid w:val="00361FDD"/>
    <w:rsid w:val="003638AF"/>
    <w:rsid w:val="00363BE7"/>
    <w:rsid w:val="0036562E"/>
    <w:rsid w:val="00365A61"/>
    <w:rsid w:val="00366CED"/>
    <w:rsid w:val="0037284F"/>
    <w:rsid w:val="00373728"/>
    <w:rsid w:val="00373FB7"/>
    <w:rsid w:val="003748A6"/>
    <w:rsid w:val="00380A3E"/>
    <w:rsid w:val="00381107"/>
    <w:rsid w:val="00381B34"/>
    <w:rsid w:val="00382E97"/>
    <w:rsid w:val="00383B24"/>
    <w:rsid w:val="003842D8"/>
    <w:rsid w:val="00384455"/>
    <w:rsid w:val="0038648B"/>
    <w:rsid w:val="003879FC"/>
    <w:rsid w:val="00387E6A"/>
    <w:rsid w:val="00390221"/>
    <w:rsid w:val="00391092"/>
    <w:rsid w:val="00391E74"/>
    <w:rsid w:val="003920DB"/>
    <w:rsid w:val="003935BB"/>
    <w:rsid w:val="003940A3"/>
    <w:rsid w:val="00394574"/>
    <w:rsid w:val="00394E4C"/>
    <w:rsid w:val="00395044"/>
    <w:rsid w:val="0039702A"/>
    <w:rsid w:val="00397D87"/>
    <w:rsid w:val="00397F95"/>
    <w:rsid w:val="003A049B"/>
    <w:rsid w:val="003A0AD2"/>
    <w:rsid w:val="003A257B"/>
    <w:rsid w:val="003A3A6A"/>
    <w:rsid w:val="003A45CC"/>
    <w:rsid w:val="003A490A"/>
    <w:rsid w:val="003A51F8"/>
    <w:rsid w:val="003A5866"/>
    <w:rsid w:val="003A6226"/>
    <w:rsid w:val="003A76D5"/>
    <w:rsid w:val="003B3556"/>
    <w:rsid w:val="003B3FD1"/>
    <w:rsid w:val="003B61BF"/>
    <w:rsid w:val="003B652C"/>
    <w:rsid w:val="003B6632"/>
    <w:rsid w:val="003B68E8"/>
    <w:rsid w:val="003B6FAC"/>
    <w:rsid w:val="003B72C0"/>
    <w:rsid w:val="003B77BB"/>
    <w:rsid w:val="003C0E0C"/>
    <w:rsid w:val="003C1737"/>
    <w:rsid w:val="003C5439"/>
    <w:rsid w:val="003C6A91"/>
    <w:rsid w:val="003D27EF"/>
    <w:rsid w:val="003D3BAA"/>
    <w:rsid w:val="003D4E24"/>
    <w:rsid w:val="003D4F54"/>
    <w:rsid w:val="003D63E2"/>
    <w:rsid w:val="003D6EA6"/>
    <w:rsid w:val="003E0B06"/>
    <w:rsid w:val="003E176A"/>
    <w:rsid w:val="003E1819"/>
    <w:rsid w:val="003E3029"/>
    <w:rsid w:val="003E4155"/>
    <w:rsid w:val="003F118D"/>
    <w:rsid w:val="003F1FF7"/>
    <w:rsid w:val="003F25E2"/>
    <w:rsid w:val="003F3F5E"/>
    <w:rsid w:val="003F5A70"/>
    <w:rsid w:val="003F6D96"/>
    <w:rsid w:val="003F7A39"/>
    <w:rsid w:val="004000D5"/>
    <w:rsid w:val="00400484"/>
    <w:rsid w:val="004005BB"/>
    <w:rsid w:val="00400676"/>
    <w:rsid w:val="00400B4A"/>
    <w:rsid w:val="004037F3"/>
    <w:rsid w:val="00403A1D"/>
    <w:rsid w:val="00405FCE"/>
    <w:rsid w:val="004073A1"/>
    <w:rsid w:val="00410C86"/>
    <w:rsid w:val="00413A97"/>
    <w:rsid w:val="004159F4"/>
    <w:rsid w:val="004176E5"/>
    <w:rsid w:val="004220F1"/>
    <w:rsid w:val="0042278A"/>
    <w:rsid w:val="0042452D"/>
    <w:rsid w:val="0042727D"/>
    <w:rsid w:val="004272EA"/>
    <w:rsid w:val="00427603"/>
    <w:rsid w:val="004301DB"/>
    <w:rsid w:val="0044129A"/>
    <w:rsid w:val="0044210E"/>
    <w:rsid w:val="004425AD"/>
    <w:rsid w:val="004443E3"/>
    <w:rsid w:val="00445877"/>
    <w:rsid w:val="00450201"/>
    <w:rsid w:val="00452092"/>
    <w:rsid w:val="004527E6"/>
    <w:rsid w:val="004535F2"/>
    <w:rsid w:val="00453E32"/>
    <w:rsid w:val="00454E14"/>
    <w:rsid w:val="0045529B"/>
    <w:rsid w:val="00455A34"/>
    <w:rsid w:val="004566C3"/>
    <w:rsid w:val="004572B0"/>
    <w:rsid w:val="0045739C"/>
    <w:rsid w:val="00457D1F"/>
    <w:rsid w:val="004605FC"/>
    <w:rsid w:val="00460C21"/>
    <w:rsid w:val="00461DE0"/>
    <w:rsid w:val="004627D4"/>
    <w:rsid w:val="00463E44"/>
    <w:rsid w:val="00464D80"/>
    <w:rsid w:val="004652DF"/>
    <w:rsid w:val="0046534F"/>
    <w:rsid w:val="00465D06"/>
    <w:rsid w:val="00466D3E"/>
    <w:rsid w:val="004732B4"/>
    <w:rsid w:val="00473634"/>
    <w:rsid w:val="004773DF"/>
    <w:rsid w:val="00480C44"/>
    <w:rsid w:val="00480F79"/>
    <w:rsid w:val="004816C9"/>
    <w:rsid w:val="0048285E"/>
    <w:rsid w:val="004828DF"/>
    <w:rsid w:val="00483742"/>
    <w:rsid w:val="004873CC"/>
    <w:rsid w:val="00487EE3"/>
    <w:rsid w:val="004902C5"/>
    <w:rsid w:val="00492747"/>
    <w:rsid w:val="00492A9B"/>
    <w:rsid w:val="004A0858"/>
    <w:rsid w:val="004A2CB2"/>
    <w:rsid w:val="004A3A44"/>
    <w:rsid w:val="004A503E"/>
    <w:rsid w:val="004A58C7"/>
    <w:rsid w:val="004A73DF"/>
    <w:rsid w:val="004B0E40"/>
    <w:rsid w:val="004B158E"/>
    <w:rsid w:val="004B2074"/>
    <w:rsid w:val="004B2141"/>
    <w:rsid w:val="004B379F"/>
    <w:rsid w:val="004B477D"/>
    <w:rsid w:val="004B4BDD"/>
    <w:rsid w:val="004B4D32"/>
    <w:rsid w:val="004B555E"/>
    <w:rsid w:val="004B5CFE"/>
    <w:rsid w:val="004B6632"/>
    <w:rsid w:val="004B7F77"/>
    <w:rsid w:val="004C05FF"/>
    <w:rsid w:val="004C0EF0"/>
    <w:rsid w:val="004C115C"/>
    <w:rsid w:val="004C17C3"/>
    <w:rsid w:val="004C1EEA"/>
    <w:rsid w:val="004C1FC6"/>
    <w:rsid w:val="004C33EF"/>
    <w:rsid w:val="004C3432"/>
    <w:rsid w:val="004C368A"/>
    <w:rsid w:val="004C4548"/>
    <w:rsid w:val="004C67D4"/>
    <w:rsid w:val="004C7490"/>
    <w:rsid w:val="004D320C"/>
    <w:rsid w:val="004E07B3"/>
    <w:rsid w:val="004E1884"/>
    <w:rsid w:val="004E1C46"/>
    <w:rsid w:val="004E20B4"/>
    <w:rsid w:val="004E3ADD"/>
    <w:rsid w:val="004E43CD"/>
    <w:rsid w:val="004E5B65"/>
    <w:rsid w:val="004E5D69"/>
    <w:rsid w:val="004E5F95"/>
    <w:rsid w:val="004E6578"/>
    <w:rsid w:val="004E6EBA"/>
    <w:rsid w:val="004F0846"/>
    <w:rsid w:val="004F134A"/>
    <w:rsid w:val="004F1833"/>
    <w:rsid w:val="004F28D2"/>
    <w:rsid w:val="004F57DC"/>
    <w:rsid w:val="004F731D"/>
    <w:rsid w:val="004F7A0B"/>
    <w:rsid w:val="00500600"/>
    <w:rsid w:val="0050068F"/>
    <w:rsid w:val="00501158"/>
    <w:rsid w:val="005025AD"/>
    <w:rsid w:val="00502AB2"/>
    <w:rsid w:val="00502D17"/>
    <w:rsid w:val="0050349F"/>
    <w:rsid w:val="0050350C"/>
    <w:rsid w:val="005048DD"/>
    <w:rsid w:val="005062F7"/>
    <w:rsid w:val="00510CBC"/>
    <w:rsid w:val="00512FF8"/>
    <w:rsid w:val="0051519B"/>
    <w:rsid w:val="00515A14"/>
    <w:rsid w:val="00516557"/>
    <w:rsid w:val="00516577"/>
    <w:rsid w:val="00517E13"/>
    <w:rsid w:val="00520558"/>
    <w:rsid w:val="005205CE"/>
    <w:rsid w:val="00520A8D"/>
    <w:rsid w:val="00520FC5"/>
    <w:rsid w:val="005210B1"/>
    <w:rsid w:val="00521602"/>
    <w:rsid w:val="00521B27"/>
    <w:rsid w:val="00523F9E"/>
    <w:rsid w:val="005249FB"/>
    <w:rsid w:val="00525E4D"/>
    <w:rsid w:val="00526B37"/>
    <w:rsid w:val="00527F23"/>
    <w:rsid w:val="00531F87"/>
    <w:rsid w:val="0053354C"/>
    <w:rsid w:val="00534774"/>
    <w:rsid w:val="00534AAF"/>
    <w:rsid w:val="00535951"/>
    <w:rsid w:val="00536455"/>
    <w:rsid w:val="00537C1C"/>
    <w:rsid w:val="0054229E"/>
    <w:rsid w:val="005422A3"/>
    <w:rsid w:val="005460B7"/>
    <w:rsid w:val="005479A1"/>
    <w:rsid w:val="005514BE"/>
    <w:rsid w:val="005514FC"/>
    <w:rsid w:val="00551505"/>
    <w:rsid w:val="005538A3"/>
    <w:rsid w:val="005545AB"/>
    <w:rsid w:val="0056009C"/>
    <w:rsid w:val="0056295E"/>
    <w:rsid w:val="00562B61"/>
    <w:rsid w:val="005645F0"/>
    <w:rsid w:val="00565354"/>
    <w:rsid w:val="00566FC4"/>
    <w:rsid w:val="00567585"/>
    <w:rsid w:val="00567EDE"/>
    <w:rsid w:val="005716E9"/>
    <w:rsid w:val="00573187"/>
    <w:rsid w:val="00573389"/>
    <w:rsid w:val="00574C71"/>
    <w:rsid w:val="00574CDF"/>
    <w:rsid w:val="00574ED7"/>
    <w:rsid w:val="00575094"/>
    <w:rsid w:val="0057579B"/>
    <w:rsid w:val="005766DD"/>
    <w:rsid w:val="0057705F"/>
    <w:rsid w:val="0057745E"/>
    <w:rsid w:val="005808C4"/>
    <w:rsid w:val="005813AF"/>
    <w:rsid w:val="005813F7"/>
    <w:rsid w:val="005814A5"/>
    <w:rsid w:val="00582557"/>
    <w:rsid w:val="00583B31"/>
    <w:rsid w:val="00583FAF"/>
    <w:rsid w:val="0058464A"/>
    <w:rsid w:val="0058794C"/>
    <w:rsid w:val="00591008"/>
    <w:rsid w:val="005916EB"/>
    <w:rsid w:val="00591C59"/>
    <w:rsid w:val="00591FBF"/>
    <w:rsid w:val="00595517"/>
    <w:rsid w:val="005955B7"/>
    <w:rsid w:val="00595711"/>
    <w:rsid w:val="00595BD2"/>
    <w:rsid w:val="005975D7"/>
    <w:rsid w:val="00597D3D"/>
    <w:rsid w:val="005A18E6"/>
    <w:rsid w:val="005A192C"/>
    <w:rsid w:val="005A2766"/>
    <w:rsid w:val="005A3481"/>
    <w:rsid w:val="005A4061"/>
    <w:rsid w:val="005B0999"/>
    <w:rsid w:val="005B1293"/>
    <w:rsid w:val="005B30F9"/>
    <w:rsid w:val="005B3339"/>
    <w:rsid w:val="005B3CFC"/>
    <w:rsid w:val="005B50E7"/>
    <w:rsid w:val="005B574D"/>
    <w:rsid w:val="005B5AEE"/>
    <w:rsid w:val="005B6C9D"/>
    <w:rsid w:val="005C3B23"/>
    <w:rsid w:val="005C7D08"/>
    <w:rsid w:val="005D0DA7"/>
    <w:rsid w:val="005D3F35"/>
    <w:rsid w:val="005D4762"/>
    <w:rsid w:val="005D6B8D"/>
    <w:rsid w:val="005D6F65"/>
    <w:rsid w:val="005E0B02"/>
    <w:rsid w:val="005E1099"/>
    <w:rsid w:val="005E286F"/>
    <w:rsid w:val="005E33A2"/>
    <w:rsid w:val="005E59E3"/>
    <w:rsid w:val="005E5F85"/>
    <w:rsid w:val="005E6717"/>
    <w:rsid w:val="005E7354"/>
    <w:rsid w:val="005E7B8A"/>
    <w:rsid w:val="005F06B4"/>
    <w:rsid w:val="005F233E"/>
    <w:rsid w:val="005F3380"/>
    <w:rsid w:val="005F3C3F"/>
    <w:rsid w:val="005F42E1"/>
    <w:rsid w:val="005F42F7"/>
    <w:rsid w:val="005F575B"/>
    <w:rsid w:val="005F6F5E"/>
    <w:rsid w:val="00600B7D"/>
    <w:rsid w:val="00601436"/>
    <w:rsid w:val="006014A0"/>
    <w:rsid w:val="00602604"/>
    <w:rsid w:val="00603059"/>
    <w:rsid w:val="0060381E"/>
    <w:rsid w:val="00604F06"/>
    <w:rsid w:val="00605C58"/>
    <w:rsid w:val="00607960"/>
    <w:rsid w:val="00610A18"/>
    <w:rsid w:val="00612DFF"/>
    <w:rsid w:val="00613E2D"/>
    <w:rsid w:val="006162FA"/>
    <w:rsid w:val="00616865"/>
    <w:rsid w:val="00616AFD"/>
    <w:rsid w:val="006207CD"/>
    <w:rsid w:val="00620ABB"/>
    <w:rsid w:val="00621C2D"/>
    <w:rsid w:val="006228B1"/>
    <w:rsid w:val="0062290E"/>
    <w:rsid w:val="00622C09"/>
    <w:rsid w:val="006236B9"/>
    <w:rsid w:val="006265A8"/>
    <w:rsid w:val="00626F03"/>
    <w:rsid w:val="006300EC"/>
    <w:rsid w:val="00631149"/>
    <w:rsid w:val="00631641"/>
    <w:rsid w:val="0063235F"/>
    <w:rsid w:val="006326ED"/>
    <w:rsid w:val="0063357F"/>
    <w:rsid w:val="00634533"/>
    <w:rsid w:val="0063555C"/>
    <w:rsid w:val="0063564E"/>
    <w:rsid w:val="00636091"/>
    <w:rsid w:val="006379F8"/>
    <w:rsid w:val="00637FBE"/>
    <w:rsid w:val="006415D2"/>
    <w:rsid w:val="00641ACD"/>
    <w:rsid w:val="00643817"/>
    <w:rsid w:val="0064456C"/>
    <w:rsid w:val="006447CA"/>
    <w:rsid w:val="006469B6"/>
    <w:rsid w:val="00646FF4"/>
    <w:rsid w:val="00650FAB"/>
    <w:rsid w:val="00652B0F"/>
    <w:rsid w:val="00652FFC"/>
    <w:rsid w:val="00657ABD"/>
    <w:rsid w:val="0066038B"/>
    <w:rsid w:val="00660460"/>
    <w:rsid w:val="00664DF5"/>
    <w:rsid w:val="00665064"/>
    <w:rsid w:val="00666B3B"/>
    <w:rsid w:val="0066753D"/>
    <w:rsid w:val="00670D17"/>
    <w:rsid w:val="00672021"/>
    <w:rsid w:val="00676E36"/>
    <w:rsid w:val="00681DA4"/>
    <w:rsid w:val="006822D4"/>
    <w:rsid w:val="00682330"/>
    <w:rsid w:val="00682E97"/>
    <w:rsid w:val="0068348C"/>
    <w:rsid w:val="00683FA3"/>
    <w:rsid w:val="006848ED"/>
    <w:rsid w:val="0068563E"/>
    <w:rsid w:val="00685AEE"/>
    <w:rsid w:val="00685E8B"/>
    <w:rsid w:val="00686935"/>
    <w:rsid w:val="006870AC"/>
    <w:rsid w:val="0069005D"/>
    <w:rsid w:val="006902AD"/>
    <w:rsid w:val="00690799"/>
    <w:rsid w:val="006907E6"/>
    <w:rsid w:val="00691621"/>
    <w:rsid w:val="00692539"/>
    <w:rsid w:val="00692913"/>
    <w:rsid w:val="00694C39"/>
    <w:rsid w:val="006950D8"/>
    <w:rsid w:val="006A1B93"/>
    <w:rsid w:val="006A2508"/>
    <w:rsid w:val="006A2FE9"/>
    <w:rsid w:val="006A6336"/>
    <w:rsid w:val="006A6C15"/>
    <w:rsid w:val="006A6E82"/>
    <w:rsid w:val="006B2C72"/>
    <w:rsid w:val="006B2E0F"/>
    <w:rsid w:val="006B3829"/>
    <w:rsid w:val="006B4FB7"/>
    <w:rsid w:val="006B7511"/>
    <w:rsid w:val="006C0C9B"/>
    <w:rsid w:val="006C1F68"/>
    <w:rsid w:val="006C4AF5"/>
    <w:rsid w:val="006C4D41"/>
    <w:rsid w:val="006C5C1D"/>
    <w:rsid w:val="006C622C"/>
    <w:rsid w:val="006C68ED"/>
    <w:rsid w:val="006D18DA"/>
    <w:rsid w:val="006D1D6E"/>
    <w:rsid w:val="006D2BD2"/>
    <w:rsid w:val="006D3824"/>
    <w:rsid w:val="006D43FD"/>
    <w:rsid w:val="006D523E"/>
    <w:rsid w:val="006D7E40"/>
    <w:rsid w:val="006E1457"/>
    <w:rsid w:val="006E2173"/>
    <w:rsid w:val="006E3ED1"/>
    <w:rsid w:val="006E4AA6"/>
    <w:rsid w:val="006E5479"/>
    <w:rsid w:val="006F0E9C"/>
    <w:rsid w:val="006F13F3"/>
    <w:rsid w:val="006F161A"/>
    <w:rsid w:val="006F1BB7"/>
    <w:rsid w:val="006F54E8"/>
    <w:rsid w:val="006F5567"/>
    <w:rsid w:val="006F59C3"/>
    <w:rsid w:val="006F67B3"/>
    <w:rsid w:val="006F7F42"/>
    <w:rsid w:val="0070099A"/>
    <w:rsid w:val="007014FF"/>
    <w:rsid w:val="00701CCE"/>
    <w:rsid w:val="0070228F"/>
    <w:rsid w:val="00702810"/>
    <w:rsid w:val="0070348C"/>
    <w:rsid w:val="0070488C"/>
    <w:rsid w:val="00704DEE"/>
    <w:rsid w:val="00705656"/>
    <w:rsid w:val="00707245"/>
    <w:rsid w:val="00710022"/>
    <w:rsid w:val="00710814"/>
    <w:rsid w:val="00711177"/>
    <w:rsid w:val="007131B6"/>
    <w:rsid w:val="0071333E"/>
    <w:rsid w:val="007145FA"/>
    <w:rsid w:val="00715A22"/>
    <w:rsid w:val="00716536"/>
    <w:rsid w:val="00716621"/>
    <w:rsid w:val="00716B62"/>
    <w:rsid w:val="00717F35"/>
    <w:rsid w:val="00717F3E"/>
    <w:rsid w:val="00721036"/>
    <w:rsid w:val="00721491"/>
    <w:rsid w:val="0072275E"/>
    <w:rsid w:val="00722A30"/>
    <w:rsid w:val="0072380B"/>
    <w:rsid w:val="00723DBF"/>
    <w:rsid w:val="00724364"/>
    <w:rsid w:val="00725BCB"/>
    <w:rsid w:val="00727068"/>
    <w:rsid w:val="007311FE"/>
    <w:rsid w:val="00731A89"/>
    <w:rsid w:val="0073222C"/>
    <w:rsid w:val="00732684"/>
    <w:rsid w:val="00732F29"/>
    <w:rsid w:val="007343DD"/>
    <w:rsid w:val="00736086"/>
    <w:rsid w:val="00737686"/>
    <w:rsid w:val="00737D19"/>
    <w:rsid w:val="00737D2D"/>
    <w:rsid w:val="00740A15"/>
    <w:rsid w:val="00740C82"/>
    <w:rsid w:val="00743666"/>
    <w:rsid w:val="00743BE5"/>
    <w:rsid w:val="00744892"/>
    <w:rsid w:val="00746104"/>
    <w:rsid w:val="0074668C"/>
    <w:rsid w:val="007479BE"/>
    <w:rsid w:val="00747E00"/>
    <w:rsid w:val="00750BBD"/>
    <w:rsid w:val="00753028"/>
    <w:rsid w:val="00753168"/>
    <w:rsid w:val="00753AAC"/>
    <w:rsid w:val="007557EF"/>
    <w:rsid w:val="00755EF4"/>
    <w:rsid w:val="00757451"/>
    <w:rsid w:val="007575F2"/>
    <w:rsid w:val="00761DDC"/>
    <w:rsid w:val="007627A3"/>
    <w:rsid w:val="00763AA1"/>
    <w:rsid w:val="00763AFE"/>
    <w:rsid w:val="00765454"/>
    <w:rsid w:val="00765B82"/>
    <w:rsid w:val="00772B43"/>
    <w:rsid w:val="007730A1"/>
    <w:rsid w:val="007741BE"/>
    <w:rsid w:val="0077615D"/>
    <w:rsid w:val="00776776"/>
    <w:rsid w:val="00780042"/>
    <w:rsid w:val="0078174F"/>
    <w:rsid w:val="00781AAB"/>
    <w:rsid w:val="007830DC"/>
    <w:rsid w:val="00783D3D"/>
    <w:rsid w:val="007847B9"/>
    <w:rsid w:val="00785085"/>
    <w:rsid w:val="00786DDB"/>
    <w:rsid w:val="00790445"/>
    <w:rsid w:val="00791B57"/>
    <w:rsid w:val="0079530C"/>
    <w:rsid w:val="007957C8"/>
    <w:rsid w:val="00796022"/>
    <w:rsid w:val="007969EB"/>
    <w:rsid w:val="007A0380"/>
    <w:rsid w:val="007A0FE5"/>
    <w:rsid w:val="007A3BCB"/>
    <w:rsid w:val="007A3C3D"/>
    <w:rsid w:val="007A552C"/>
    <w:rsid w:val="007A5B26"/>
    <w:rsid w:val="007A7AA2"/>
    <w:rsid w:val="007B00F3"/>
    <w:rsid w:val="007B0272"/>
    <w:rsid w:val="007B1CAC"/>
    <w:rsid w:val="007B2038"/>
    <w:rsid w:val="007B206B"/>
    <w:rsid w:val="007B22F2"/>
    <w:rsid w:val="007B24AB"/>
    <w:rsid w:val="007B44C2"/>
    <w:rsid w:val="007B4D0F"/>
    <w:rsid w:val="007B4F53"/>
    <w:rsid w:val="007B5AED"/>
    <w:rsid w:val="007C026D"/>
    <w:rsid w:val="007C382C"/>
    <w:rsid w:val="007C3F49"/>
    <w:rsid w:val="007C520F"/>
    <w:rsid w:val="007C63F3"/>
    <w:rsid w:val="007D2796"/>
    <w:rsid w:val="007D27AA"/>
    <w:rsid w:val="007D39D0"/>
    <w:rsid w:val="007D5A85"/>
    <w:rsid w:val="007D6A0D"/>
    <w:rsid w:val="007E0D73"/>
    <w:rsid w:val="007E3AAE"/>
    <w:rsid w:val="007E5722"/>
    <w:rsid w:val="007E6AFF"/>
    <w:rsid w:val="007E738C"/>
    <w:rsid w:val="007E7818"/>
    <w:rsid w:val="007E7B3C"/>
    <w:rsid w:val="007F081C"/>
    <w:rsid w:val="007F56BB"/>
    <w:rsid w:val="007F689C"/>
    <w:rsid w:val="007F68CD"/>
    <w:rsid w:val="007F6DD6"/>
    <w:rsid w:val="007F73EF"/>
    <w:rsid w:val="007F77CA"/>
    <w:rsid w:val="007F7CBA"/>
    <w:rsid w:val="00801518"/>
    <w:rsid w:val="00801E4A"/>
    <w:rsid w:val="008026A2"/>
    <w:rsid w:val="00806CF1"/>
    <w:rsid w:val="008106F5"/>
    <w:rsid w:val="0081331B"/>
    <w:rsid w:val="00813C1C"/>
    <w:rsid w:val="00815032"/>
    <w:rsid w:val="00815082"/>
    <w:rsid w:val="00815C1A"/>
    <w:rsid w:val="0081668F"/>
    <w:rsid w:val="008175CA"/>
    <w:rsid w:val="0081767A"/>
    <w:rsid w:val="00817CA7"/>
    <w:rsid w:val="00820945"/>
    <w:rsid w:val="008213B2"/>
    <w:rsid w:val="00821BEE"/>
    <w:rsid w:val="00822EFB"/>
    <w:rsid w:val="008232AD"/>
    <w:rsid w:val="00823D3E"/>
    <w:rsid w:val="0083009C"/>
    <w:rsid w:val="00830E22"/>
    <w:rsid w:val="0083118F"/>
    <w:rsid w:val="00831896"/>
    <w:rsid w:val="00832EF7"/>
    <w:rsid w:val="008351FF"/>
    <w:rsid w:val="008352DA"/>
    <w:rsid w:val="00835817"/>
    <w:rsid w:val="008369C1"/>
    <w:rsid w:val="00837191"/>
    <w:rsid w:val="00842DDA"/>
    <w:rsid w:val="0084429D"/>
    <w:rsid w:val="0084439B"/>
    <w:rsid w:val="008443B3"/>
    <w:rsid w:val="00844D44"/>
    <w:rsid w:val="00844E90"/>
    <w:rsid w:val="00845C55"/>
    <w:rsid w:val="0084724B"/>
    <w:rsid w:val="008475C0"/>
    <w:rsid w:val="008509B9"/>
    <w:rsid w:val="008510F0"/>
    <w:rsid w:val="00851CF9"/>
    <w:rsid w:val="008522F1"/>
    <w:rsid w:val="00852B3C"/>
    <w:rsid w:val="00853058"/>
    <w:rsid w:val="008539E4"/>
    <w:rsid w:val="00856684"/>
    <w:rsid w:val="00856A8C"/>
    <w:rsid w:val="00856E43"/>
    <w:rsid w:val="008602EF"/>
    <w:rsid w:val="00861F64"/>
    <w:rsid w:val="0086250E"/>
    <w:rsid w:val="00862B7F"/>
    <w:rsid w:val="008652A6"/>
    <w:rsid w:val="0086647F"/>
    <w:rsid w:val="00866824"/>
    <w:rsid w:val="008701EF"/>
    <w:rsid w:val="00870579"/>
    <w:rsid w:val="00874A35"/>
    <w:rsid w:val="008756E9"/>
    <w:rsid w:val="008757B4"/>
    <w:rsid w:val="00875DE8"/>
    <w:rsid w:val="00877395"/>
    <w:rsid w:val="00880B1E"/>
    <w:rsid w:val="0088184F"/>
    <w:rsid w:val="00883DB3"/>
    <w:rsid w:val="00884B8F"/>
    <w:rsid w:val="00890016"/>
    <w:rsid w:val="0089040F"/>
    <w:rsid w:val="00892CE6"/>
    <w:rsid w:val="00893EFE"/>
    <w:rsid w:val="00895DEE"/>
    <w:rsid w:val="008A3E0C"/>
    <w:rsid w:val="008A4CB1"/>
    <w:rsid w:val="008A4DAE"/>
    <w:rsid w:val="008A55D2"/>
    <w:rsid w:val="008A7695"/>
    <w:rsid w:val="008B0A8C"/>
    <w:rsid w:val="008B0DDE"/>
    <w:rsid w:val="008B0E1D"/>
    <w:rsid w:val="008B13F9"/>
    <w:rsid w:val="008B2214"/>
    <w:rsid w:val="008B24D6"/>
    <w:rsid w:val="008B2C64"/>
    <w:rsid w:val="008B37EB"/>
    <w:rsid w:val="008B478A"/>
    <w:rsid w:val="008B53CC"/>
    <w:rsid w:val="008B545E"/>
    <w:rsid w:val="008B5A51"/>
    <w:rsid w:val="008B6072"/>
    <w:rsid w:val="008C0078"/>
    <w:rsid w:val="008C01DD"/>
    <w:rsid w:val="008C1ED6"/>
    <w:rsid w:val="008C3279"/>
    <w:rsid w:val="008C4E27"/>
    <w:rsid w:val="008C4ED4"/>
    <w:rsid w:val="008D1DE7"/>
    <w:rsid w:val="008D3A28"/>
    <w:rsid w:val="008D424F"/>
    <w:rsid w:val="008D71A1"/>
    <w:rsid w:val="008D7F95"/>
    <w:rsid w:val="008E212B"/>
    <w:rsid w:val="008E2EED"/>
    <w:rsid w:val="008E331F"/>
    <w:rsid w:val="008E3F06"/>
    <w:rsid w:val="008E4619"/>
    <w:rsid w:val="008E46B1"/>
    <w:rsid w:val="008E4814"/>
    <w:rsid w:val="008E4D36"/>
    <w:rsid w:val="008E4D6B"/>
    <w:rsid w:val="008E4F9C"/>
    <w:rsid w:val="008E56B4"/>
    <w:rsid w:val="008E5DEA"/>
    <w:rsid w:val="008E6BDB"/>
    <w:rsid w:val="008E7FCF"/>
    <w:rsid w:val="008F0610"/>
    <w:rsid w:val="008F5041"/>
    <w:rsid w:val="008F565E"/>
    <w:rsid w:val="00901025"/>
    <w:rsid w:val="00904DFC"/>
    <w:rsid w:val="00906B7A"/>
    <w:rsid w:val="00906CFD"/>
    <w:rsid w:val="00906DC5"/>
    <w:rsid w:val="00907741"/>
    <w:rsid w:val="00910D1F"/>
    <w:rsid w:val="00910F1D"/>
    <w:rsid w:val="0091240C"/>
    <w:rsid w:val="009127BE"/>
    <w:rsid w:val="00912DF4"/>
    <w:rsid w:val="00912E3E"/>
    <w:rsid w:val="0091594A"/>
    <w:rsid w:val="00915BEE"/>
    <w:rsid w:val="00916D8E"/>
    <w:rsid w:val="00920D05"/>
    <w:rsid w:val="00921E45"/>
    <w:rsid w:val="00922CFD"/>
    <w:rsid w:val="0092720D"/>
    <w:rsid w:val="00931E10"/>
    <w:rsid w:val="009327A9"/>
    <w:rsid w:val="0093368D"/>
    <w:rsid w:val="00933916"/>
    <w:rsid w:val="009355DD"/>
    <w:rsid w:val="00935F6A"/>
    <w:rsid w:val="0093750C"/>
    <w:rsid w:val="009379E6"/>
    <w:rsid w:val="0094142B"/>
    <w:rsid w:val="0094184C"/>
    <w:rsid w:val="00941C2C"/>
    <w:rsid w:val="00942E5F"/>
    <w:rsid w:val="0094354A"/>
    <w:rsid w:val="00944435"/>
    <w:rsid w:val="00944ED6"/>
    <w:rsid w:val="00945882"/>
    <w:rsid w:val="009461A3"/>
    <w:rsid w:val="009508BF"/>
    <w:rsid w:val="00952B20"/>
    <w:rsid w:val="00952C02"/>
    <w:rsid w:val="00953FBF"/>
    <w:rsid w:val="0095432A"/>
    <w:rsid w:val="009545BD"/>
    <w:rsid w:val="009546E2"/>
    <w:rsid w:val="00960A17"/>
    <w:rsid w:val="0096181D"/>
    <w:rsid w:val="009618CA"/>
    <w:rsid w:val="00962756"/>
    <w:rsid w:val="009639AF"/>
    <w:rsid w:val="00966304"/>
    <w:rsid w:val="00966AB0"/>
    <w:rsid w:val="00967813"/>
    <w:rsid w:val="00967B14"/>
    <w:rsid w:val="00971DD1"/>
    <w:rsid w:val="00972531"/>
    <w:rsid w:val="00974904"/>
    <w:rsid w:val="009767B2"/>
    <w:rsid w:val="00977B87"/>
    <w:rsid w:val="009800A5"/>
    <w:rsid w:val="009807B2"/>
    <w:rsid w:val="00981178"/>
    <w:rsid w:val="00981467"/>
    <w:rsid w:val="0098154C"/>
    <w:rsid w:val="009818CC"/>
    <w:rsid w:val="00982060"/>
    <w:rsid w:val="009821EE"/>
    <w:rsid w:val="0098361E"/>
    <w:rsid w:val="00983B86"/>
    <w:rsid w:val="009851A5"/>
    <w:rsid w:val="009861AD"/>
    <w:rsid w:val="00990BBA"/>
    <w:rsid w:val="00992293"/>
    <w:rsid w:val="009924AA"/>
    <w:rsid w:val="00992DEE"/>
    <w:rsid w:val="00993E47"/>
    <w:rsid w:val="00994495"/>
    <w:rsid w:val="009946A7"/>
    <w:rsid w:val="009955DC"/>
    <w:rsid w:val="00996638"/>
    <w:rsid w:val="00997783"/>
    <w:rsid w:val="00997D6C"/>
    <w:rsid w:val="009A0E01"/>
    <w:rsid w:val="009A1121"/>
    <w:rsid w:val="009A2777"/>
    <w:rsid w:val="009A5780"/>
    <w:rsid w:val="009A58AC"/>
    <w:rsid w:val="009A6055"/>
    <w:rsid w:val="009A72D6"/>
    <w:rsid w:val="009A751A"/>
    <w:rsid w:val="009A7D63"/>
    <w:rsid w:val="009B0758"/>
    <w:rsid w:val="009B0C2F"/>
    <w:rsid w:val="009B1CC1"/>
    <w:rsid w:val="009B2D73"/>
    <w:rsid w:val="009C0F1C"/>
    <w:rsid w:val="009C11BC"/>
    <w:rsid w:val="009C2764"/>
    <w:rsid w:val="009C2835"/>
    <w:rsid w:val="009C3617"/>
    <w:rsid w:val="009C3880"/>
    <w:rsid w:val="009C6534"/>
    <w:rsid w:val="009C7BE2"/>
    <w:rsid w:val="009D0F47"/>
    <w:rsid w:val="009D1B91"/>
    <w:rsid w:val="009D1E1C"/>
    <w:rsid w:val="009D24AD"/>
    <w:rsid w:val="009D2CD9"/>
    <w:rsid w:val="009D682A"/>
    <w:rsid w:val="009D7207"/>
    <w:rsid w:val="009E2CB3"/>
    <w:rsid w:val="009E43F4"/>
    <w:rsid w:val="009E7CD2"/>
    <w:rsid w:val="009F386D"/>
    <w:rsid w:val="009F48BB"/>
    <w:rsid w:val="009F557E"/>
    <w:rsid w:val="009F5E56"/>
    <w:rsid w:val="009F63CE"/>
    <w:rsid w:val="009F66C8"/>
    <w:rsid w:val="00A01591"/>
    <w:rsid w:val="00A01A2B"/>
    <w:rsid w:val="00A046E6"/>
    <w:rsid w:val="00A0726E"/>
    <w:rsid w:val="00A106BE"/>
    <w:rsid w:val="00A11B90"/>
    <w:rsid w:val="00A12228"/>
    <w:rsid w:val="00A14110"/>
    <w:rsid w:val="00A145D2"/>
    <w:rsid w:val="00A1706B"/>
    <w:rsid w:val="00A2059F"/>
    <w:rsid w:val="00A2511A"/>
    <w:rsid w:val="00A32F3D"/>
    <w:rsid w:val="00A35694"/>
    <w:rsid w:val="00A35B63"/>
    <w:rsid w:val="00A36962"/>
    <w:rsid w:val="00A36F2C"/>
    <w:rsid w:val="00A40010"/>
    <w:rsid w:val="00A40647"/>
    <w:rsid w:val="00A41A38"/>
    <w:rsid w:val="00A43282"/>
    <w:rsid w:val="00A43A9F"/>
    <w:rsid w:val="00A43D92"/>
    <w:rsid w:val="00A43D9B"/>
    <w:rsid w:val="00A445C9"/>
    <w:rsid w:val="00A45B01"/>
    <w:rsid w:val="00A464A8"/>
    <w:rsid w:val="00A470FE"/>
    <w:rsid w:val="00A47EFB"/>
    <w:rsid w:val="00A51A6F"/>
    <w:rsid w:val="00A521FA"/>
    <w:rsid w:val="00A532CF"/>
    <w:rsid w:val="00A546E1"/>
    <w:rsid w:val="00A548A3"/>
    <w:rsid w:val="00A54A0F"/>
    <w:rsid w:val="00A5670C"/>
    <w:rsid w:val="00A56776"/>
    <w:rsid w:val="00A571B8"/>
    <w:rsid w:val="00A6008A"/>
    <w:rsid w:val="00A60849"/>
    <w:rsid w:val="00A60DBF"/>
    <w:rsid w:val="00A628CE"/>
    <w:rsid w:val="00A6360E"/>
    <w:rsid w:val="00A6442E"/>
    <w:rsid w:val="00A65593"/>
    <w:rsid w:val="00A65DBB"/>
    <w:rsid w:val="00A67D58"/>
    <w:rsid w:val="00A7143C"/>
    <w:rsid w:val="00A7474A"/>
    <w:rsid w:val="00A7498C"/>
    <w:rsid w:val="00A74CDC"/>
    <w:rsid w:val="00A74D92"/>
    <w:rsid w:val="00A76F5F"/>
    <w:rsid w:val="00A7709E"/>
    <w:rsid w:val="00A77D12"/>
    <w:rsid w:val="00A80248"/>
    <w:rsid w:val="00A80A93"/>
    <w:rsid w:val="00A847D4"/>
    <w:rsid w:val="00A87D96"/>
    <w:rsid w:val="00A90CFD"/>
    <w:rsid w:val="00A91282"/>
    <w:rsid w:val="00A92194"/>
    <w:rsid w:val="00A9269F"/>
    <w:rsid w:val="00A932A5"/>
    <w:rsid w:val="00A943F6"/>
    <w:rsid w:val="00A94B9D"/>
    <w:rsid w:val="00A960ED"/>
    <w:rsid w:val="00A9652B"/>
    <w:rsid w:val="00A96B09"/>
    <w:rsid w:val="00A9726C"/>
    <w:rsid w:val="00AA1A60"/>
    <w:rsid w:val="00AA306D"/>
    <w:rsid w:val="00AA36C0"/>
    <w:rsid w:val="00AA5081"/>
    <w:rsid w:val="00AA79A4"/>
    <w:rsid w:val="00AA7CC8"/>
    <w:rsid w:val="00AB0934"/>
    <w:rsid w:val="00AB158A"/>
    <w:rsid w:val="00AB3E34"/>
    <w:rsid w:val="00AB3F9C"/>
    <w:rsid w:val="00AB5666"/>
    <w:rsid w:val="00AB5C88"/>
    <w:rsid w:val="00AB661B"/>
    <w:rsid w:val="00AB7CF9"/>
    <w:rsid w:val="00AC04BD"/>
    <w:rsid w:val="00AC0942"/>
    <w:rsid w:val="00AC20B2"/>
    <w:rsid w:val="00AC21DF"/>
    <w:rsid w:val="00AC3547"/>
    <w:rsid w:val="00AC5B3F"/>
    <w:rsid w:val="00AC71FC"/>
    <w:rsid w:val="00AC760B"/>
    <w:rsid w:val="00AD08D0"/>
    <w:rsid w:val="00AD2729"/>
    <w:rsid w:val="00AD29EB"/>
    <w:rsid w:val="00AD2FAF"/>
    <w:rsid w:val="00AD3D0A"/>
    <w:rsid w:val="00AD4053"/>
    <w:rsid w:val="00AD44D2"/>
    <w:rsid w:val="00AD5663"/>
    <w:rsid w:val="00AD5A04"/>
    <w:rsid w:val="00AD6155"/>
    <w:rsid w:val="00AD6532"/>
    <w:rsid w:val="00AD688E"/>
    <w:rsid w:val="00AD6B58"/>
    <w:rsid w:val="00AD7512"/>
    <w:rsid w:val="00AE10EA"/>
    <w:rsid w:val="00AE1CB4"/>
    <w:rsid w:val="00AE5052"/>
    <w:rsid w:val="00AE5360"/>
    <w:rsid w:val="00AE6B59"/>
    <w:rsid w:val="00AE7305"/>
    <w:rsid w:val="00AF17A0"/>
    <w:rsid w:val="00AF4245"/>
    <w:rsid w:val="00AF4B42"/>
    <w:rsid w:val="00AF4FF8"/>
    <w:rsid w:val="00AF55F9"/>
    <w:rsid w:val="00AF5678"/>
    <w:rsid w:val="00AF6B71"/>
    <w:rsid w:val="00AF7C9C"/>
    <w:rsid w:val="00B00CE8"/>
    <w:rsid w:val="00B06EFF"/>
    <w:rsid w:val="00B07E5F"/>
    <w:rsid w:val="00B114F8"/>
    <w:rsid w:val="00B1381F"/>
    <w:rsid w:val="00B13ED8"/>
    <w:rsid w:val="00B15F2C"/>
    <w:rsid w:val="00B1659E"/>
    <w:rsid w:val="00B16E97"/>
    <w:rsid w:val="00B17900"/>
    <w:rsid w:val="00B21A60"/>
    <w:rsid w:val="00B21C55"/>
    <w:rsid w:val="00B2203A"/>
    <w:rsid w:val="00B23765"/>
    <w:rsid w:val="00B239C8"/>
    <w:rsid w:val="00B23A19"/>
    <w:rsid w:val="00B267CA"/>
    <w:rsid w:val="00B271DE"/>
    <w:rsid w:val="00B2720D"/>
    <w:rsid w:val="00B300DD"/>
    <w:rsid w:val="00B3165D"/>
    <w:rsid w:val="00B319FA"/>
    <w:rsid w:val="00B32422"/>
    <w:rsid w:val="00B334E6"/>
    <w:rsid w:val="00B37817"/>
    <w:rsid w:val="00B40B8F"/>
    <w:rsid w:val="00B41B59"/>
    <w:rsid w:val="00B41DCE"/>
    <w:rsid w:val="00B43DF4"/>
    <w:rsid w:val="00B443A5"/>
    <w:rsid w:val="00B46023"/>
    <w:rsid w:val="00B4790F"/>
    <w:rsid w:val="00B5137A"/>
    <w:rsid w:val="00B518FA"/>
    <w:rsid w:val="00B5293D"/>
    <w:rsid w:val="00B561E7"/>
    <w:rsid w:val="00B56646"/>
    <w:rsid w:val="00B6218B"/>
    <w:rsid w:val="00B63730"/>
    <w:rsid w:val="00B64450"/>
    <w:rsid w:val="00B655DE"/>
    <w:rsid w:val="00B7106D"/>
    <w:rsid w:val="00B712C8"/>
    <w:rsid w:val="00B71ACA"/>
    <w:rsid w:val="00B721B6"/>
    <w:rsid w:val="00B74148"/>
    <w:rsid w:val="00B75A1B"/>
    <w:rsid w:val="00B76897"/>
    <w:rsid w:val="00B7744E"/>
    <w:rsid w:val="00B77F2D"/>
    <w:rsid w:val="00B801BB"/>
    <w:rsid w:val="00B80FC5"/>
    <w:rsid w:val="00B81C7F"/>
    <w:rsid w:val="00B8292D"/>
    <w:rsid w:val="00B85232"/>
    <w:rsid w:val="00B875D8"/>
    <w:rsid w:val="00B90B1C"/>
    <w:rsid w:val="00B91353"/>
    <w:rsid w:val="00B92F3A"/>
    <w:rsid w:val="00B9392B"/>
    <w:rsid w:val="00BA155D"/>
    <w:rsid w:val="00BA165D"/>
    <w:rsid w:val="00BA331A"/>
    <w:rsid w:val="00BA3515"/>
    <w:rsid w:val="00BA3FA3"/>
    <w:rsid w:val="00BA65FA"/>
    <w:rsid w:val="00BA675C"/>
    <w:rsid w:val="00BA68CA"/>
    <w:rsid w:val="00BA68F7"/>
    <w:rsid w:val="00BA77B9"/>
    <w:rsid w:val="00BB0782"/>
    <w:rsid w:val="00BB0872"/>
    <w:rsid w:val="00BB164A"/>
    <w:rsid w:val="00BB1C89"/>
    <w:rsid w:val="00BB3AD1"/>
    <w:rsid w:val="00BB42A3"/>
    <w:rsid w:val="00BB5EBE"/>
    <w:rsid w:val="00BB67E7"/>
    <w:rsid w:val="00BB6AA2"/>
    <w:rsid w:val="00BB7000"/>
    <w:rsid w:val="00BB74CA"/>
    <w:rsid w:val="00BC6313"/>
    <w:rsid w:val="00BC65DC"/>
    <w:rsid w:val="00BC67EF"/>
    <w:rsid w:val="00BC6A86"/>
    <w:rsid w:val="00BC6AB9"/>
    <w:rsid w:val="00BC746F"/>
    <w:rsid w:val="00BD30D6"/>
    <w:rsid w:val="00BD3546"/>
    <w:rsid w:val="00BD38C7"/>
    <w:rsid w:val="00BD4A4C"/>
    <w:rsid w:val="00BD545B"/>
    <w:rsid w:val="00BD5CE5"/>
    <w:rsid w:val="00BD6EC5"/>
    <w:rsid w:val="00BD7160"/>
    <w:rsid w:val="00BE155C"/>
    <w:rsid w:val="00BE27D4"/>
    <w:rsid w:val="00BE392E"/>
    <w:rsid w:val="00BE3A1D"/>
    <w:rsid w:val="00BE3BDA"/>
    <w:rsid w:val="00BE7DF4"/>
    <w:rsid w:val="00BF018A"/>
    <w:rsid w:val="00BF06C6"/>
    <w:rsid w:val="00BF196D"/>
    <w:rsid w:val="00BF197D"/>
    <w:rsid w:val="00BF1D72"/>
    <w:rsid w:val="00BF2866"/>
    <w:rsid w:val="00BF4D0E"/>
    <w:rsid w:val="00BF4DF9"/>
    <w:rsid w:val="00BF6361"/>
    <w:rsid w:val="00C0025D"/>
    <w:rsid w:val="00C0339A"/>
    <w:rsid w:val="00C03B29"/>
    <w:rsid w:val="00C0420F"/>
    <w:rsid w:val="00C0513C"/>
    <w:rsid w:val="00C05B32"/>
    <w:rsid w:val="00C05E73"/>
    <w:rsid w:val="00C06443"/>
    <w:rsid w:val="00C101BE"/>
    <w:rsid w:val="00C10948"/>
    <w:rsid w:val="00C10B78"/>
    <w:rsid w:val="00C11CA5"/>
    <w:rsid w:val="00C12818"/>
    <w:rsid w:val="00C13590"/>
    <w:rsid w:val="00C139A1"/>
    <w:rsid w:val="00C147FC"/>
    <w:rsid w:val="00C154FE"/>
    <w:rsid w:val="00C15A35"/>
    <w:rsid w:val="00C1734E"/>
    <w:rsid w:val="00C207C7"/>
    <w:rsid w:val="00C2189D"/>
    <w:rsid w:val="00C22654"/>
    <w:rsid w:val="00C24946"/>
    <w:rsid w:val="00C25070"/>
    <w:rsid w:val="00C25B99"/>
    <w:rsid w:val="00C26FB9"/>
    <w:rsid w:val="00C27287"/>
    <w:rsid w:val="00C27766"/>
    <w:rsid w:val="00C27F45"/>
    <w:rsid w:val="00C327EE"/>
    <w:rsid w:val="00C32F03"/>
    <w:rsid w:val="00C32F38"/>
    <w:rsid w:val="00C34AA6"/>
    <w:rsid w:val="00C37032"/>
    <w:rsid w:val="00C373A5"/>
    <w:rsid w:val="00C375EB"/>
    <w:rsid w:val="00C37EDE"/>
    <w:rsid w:val="00C4033E"/>
    <w:rsid w:val="00C40390"/>
    <w:rsid w:val="00C41C3F"/>
    <w:rsid w:val="00C421AF"/>
    <w:rsid w:val="00C43FCA"/>
    <w:rsid w:val="00C4519F"/>
    <w:rsid w:val="00C453C6"/>
    <w:rsid w:val="00C45797"/>
    <w:rsid w:val="00C4750D"/>
    <w:rsid w:val="00C479A8"/>
    <w:rsid w:val="00C563F8"/>
    <w:rsid w:val="00C5706E"/>
    <w:rsid w:val="00C578A9"/>
    <w:rsid w:val="00C57AB1"/>
    <w:rsid w:val="00C57DD2"/>
    <w:rsid w:val="00C605D5"/>
    <w:rsid w:val="00C60690"/>
    <w:rsid w:val="00C6188C"/>
    <w:rsid w:val="00C6213C"/>
    <w:rsid w:val="00C6296E"/>
    <w:rsid w:val="00C629CD"/>
    <w:rsid w:val="00C62E3D"/>
    <w:rsid w:val="00C63CBC"/>
    <w:rsid w:val="00C6433A"/>
    <w:rsid w:val="00C64832"/>
    <w:rsid w:val="00C64FF2"/>
    <w:rsid w:val="00C65334"/>
    <w:rsid w:val="00C665EE"/>
    <w:rsid w:val="00C671CD"/>
    <w:rsid w:val="00C6743B"/>
    <w:rsid w:val="00C67984"/>
    <w:rsid w:val="00C71116"/>
    <w:rsid w:val="00C72166"/>
    <w:rsid w:val="00C75B56"/>
    <w:rsid w:val="00C77B50"/>
    <w:rsid w:val="00C77BE2"/>
    <w:rsid w:val="00C827EE"/>
    <w:rsid w:val="00C82E32"/>
    <w:rsid w:val="00C844A0"/>
    <w:rsid w:val="00C87A7B"/>
    <w:rsid w:val="00C9144E"/>
    <w:rsid w:val="00C91862"/>
    <w:rsid w:val="00C91F27"/>
    <w:rsid w:val="00C921AE"/>
    <w:rsid w:val="00C923B7"/>
    <w:rsid w:val="00C934D4"/>
    <w:rsid w:val="00C95036"/>
    <w:rsid w:val="00C952EA"/>
    <w:rsid w:val="00CA119E"/>
    <w:rsid w:val="00CA2458"/>
    <w:rsid w:val="00CA2A88"/>
    <w:rsid w:val="00CA2D3B"/>
    <w:rsid w:val="00CA3843"/>
    <w:rsid w:val="00CA5039"/>
    <w:rsid w:val="00CA6696"/>
    <w:rsid w:val="00CB2808"/>
    <w:rsid w:val="00CB3815"/>
    <w:rsid w:val="00CB4A14"/>
    <w:rsid w:val="00CB5778"/>
    <w:rsid w:val="00CB5A7E"/>
    <w:rsid w:val="00CB7A91"/>
    <w:rsid w:val="00CC034E"/>
    <w:rsid w:val="00CC05B9"/>
    <w:rsid w:val="00CC0C73"/>
    <w:rsid w:val="00CC0CB0"/>
    <w:rsid w:val="00CC198D"/>
    <w:rsid w:val="00CC1F74"/>
    <w:rsid w:val="00CC206C"/>
    <w:rsid w:val="00CC52FE"/>
    <w:rsid w:val="00CC7670"/>
    <w:rsid w:val="00CC7DA4"/>
    <w:rsid w:val="00CD0129"/>
    <w:rsid w:val="00CD110A"/>
    <w:rsid w:val="00CD1153"/>
    <w:rsid w:val="00CD183E"/>
    <w:rsid w:val="00CD304D"/>
    <w:rsid w:val="00CD403E"/>
    <w:rsid w:val="00CD46FF"/>
    <w:rsid w:val="00CD5413"/>
    <w:rsid w:val="00CD5991"/>
    <w:rsid w:val="00CD5BDC"/>
    <w:rsid w:val="00CD618E"/>
    <w:rsid w:val="00CE269B"/>
    <w:rsid w:val="00CE3FAC"/>
    <w:rsid w:val="00CE43EA"/>
    <w:rsid w:val="00CE477C"/>
    <w:rsid w:val="00CE4856"/>
    <w:rsid w:val="00CE5EDF"/>
    <w:rsid w:val="00CE6C92"/>
    <w:rsid w:val="00CF08AB"/>
    <w:rsid w:val="00CF1BD6"/>
    <w:rsid w:val="00CF2132"/>
    <w:rsid w:val="00CF4F92"/>
    <w:rsid w:val="00CF65AA"/>
    <w:rsid w:val="00CF7356"/>
    <w:rsid w:val="00D01297"/>
    <w:rsid w:val="00D02996"/>
    <w:rsid w:val="00D02B9C"/>
    <w:rsid w:val="00D02E32"/>
    <w:rsid w:val="00D03338"/>
    <w:rsid w:val="00D0512A"/>
    <w:rsid w:val="00D05A37"/>
    <w:rsid w:val="00D063A7"/>
    <w:rsid w:val="00D104A4"/>
    <w:rsid w:val="00D10B28"/>
    <w:rsid w:val="00D11B58"/>
    <w:rsid w:val="00D1387E"/>
    <w:rsid w:val="00D13CF9"/>
    <w:rsid w:val="00D200BC"/>
    <w:rsid w:val="00D202C9"/>
    <w:rsid w:val="00D20819"/>
    <w:rsid w:val="00D2139B"/>
    <w:rsid w:val="00D21474"/>
    <w:rsid w:val="00D21BF4"/>
    <w:rsid w:val="00D21FA1"/>
    <w:rsid w:val="00D22121"/>
    <w:rsid w:val="00D22680"/>
    <w:rsid w:val="00D228B1"/>
    <w:rsid w:val="00D22BE0"/>
    <w:rsid w:val="00D230DF"/>
    <w:rsid w:val="00D23DA6"/>
    <w:rsid w:val="00D25BD8"/>
    <w:rsid w:val="00D26955"/>
    <w:rsid w:val="00D27883"/>
    <w:rsid w:val="00D30C82"/>
    <w:rsid w:val="00D33BD6"/>
    <w:rsid w:val="00D34401"/>
    <w:rsid w:val="00D356CD"/>
    <w:rsid w:val="00D37774"/>
    <w:rsid w:val="00D40F6F"/>
    <w:rsid w:val="00D4143E"/>
    <w:rsid w:val="00D4300A"/>
    <w:rsid w:val="00D4408B"/>
    <w:rsid w:val="00D476EA"/>
    <w:rsid w:val="00D50556"/>
    <w:rsid w:val="00D50715"/>
    <w:rsid w:val="00D5078C"/>
    <w:rsid w:val="00D51522"/>
    <w:rsid w:val="00D5189D"/>
    <w:rsid w:val="00D51C06"/>
    <w:rsid w:val="00D544F3"/>
    <w:rsid w:val="00D63E3B"/>
    <w:rsid w:val="00D64709"/>
    <w:rsid w:val="00D64C0D"/>
    <w:rsid w:val="00D6538A"/>
    <w:rsid w:val="00D71375"/>
    <w:rsid w:val="00D717FE"/>
    <w:rsid w:val="00D71E27"/>
    <w:rsid w:val="00D72059"/>
    <w:rsid w:val="00D74D11"/>
    <w:rsid w:val="00D756B0"/>
    <w:rsid w:val="00D759F6"/>
    <w:rsid w:val="00D75A82"/>
    <w:rsid w:val="00D7647A"/>
    <w:rsid w:val="00D76D04"/>
    <w:rsid w:val="00D81037"/>
    <w:rsid w:val="00D817BC"/>
    <w:rsid w:val="00D8238B"/>
    <w:rsid w:val="00D83238"/>
    <w:rsid w:val="00D834EE"/>
    <w:rsid w:val="00D83E1F"/>
    <w:rsid w:val="00D842B1"/>
    <w:rsid w:val="00D85A99"/>
    <w:rsid w:val="00D86DC6"/>
    <w:rsid w:val="00D8711B"/>
    <w:rsid w:val="00D87E53"/>
    <w:rsid w:val="00D90281"/>
    <w:rsid w:val="00D91475"/>
    <w:rsid w:val="00D91578"/>
    <w:rsid w:val="00D916BA"/>
    <w:rsid w:val="00D9179D"/>
    <w:rsid w:val="00D941F0"/>
    <w:rsid w:val="00D94556"/>
    <w:rsid w:val="00D9602B"/>
    <w:rsid w:val="00D9609F"/>
    <w:rsid w:val="00D96849"/>
    <w:rsid w:val="00D96F5C"/>
    <w:rsid w:val="00DA1423"/>
    <w:rsid w:val="00DA189D"/>
    <w:rsid w:val="00DA25D4"/>
    <w:rsid w:val="00DA308D"/>
    <w:rsid w:val="00DA4373"/>
    <w:rsid w:val="00DA7341"/>
    <w:rsid w:val="00DB0662"/>
    <w:rsid w:val="00DB0D85"/>
    <w:rsid w:val="00DB4977"/>
    <w:rsid w:val="00DB5B12"/>
    <w:rsid w:val="00DB6392"/>
    <w:rsid w:val="00DB6E0F"/>
    <w:rsid w:val="00DC14E3"/>
    <w:rsid w:val="00DC15C0"/>
    <w:rsid w:val="00DC15D7"/>
    <w:rsid w:val="00DC2B8A"/>
    <w:rsid w:val="00DC31E2"/>
    <w:rsid w:val="00DC3DE5"/>
    <w:rsid w:val="00DC513A"/>
    <w:rsid w:val="00DC6E6A"/>
    <w:rsid w:val="00DD0A20"/>
    <w:rsid w:val="00DD23BC"/>
    <w:rsid w:val="00DD371B"/>
    <w:rsid w:val="00DD3E5B"/>
    <w:rsid w:val="00DD50E7"/>
    <w:rsid w:val="00DD63FD"/>
    <w:rsid w:val="00DD676C"/>
    <w:rsid w:val="00DD69FE"/>
    <w:rsid w:val="00DD6DDF"/>
    <w:rsid w:val="00DE2961"/>
    <w:rsid w:val="00DE381C"/>
    <w:rsid w:val="00DE52A1"/>
    <w:rsid w:val="00DE62F3"/>
    <w:rsid w:val="00DE6AE5"/>
    <w:rsid w:val="00DE6EEA"/>
    <w:rsid w:val="00DE7505"/>
    <w:rsid w:val="00DF1FA4"/>
    <w:rsid w:val="00DF25AC"/>
    <w:rsid w:val="00DF3616"/>
    <w:rsid w:val="00DF3735"/>
    <w:rsid w:val="00DF3A43"/>
    <w:rsid w:val="00DF3C64"/>
    <w:rsid w:val="00DF5131"/>
    <w:rsid w:val="00DF54BD"/>
    <w:rsid w:val="00DF6E08"/>
    <w:rsid w:val="00DF7F58"/>
    <w:rsid w:val="00E01093"/>
    <w:rsid w:val="00E01580"/>
    <w:rsid w:val="00E016DF"/>
    <w:rsid w:val="00E01DE0"/>
    <w:rsid w:val="00E03948"/>
    <w:rsid w:val="00E03C19"/>
    <w:rsid w:val="00E04691"/>
    <w:rsid w:val="00E06A70"/>
    <w:rsid w:val="00E06C74"/>
    <w:rsid w:val="00E1122C"/>
    <w:rsid w:val="00E120A1"/>
    <w:rsid w:val="00E138B5"/>
    <w:rsid w:val="00E13E3A"/>
    <w:rsid w:val="00E14222"/>
    <w:rsid w:val="00E15BBC"/>
    <w:rsid w:val="00E20209"/>
    <w:rsid w:val="00E20307"/>
    <w:rsid w:val="00E205AA"/>
    <w:rsid w:val="00E207F1"/>
    <w:rsid w:val="00E21A0B"/>
    <w:rsid w:val="00E224AF"/>
    <w:rsid w:val="00E2284B"/>
    <w:rsid w:val="00E24D40"/>
    <w:rsid w:val="00E25377"/>
    <w:rsid w:val="00E2681B"/>
    <w:rsid w:val="00E279F4"/>
    <w:rsid w:val="00E30B78"/>
    <w:rsid w:val="00E32E0C"/>
    <w:rsid w:val="00E33AF7"/>
    <w:rsid w:val="00E34C31"/>
    <w:rsid w:val="00E35D15"/>
    <w:rsid w:val="00E36161"/>
    <w:rsid w:val="00E404F8"/>
    <w:rsid w:val="00E42C50"/>
    <w:rsid w:val="00E43793"/>
    <w:rsid w:val="00E448D7"/>
    <w:rsid w:val="00E4762C"/>
    <w:rsid w:val="00E47834"/>
    <w:rsid w:val="00E53C4B"/>
    <w:rsid w:val="00E5603D"/>
    <w:rsid w:val="00E57505"/>
    <w:rsid w:val="00E61F67"/>
    <w:rsid w:val="00E62304"/>
    <w:rsid w:val="00E64F7D"/>
    <w:rsid w:val="00E654A2"/>
    <w:rsid w:val="00E67323"/>
    <w:rsid w:val="00E700FB"/>
    <w:rsid w:val="00E71432"/>
    <w:rsid w:val="00E71C33"/>
    <w:rsid w:val="00E72C13"/>
    <w:rsid w:val="00E757FE"/>
    <w:rsid w:val="00E758ED"/>
    <w:rsid w:val="00E825CB"/>
    <w:rsid w:val="00E82AA2"/>
    <w:rsid w:val="00E8307E"/>
    <w:rsid w:val="00E831FB"/>
    <w:rsid w:val="00E86731"/>
    <w:rsid w:val="00E937E1"/>
    <w:rsid w:val="00E94AC2"/>
    <w:rsid w:val="00E9672D"/>
    <w:rsid w:val="00E975CD"/>
    <w:rsid w:val="00E97CF5"/>
    <w:rsid w:val="00EA27B9"/>
    <w:rsid w:val="00EA2974"/>
    <w:rsid w:val="00EA2D81"/>
    <w:rsid w:val="00EA30E8"/>
    <w:rsid w:val="00EA7AF8"/>
    <w:rsid w:val="00EA7DCF"/>
    <w:rsid w:val="00EB18CB"/>
    <w:rsid w:val="00EB2CD6"/>
    <w:rsid w:val="00EB31A5"/>
    <w:rsid w:val="00EB428B"/>
    <w:rsid w:val="00EB68B0"/>
    <w:rsid w:val="00EB736E"/>
    <w:rsid w:val="00EC0D8B"/>
    <w:rsid w:val="00EC2AB8"/>
    <w:rsid w:val="00EC2FBE"/>
    <w:rsid w:val="00EC32F6"/>
    <w:rsid w:val="00EC36C4"/>
    <w:rsid w:val="00EC519B"/>
    <w:rsid w:val="00EC5E89"/>
    <w:rsid w:val="00EC689A"/>
    <w:rsid w:val="00EC7630"/>
    <w:rsid w:val="00ED13FF"/>
    <w:rsid w:val="00ED1FF1"/>
    <w:rsid w:val="00ED44FE"/>
    <w:rsid w:val="00ED4667"/>
    <w:rsid w:val="00ED5025"/>
    <w:rsid w:val="00ED5183"/>
    <w:rsid w:val="00ED5B8B"/>
    <w:rsid w:val="00ED66CB"/>
    <w:rsid w:val="00ED6B65"/>
    <w:rsid w:val="00ED6C99"/>
    <w:rsid w:val="00ED6CBF"/>
    <w:rsid w:val="00ED6E37"/>
    <w:rsid w:val="00EE317D"/>
    <w:rsid w:val="00EE3365"/>
    <w:rsid w:val="00EE4F13"/>
    <w:rsid w:val="00EE5800"/>
    <w:rsid w:val="00EE5946"/>
    <w:rsid w:val="00EE6DF8"/>
    <w:rsid w:val="00EE7E5C"/>
    <w:rsid w:val="00EF02FE"/>
    <w:rsid w:val="00EF058A"/>
    <w:rsid w:val="00EF206C"/>
    <w:rsid w:val="00EF22EC"/>
    <w:rsid w:val="00EF25A6"/>
    <w:rsid w:val="00EF2FC0"/>
    <w:rsid w:val="00EF5B28"/>
    <w:rsid w:val="00EF605B"/>
    <w:rsid w:val="00EF6B7C"/>
    <w:rsid w:val="00F00832"/>
    <w:rsid w:val="00F00DD0"/>
    <w:rsid w:val="00F01941"/>
    <w:rsid w:val="00F01F82"/>
    <w:rsid w:val="00F0368C"/>
    <w:rsid w:val="00F03DE2"/>
    <w:rsid w:val="00F0646F"/>
    <w:rsid w:val="00F1215A"/>
    <w:rsid w:val="00F12726"/>
    <w:rsid w:val="00F1276E"/>
    <w:rsid w:val="00F12F95"/>
    <w:rsid w:val="00F156DA"/>
    <w:rsid w:val="00F20014"/>
    <w:rsid w:val="00F201CF"/>
    <w:rsid w:val="00F202A7"/>
    <w:rsid w:val="00F20A84"/>
    <w:rsid w:val="00F22C5B"/>
    <w:rsid w:val="00F24528"/>
    <w:rsid w:val="00F24903"/>
    <w:rsid w:val="00F25ECF"/>
    <w:rsid w:val="00F26DAB"/>
    <w:rsid w:val="00F30367"/>
    <w:rsid w:val="00F31691"/>
    <w:rsid w:val="00F320C7"/>
    <w:rsid w:val="00F34380"/>
    <w:rsid w:val="00F345FD"/>
    <w:rsid w:val="00F351BD"/>
    <w:rsid w:val="00F3641B"/>
    <w:rsid w:val="00F3727A"/>
    <w:rsid w:val="00F37C23"/>
    <w:rsid w:val="00F40A78"/>
    <w:rsid w:val="00F4152C"/>
    <w:rsid w:val="00F42BA6"/>
    <w:rsid w:val="00F438A3"/>
    <w:rsid w:val="00F444DE"/>
    <w:rsid w:val="00F45518"/>
    <w:rsid w:val="00F456E2"/>
    <w:rsid w:val="00F465C7"/>
    <w:rsid w:val="00F475BD"/>
    <w:rsid w:val="00F47784"/>
    <w:rsid w:val="00F47DE3"/>
    <w:rsid w:val="00F50C5B"/>
    <w:rsid w:val="00F54AFF"/>
    <w:rsid w:val="00F5558F"/>
    <w:rsid w:val="00F55B5F"/>
    <w:rsid w:val="00F56BB4"/>
    <w:rsid w:val="00F572F2"/>
    <w:rsid w:val="00F646A5"/>
    <w:rsid w:val="00F658BD"/>
    <w:rsid w:val="00F66069"/>
    <w:rsid w:val="00F71482"/>
    <w:rsid w:val="00F71BC5"/>
    <w:rsid w:val="00F72CC4"/>
    <w:rsid w:val="00F73EB8"/>
    <w:rsid w:val="00F74439"/>
    <w:rsid w:val="00F7489C"/>
    <w:rsid w:val="00F7526D"/>
    <w:rsid w:val="00F75350"/>
    <w:rsid w:val="00F75B38"/>
    <w:rsid w:val="00F76130"/>
    <w:rsid w:val="00F76ACF"/>
    <w:rsid w:val="00F77CCE"/>
    <w:rsid w:val="00F8094A"/>
    <w:rsid w:val="00F81531"/>
    <w:rsid w:val="00F81938"/>
    <w:rsid w:val="00F82487"/>
    <w:rsid w:val="00F82A93"/>
    <w:rsid w:val="00F8465A"/>
    <w:rsid w:val="00F85027"/>
    <w:rsid w:val="00F853F6"/>
    <w:rsid w:val="00F8760A"/>
    <w:rsid w:val="00F87FA1"/>
    <w:rsid w:val="00F90552"/>
    <w:rsid w:val="00F907CE"/>
    <w:rsid w:val="00F91014"/>
    <w:rsid w:val="00F91FCE"/>
    <w:rsid w:val="00F92067"/>
    <w:rsid w:val="00F92ABF"/>
    <w:rsid w:val="00F93B04"/>
    <w:rsid w:val="00F949D5"/>
    <w:rsid w:val="00F95926"/>
    <w:rsid w:val="00F96619"/>
    <w:rsid w:val="00FA01BD"/>
    <w:rsid w:val="00FA0F17"/>
    <w:rsid w:val="00FA29F5"/>
    <w:rsid w:val="00FA2DC8"/>
    <w:rsid w:val="00FA4785"/>
    <w:rsid w:val="00FA52D8"/>
    <w:rsid w:val="00FA5CC6"/>
    <w:rsid w:val="00FA6072"/>
    <w:rsid w:val="00FB1894"/>
    <w:rsid w:val="00FB20C4"/>
    <w:rsid w:val="00FB41F4"/>
    <w:rsid w:val="00FB511C"/>
    <w:rsid w:val="00FB5BC0"/>
    <w:rsid w:val="00FB65F3"/>
    <w:rsid w:val="00FB6989"/>
    <w:rsid w:val="00FB7FC5"/>
    <w:rsid w:val="00FC0031"/>
    <w:rsid w:val="00FC1928"/>
    <w:rsid w:val="00FC2741"/>
    <w:rsid w:val="00FC2CFB"/>
    <w:rsid w:val="00FC6B0C"/>
    <w:rsid w:val="00FC7C5C"/>
    <w:rsid w:val="00FC7DE2"/>
    <w:rsid w:val="00FD03F2"/>
    <w:rsid w:val="00FD1170"/>
    <w:rsid w:val="00FD1D8F"/>
    <w:rsid w:val="00FD236F"/>
    <w:rsid w:val="00FD2641"/>
    <w:rsid w:val="00FD2728"/>
    <w:rsid w:val="00FD2F8B"/>
    <w:rsid w:val="00FD2FEB"/>
    <w:rsid w:val="00FD4DF3"/>
    <w:rsid w:val="00FD58B2"/>
    <w:rsid w:val="00FD5B4C"/>
    <w:rsid w:val="00FD5C90"/>
    <w:rsid w:val="00FE002E"/>
    <w:rsid w:val="00FE11BA"/>
    <w:rsid w:val="00FE12C5"/>
    <w:rsid w:val="00FE1873"/>
    <w:rsid w:val="00FE33EB"/>
    <w:rsid w:val="00FE434F"/>
    <w:rsid w:val="00FE4C77"/>
    <w:rsid w:val="00FE7A7A"/>
    <w:rsid w:val="00FF014E"/>
    <w:rsid w:val="00FF0B10"/>
    <w:rsid w:val="00FF3112"/>
    <w:rsid w:val="00FF52A6"/>
    <w:rsid w:val="00FF5B21"/>
    <w:rsid w:val="00FF5C2C"/>
    <w:rsid w:val="00FF66B9"/>
    <w:rsid w:val="00FF6EBA"/>
    <w:rsid w:val="00FF75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1F5AF"/>
  <w15:docId w15:val="{DD7C4080-4F21-46EE-A9FE-F5D78273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CE"/>
    <w:rPr>
      <w:rFonts w:ascii="Arial" w:hAnsi="Arial"/>
      <w:color w:val="000000" w:themeColor="text1"/>
    </w:rPr>
  </w:style>
  <w:style w:type="paragraph" w:styleId="Heading1">
    <w:name w:val="heading 1"/>
    <w:basedOn w:val="Normal"/>
    <w:next w:val="Normal"/>
    <w:link w:val="Heading1Char"/>
    <w:uiPriority w:val="9"/>
    <w:qFormat/>
    <w:rsid w:val="002D24D2"/>
    <w:pPr>
      <w:keepNext/>
      <w:keepLines/>
      <w:spacing w:before="240" w:after="60"/>
      <w:outlineLvl w:val="0"/>
    </w:pPr>
    <w:rPr>
      <w:rFonts w:eastAsiaTheme="majorEastAsia" w:cstheme="majorBidi"/>
      <w:b/>
      <w:color w:val="A9141A"/>
      <w:sz w:val="32"/>
      <w:szCs w:val="32"/>
    </w:rPr>
  </w:style>
  <w:style w:type="paragraph" w:styleId="Heading2">
    <w:name w:val="heading 2"/>
    <w:basedOn w:val="Normal"/>
    <w:next w:val="Normal"/>
    <w:link w:val="Heading2Char"/>
    <w:uiPriority w:val="9"/>
    <w:unhideWhenUsed/>
    <w:qFormat/>
    <w:rsid w:val="002D24D2"/>
    <w:pPr>
      <w:keepNext/>
      <w:spacing w:before="200"/>
      <w:ind w:left="567" w:hanging="567"/>
      <w:outlineLvl w:val="1"/>
    </w:pPr>
    <w:rPr>
      <w:color w:val="C00000"/>
      <w:sz w:val="28"/>
    </w:rPr>
  </w:style>
  <w:style w:type="paragraph" w:styleId="Heading3">
    <w:name w:val="heading 3"/>
    <w:basedOn w:val="Normal"/>
    <w:next w:val="Normal"/>
    <w:link w:val="Heading3Char"/>
    <w:uiPriority w:val="9"/>
    <w:unhideWhenUsed/>
    <w:qFormat/>
    <w:rsid w:val="009E7CD2"/>
    <w:pPr>
      <w:keepNext/>
      <w:keepLines/>
      <w:spacing w:before="240" w:after="120"/>
      <w:outlineLvl w:val="2"/>
    </w:pPr>
    <w:rPr>
      <w:rFonts w:eastAsiaTheme="majorEastAsia" w:cstheme="majorBidi"/>
      <w:bCs/>
      <w:color w:val="808080" w:themeColor="background1" w:themeShade="80"/>
      <w:sz w:val="26"/>
      <w:szCs w:val="24"/>
    </w:rPr>
  </w:style>
  <w:style w:type="paragraph" w:styleId="Heading4">
    <w:name w:val="heading 4"/>
    <w:next w:val="Normal"/>
    <w:link w:val="Heading4Char"/>
    <w:uiPriority w:val="9"/>
    <w:unhideWhenUsed/>
    <w:qFormat/>
    <w:rsid w:val="009F63CE"/>
    <w:pPr>
      <w:keepNext/>
      <w:spacing w:before="240" w:after="120"/>
      <w:outlineLvl w:val="3"/>
    </w:pPr>
    <w:rPr>
      <w:rFonts w:ascii="Arial" w:eastAsiaTheme="majorEastAsia" w:hAnsi="Arial" w:cstheme="majorBidi"/>
      <w:b/>
      <w:bCs/>
      <w:color w:val="D4A67C" w:themeColor="accent6"/>
      <w:sz w:val="24"/>
      <w:szCs w:val="24"/>
    </w:rPr>
  </w:style>
  <w:style w:type="paragraph" w:styleId="Heading5">
    <w:name w:val="heading 5"/>
    <w:basedOn w:val="Normal"/>
    <w:next w:val="Normal"/>
    <w:link w:val="Heading5Char"/>
    <w:uiPriority w:val="9"/>
    <w:unhideWhenUsed/>
    <w:qFormat/>
    <w:rsid w:val="0096181D"/>
    <w:pPr>
      <w:keepNext/>
      <w:keepLines/>
      <w:spacing w:before="200" w:after="120"/>
      <w:outlineLvl w:val="4"/>
    </w:pPr>
    <w:rPr>
      <w:rFonts w:eastAsiaTheme="majorEastAsia" w:cstheme="majorBidi"/>
      <w:color w:val="700D11" w:themeColor="accent1" w:themeShade="7F"/>
    </w:rPr>
  </w:style>
  <w:style w:type="paragraph" w:styleId="Heading6">
    <w:name w:val="heading 6"/>
    <w:basedOn w:val="Normal"/>
    <w:next w:val="Normal"/>
    <w:link w:val="Heading6Char"/>
    <w:uiPriority w:val="9"/>
    <w:unhideWhenUsed/>
    <w:qFormat/>
    <w:rsid w:val="00312B36"/>
    <w:pPr>
      <w:keepNext/>
      <w:keepLines/>
      <w:spacing w:before="40" w:after="0"/>
      <w:outlineLvl w:val="5"/>
    </w:pPr>
    <w:rPr>
      <w:rFonts w:eastAsiaTheme="majorEastAsia" w:cstheme="majorBidi"/>
      <w:color w:val="366473" w:themeColor="accent5" w:themeShade="80"/>
    </w:rPr>
  </w:style>
  <w:style w:type="paragraph" w:styleId="Heading7">
    <w:name w:val="heading 7"/>
    <w:basedOn w:val="Normal"/>
    <w:next w:val="Normal"/>
    <w:link w:val="Heading7Char"/>
    <w:uiPriority w:val="9"/>
    <w:unhideWhenUsed/>
    <w:qFormat/>
    <w:rsid w:val="00312B36"/>
    <w:pPr>
      <w:keepNext/>
      <w:keepLines/>
      <w:spacing w:before="40" w:after="0"/>
      <w:outlineLvl w:val="6"/>
    </w:pPr>
    <w:rPr>
      <w:rFonts w:asciiTheme="majorHAnsi" w:eastAsiaTheme="majorEastAsia" w:hAnsiTheme="majorHAnsi" w:cstheme="majorBidi"/>
      <w:i/>
      <w:iCs/>
      <w:color w:val="700D11" w:themeColor="accent1" w:themeShade="7F"/>
    </w:rPr>
  </w:style>
  <w:style w:type="paragraph" w:styleId="Heading8">
    <w:name w:val="heading 8"/>
    <w:basedOn w:val="Normal"/>
    <w:next w:val="Normal"/>
    <w:link w:val="Heading8Char"/>
    <w:uiPriority w:val="9"/>
    <w:unhideWhenUsed/>
    <w:qFormat/>
    <w:rsid w:val="00312B3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4D2"/>
    <w:rPr>
      <w:rFonts w:ascii="Arial" w:eastAsiaTheme="majorEastAsia" w:hAnsi="Arial" w:cstheme="majorBidi"/>
      <w:b/>
      <w:color w:val="A9141A"/>
      <w:sz w:val="32"/>
      <w:szCs w:val="32"/>
    </w:rPr>
  </w:style>
  <w:style w:type="character" w:customStyle="1" w:styleId="Heading2Char">
    <w:name w:val="Heading 2 Char"/>
    <w:basedOn w:val="DefaultParagraphFont"/>
    <w:link w:val="Heading2"/>
    <w:uiPriority w:val="9"/>
    <w:rsid w:val="002D24D2"/>
    <w:rPr>
      <w:rFonts w:ascii="Arial" w:hAnsi="Arial"/>
      <w:color w:val="C00000"/>
      <w:sz w:val="28"/>
    </w:rPr>
  </w:style>
  <w:style w:type="character" w:customStyle="1" w:styleId="Heading3Char">
    <w:name w:val="Heading 3 Char"/>
    <w:basedOn w:val="DefaultParagraphFont"/>
    <w:link w:val="Heading3"/>
    <w:uiPriority w:val="9"/>
    <w:rsid w:val="009E7CD2"/>
    <w:rPr>
      <w:rFonts w:ascii="Arial" w:eastAsiaTheme="majorEastAsia" w:hAnsi="Arial" w:cstheme="majorBidi"/>
      <w:bCs/>
      <w:color w:val="808080" w:themeColor="background1" w:themeShade="80"/>
      <w:sz w:val="26"/>
      <w:szCs w:val="24"/>
    </w:rPr>
  </w:style>
  <w:style w:type="character" w:customStyle="1" w:styleId="Heading5Char">
    <w:name w:val="Heading 5 Char"/>
    <w:basedOn w:val="DefaultParagraphFont"/>
    <w:link w:val="Heading5"/>
    <w:uiPriority w:val="9"/>
    <w:rsid w:val="0096181D"/>
    <w:rPr>
      <w:rFonts w:ascii="Candara" w:eastAsiaTheme="majorEastAsia" w:hAnsi="Candara" w:cstheme="majorBidi"/>
      <w:color w:val="700D11" w:themeColor="accent1" w:themeShade="7F"/>
    </w:rPr>
  </w:style>
  <w:style w:type="character" w:styleId="Hyperlink">
    <w:name w:val="Hyperlink"/>
    <w:basedOn w:val="DefaultParagraphFont"/>
    <w:uiPriority w:val="99"/>
    <w:unhideWhenUsed/>
    <w:rsid w:val="001C4055"/>
    <w:rPr>
      <w:color w:val="0000FF" w:themeColor="hyperlink"/>
      <w:u w:val="single"/>
    </w:rPr>
  </w:style>
  <w:style w:type="paragraph" w:styleId="ListBullet">
    <w:name w:val="List Bullet"/>
    <w:basedOn w:val="Normal"/>
    <w:uiPriority w:val="99"/>
    <w:unhideWhenUsed/>
    <w:rsid w:val="00A43D9B"/>
    <w:pPr>
      <w:widowControl w:val="0"/>
      <w:numPr>
        <w:numId w:val="2"/>
      </w:numPr>
      <w:spacing w:before="120" w:after="0"/>
    </w:pPr>
    <w:rPr>
      <w:rFonts w:eastAsia="Futura Hv BT" w:cs="Times New Roman"/>
      <w:color w:val="231F20"/>
      <w:szCs w:val="24"/>
    </w:rPr>
  </w:style>
  <w:style w:type="paragraph" w:customStyle="1" w:styleId="FiguresTOC">
    <w:name w:val="Figures TOC"/>
    <w:basedOn w:val="Normal"/>
    <w:next w:val="Normal"/>
    <w:link w:val="FiguresTOCChar"/>
    <w:qFormat/>
    <w:rsid w:val="00487EE3"/>
    <w:pPr>
      <w:keepNext/>
      <w:keepLines/>
      <w:widowControl w:val="0"/>
      <w:spacing w:before="120" w:after="120" w:line="240" w:lineRule="auto"/>
    </w:pPr>
    <w:rPr>
      <w:rFonts w:eastAsia="Futura Hv BT" w:cs="Times New Roman"/>
      <w:color w:val="C00000"/>
      <w:sz w:val="24"/>
      <w:szCs w:val="24"/>
    </w:rPr>
  </w:style>
  <w:style w:type="character" w:customStyle="1" w:styleId="FiguresTOCChar">
    <w:name w:val="Figures TOC Char"/>
    <w:basedOn w:val="DefaultParagraphFont"/>
    <w:link w:val="FiguresTOC"/>
    <w:rsid w:val="00487EE3"/>
    <w:rPr>
      <w:rFonts w:ascii="Arial" w:eastAsia="Futura Hv BT" w:hAnsi="Arial" w:cs="Times New Roman"/>
      <w:color w:val="C00000"/>
      <w:sz w:val="24"/>
      <w:szCs w:val="24"/>
    </w:rPr>
  </w:style>
  <w:style w:type="paragraph" w:styleId="BalloonText">
    <w:name w:val="Balloon Text"/>
    <w:basedOn w:val="Normal"/>
    <w:link w:val="BalloonTextChar"/>
    <w:uiPriority w:val="99"/>
    <w:semiHidden/>
    <w:unhideWhenUsed/>
    <w:rsid w:val="001C4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055"/>
    <w:rPr>
      <w:rFonts w:ascii="Tahoma" w:hAnsi="Tahoma" w:cs="Tahoma"/>
      <w:color w:val="000000" w:themeColor="text1"/>
      <w:sz w:val="16"/>
      <w:szCs w:val="16"/>
    </w:rPr>
  </w:style>
  <w:style w:type="paragraph" w:customStyle="1" w:styleId="Heading3TOC">
    <w:name w:val="Heading 3 TOC"/>
    <w:basedOn w:val="Heading2"/>
    <w:qFormat/>
    <w:rsid w:val="00C923B7"/>
    <w:pPr>
      <w:numPr>
        <w:numId w:val="9"/>
      </w:numPr>
    </w:pPr>
  </w:style>
  <w:style w:type="paragraph" w:styleId="Title">
    <w:name w:val="Title"/>
    <w:basedOn w:val="Normal"/>
    <w:next w:val="Normal"/>
    <w:link w:val="TitleChar"/>
    <w:autoRedefine/>
    <w:uiPriority w:val="10"/>
    <w:qFormat/>
    <w:rsid w:val="003246AF"/>
    <w:pPr>
      <w:numPr>
        <w:numId w:val="8"/>
      </w:numPr>
      <w:pBdr>
        <w:bottom w:val="single" w:sz="8" w:space="4" w:color="C00000"/>
      </w:pBdr>
      <w:spacing w:after="300" w:line="240" w:lineRule="auto"/>
      <w:contextualSpacing/>
    </w:pPr>
    <w:rPr>
      <w:rFonts w:eastAsiaTheme="majorEastAsia" w:cstheme="majorBidi"/>
      <w:color w:val="C00000"/>
      <w:spacing w:val="5"/>
      <w:kern w:val="28"/>
      <w:sz w:val="52"/>
      <w:szCs w:val="52"/>
    </w:rPr>
  </w:style>
  <w:style w:type="character" w:customStyle="1" w:styleId="TitleChar">
    <w:name w:val="Title Char"/>
    <w:basedOn w:val="DefaultParagraphFont"/>
    <w:link w:val="Title"/>
    <w:uiPriority w:val="10"/>
    <w:rsid w:val="00394E4C"/>
    <w:rPr>
      <w:rFonts w:ascii="Candara" w:eastAsiaTheme="majorEastAsia" w:hAnsi="Candara" w:cstheme="majorBidi"/>
      <w:color w:val="C00000"/>
      <w:spacing w:val="5"/>
      <w:kern w:val="28"/>
      <w:sz w:val="52"/>
      <w:szCs w:val="52"/>
    </w:rPr>
  </w:style>
  <w:style w:type="paragraph" w:styleId="ListParagraph">
    <w:name w:val="List Paragraph"/>
    <w:aliases w:val="standard lewis"/>
    <w:basedOn w:val="Normal"/>
    <w:link w:val="ListParagraphChar"/>
    <w:uiPriority w:val="34"/>
    <w:qFormat/>
    <w:rsid w:val="001C4055"/>
    <w:pPr>
      <w:ind w:left="720"/>
      <w:contextualSpacing/>
    </w:pPr>
  </w:style>
  <w:style w:type="paragraph" w:customStyle="1" w:styleId="Ex3">
    <w:name w:val="Ex3"/>
    <w:basedOn w:val="Heading3"/>
    <w:qFormat/>
    <w:rsid w:val="001C4055"/>
    <w:rPr>
      <w:color w:val="000000" w:themeColor="text1"/>
    </w:rPr>
  </w:style>
  <w:style w:type="paragraph" w:customStyle="1" w:styleId="Note">
    <w:name w:val="Note"/>
    <w:basedOn w:val="Normal"/>
    <w:qFormat/>
    <w:rsid w:val="001C4055"/>
    <w:pPr>
      <w:spacing w:after="360"/>
      <w:contextualSpacing/>
    </w:pPr>
    <w:rPr>
      <w:sz w:val="18"/>
      <w:szCs w:val="18"/>
    </w:rPr>
  </w:style>
  <w:style w:type="character" w:customStyle="1" w:styleId="ListParagraphChar">
    <w:name w:val="List Paragraph Char"/>
    <w:aliases w:val="standard lewis Char"/>
    <w:basedOn w:val="DefaultParagraphFont"/>
    <w:link w:val="ListParagraph"/>
    <w:uiPriority w:val="34"/>
    <w:locked/>
    <w:rsid w:val="001C4055"/>
    <w:rPr>
      <w:rFonts w:ascii="Candara" w:hAnsi="Candara"/>
      <w:color w:val="000000" w:themeColor="text1"/>
    </w:rPr>
  </w:style>
  <w:style w:type="character" w:styleId="CommentReference">
    <w:name w:val="annotation reference"/>
    <w:basedOn w:val="DefaultParagraphFont"/>
    <w:uiPriority w:val="99"/>
    <w:semiHidden/>
    <w:unhideWhenUsed/>
    <w:rsid w:val="00F3641B"/>
    <w:rPr>
      <w:sz w:val="16"/>
      <w:szCs w:val="16"/>
    </w:rPr>
  </w:style>
  <w:style w:type="paragraph" w:styleId="CommentText">
    <w:name w:val="annotation text"/>
    <w:basedOn w:val="Normal"/>
    <w:link w:val="CommentTextChar"/>
    <w:uiPriority w:val="99"/>
    <w:unhideWhenUsed/>
    <w:rsid w:val="00F3641B"/>
    <w:pPr>
      <w:spacing w:line="240" w:lineRule="auto"/>
    </w:pPr>
    <w:rPr>
      <w:sz w:val="20"/>
      <w:szCs w:val="20"/>
    </w:rPr>
  </w:style>
  <w:style w:type="character" w:customStyle="1" w:styleId="CommentTextChar">
    <w:name w:val="Comment Text Char"/>
    <w:basedOn w:val="DefaultParagraphFont"/>
    <w:link w:val="CommentText"/>
    <w:uiPriority w:val="99"/>
    <w:rsid w:val="00F3641B"/>
    <w:rPr>
      <w:rFonts w:ascii="Candara" w:hAnsi="Candar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3641B"/>
    <w:rPr>
      <w:b/>
      <w:bCs/>
    </w:rPr>
  </w:style>
  <w:style w:type="character" w:customStyle="1" w:styleId="CommentSubjectChar">
    <w:name w:val="Comment Subject Char"/>
    <w:basedOn w:val="CommentTextChar"/>
    <w:link w:val="CommentSubject"/>
    <w:uiPriority w:val="99"/>
    <w:semiHidden/>
    <w:rsid w:val="00F3641B"/>
    <w:rPr>
      <w:rFonts w:ascii="Candara" w:hAnsi="Candara"/>
      <w:b/>
      <w:bCs/>
      <w:color w:val="000000" w:themeColor="text1"/>
      <w:sz w:val="20"/>
      <w:szCs w:val="20"/>
    </w:rPr>
  </w:style>
  <w:style w:type="character" w:styleId="Strong">
    <w:name w:val="Strong"/>
    <w:basedOn w:val="DefaultParagraphFont"/>
    <w:uiPriority w:val="22"/>
    <w:qFormat/>
    <w:rsid w:val="00710022"/>
    <w:rPr>
      <w:b/>
      <w:bCs/>
    </w:rPr>
  </w:style>
  <w:style w:type="character" w:customStyle="1" w:styleId="Heading4Char">
    <w:name w:val="Heading 4 Char"/>
    <w:basedOn w:val="DefaultParagraphFont"/>
    <w:link w:val="Heading4"/>
    <w:uiPriority w:val="9"/>
    <w:rsid w:val="009F63CE"/>
    <w:rPr>
      <w:rFonts w:ascii="Arial" w:eastAsiaTheme="majorEastAsia" w:hAnsi="Arial" w:cstheme="majorBidi"/>
      <w:b/>
      <w:bCs/>
      <w:color w:val="D4A67C" w:themeColor="accent6"/>
      <w:sz w:val="24"/>
      <w:szCs w:val="24"/>
    </w:rPr>
  </w:style>
  <w:style w:type="paragraph" w:styleId="Caption">
    <w:name w:val="caption"/>
    <w:basedOn w:val="Normal"/>
    <w:next w:val="Normal"/>
    <w:uiPriority w:val="35"/>
    <w:unhideWhenUsed/>
    <w:qFormat/>
    <w:rsid w:val="00910F1D"/>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395044"/>
    <w:rPr>
      <w:color w:val="800080" w:themeColor="followedHyperlink"/>
      <w:u w:val="single"/>
    </w:rPr>
  </w:style>
  <w:style w:type="paragraph" w:styleId="TOCHeading">
    <w:name w:val="TOC Heading"/>
    <w:basedOn w:val="Heading1"/>
    <w:next w:val="Normal"/>
    <w:uiPriority w:val="39"/>
    <w:unhideWhenUsed/>
    <w:qFormat/>
    <w:rsid w:val="009F63CE"/>
    <w:pPr>
      <w:spacing w:after="0" w:line="259" w:lineRule="auto"/>
      <w:outlineLvl w:val="9"/>
    </w:pPr>
    <w:rPr>
      <w:b w:val="0"/>
      <w:color w:val="A9141A" w:themeColor="accent1" w:themeShade="BF"/>
      <w:lang w:val="en-US"/>
    </w:rPr>
  </w:style>
  <w:style w:type="paragraph" w:styleId="TOC2">
    <w:name w:val="toc 2"/>
    <w:basedOn w:val="Normal"/>
    <w:next w:val="Normal"/>
    <w:autoRedefine/>
    <w:uiPriority w:val="39"/>
    <w:unhideWhenUsed/>
    <w:rsid w:val="00CB3815"/>
    <w:pPr>
      <w:tabs>
        <w:tab w:val="left" w:pos="709"/>
        <w:tab w:val="right" w:leader="dot" w:pos="9016"/>
      </w:tabs>
      <w:spacing w:after="100"/>
      <w:ind w:left="220"/>
    </w:pPr>
  </w:style>
  <w:style w:type="paragraph" w:styleId="TOC3">
    <w:name w:val="toc 3"/>
    <w:basedOn w:val="Normal"/>
    <w:next w:val="Normal"/>
    <w:autoRedefine/>
    <w:uiPriority w:val="39"/>
    <w:unhideWhenUsed/>
    <w:rsid w:val="00CB3815"/>
    <w:pPr>
      <w:tabs>
        <w:tab w:val="right" w:leader="dot" w:pos="9016"/>
      </w:tabs>
      <w:spacing w:after="100"/>
      <w:ind w:left="709"/>
    </w:pPr>
  </w:style>
  <w:style w:type="paragraph" w:styleId="TOC1">
    <w:name w:val="toc 1"/>
    <w:basedOn w:val="Normal"/>
    <w:next w:val="Normal"/>
    <w:autoRedefine/>
    <w:uiPriority w:val="39"/>
    <w:unhideWhenUsed/>
    <w:rsid w:val="00CB3815"/>
    <w:pPr>
      <w:spacing w:after="100"/>
    </w:pPr>
  </w:style>
  <w:style w:type="paragraph" w:styleId="NoSpacing">
    <w:name w:val="No Spacing"/>
    <w:link w:val="NoSpacingChar"/>
    <w:uiPriority w:val="1"/>
    <w:qFormat/>
    <w:rsid w:val="00174C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4C87"/>
    <w:rPr>
      <w:rFonts w:eastAsiaTheme="minorEastAsia"/>
      <w:lang w:val="en-US"/>
    </w:rPr>
  </w:style>
  <w:style w:type="paragraph" w:styleId="Header">
    <w:name w:val="header"/>
    <w:basedOn w:val="Normal"/>
    <w:link w:val="HeaderChar"/>
    <w:uiPriority w:val="99"/>
    <w:unhideWhenUsed/>
    <w:rsid w:val="00174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C87"/>
    <w:rPr>
      <w:rFonts w:ascii="Candara" w:hAnsi="Candara"/>
      <w:color w:val="000000" w:themeColor="text1"/>
    </w:rPr>
  </w:style>
  <w:style w:type="paragraph" w:styleId="Footer">
    <w:name w:val="footer"/>
    <w:basedOn w:val="Normal"/>
    <w:link w:val="FooterChar"/>
    <w:uiPriority w:val="99"/>
    <w:unhideWhenUsed/>
    <w:rsid w:val="00174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C87"/>
    <w:rPr>
      <w:rFonts w:ascii="Candara" w:hAnsi="Candara"/>
      <w:color w:val="000000" w:themeColor="text1"/>
    </w:rPr>
  </w:style>
  <w:style w:type="character" w:customStyle="1" w:styleId="Heading6Char">
    <w:name w:val="Heading 6 Char"/>
    <w:basedOn w:val="DefaultParagraphFont"/>
    <w:link w:val="Heading6"/>
    <w:uiPriority w:val="9"/>
    <w:rsid w:val="00312B36"/>
    <w:rPr>
      <w:rFonts w:ascii="Candara" w:eastAsiaTheme="majorEastAsia" w:hAnsi="Candara" w:cstheme="majorBidi"/>
      <w:color w:val="366473" w:themeColor="accent5" w:themeShade="80"/>
    </w:rPr>
  </w:style>
  <w:style w:type="character" w:customStyle="1" w:styleId="Heading7Char">
    <w:name w:val="Heading 7 Char"/>
    <w:basedOn w:val="DefaultParagraphFont"/>
    <w:link w:val="Heading7"/>
    <w:uiPriority w:val="9"/>
    <w:rsid w:val="00312B36"/>
    <w:rPr>
      <w:rFonts w:asciiTheme="majorHAnsi" w:eastAsiaTheme="majorEastAsia" w:hAnsiTheme="majorHAnsi" w:cstheme="majorBidi"/>
      <w:i/>
      <w:iCs/>
      <w:color w:val="700D11" w:themeColor="accent1" w:themeShade="7F"/>
    </w:rPr>
  </w:style>
  <w:style w:type="character" w:customStyle="1" w:styleId="Heading8Char">
    <w:name w:val="Heading 8 Char"/>
    <w:basedOn w:val="DefaultParagraphFont"/>
    <w:link w:val="Heading8"/>
    <w:uiPriority w:val="9"/>
    <w:rsid w:val="00312B36"/>
    <w:rPr>
      <w:rFonts w:asciiTheme="majorHAnsi" w:eastAsiaTheme="majorEastAsia" w:hAnsiTheme="majorHAnsi" w:cstheme="majorBidi"/>
      <w:color w:val="272727" w:themeColor="text1" w:themeTint="D8"/>
      <w:sz w:val="21"/>
      <w:szCs w:val="21"/>
    </w:rPr>
  </w:style>
  <w:style w:type="paragraph" w:styleId="Bibliography">
    <w:name w:val="Bibliography"/>
    <w:basedOn w:val="Normal"/>
    <w:next w:val="Normal"/>
    <w:uiPriority w:val="37"/>
    <w:unhideWhenUsed/>
    <w:rsid w:val="00C923B7"/>
  </w:style>
  <w:style w:type="paragraph" w:styleId="BodyText">
    <w:name w:val="Body Text"/>
    <w:basedOn w:val="Normal"/>
    <w:link w:val="BodyTextChar"/>
    <w:uiPriority w:val="99"/>
    <w:unhideWhenUsed/>
    <w:rsid w:val="0058794C"/>
    <w:pPr>
      <w:spacing w:after="120"/>
    </w:pPr>
  </w:style>
  <w:style w:type="character" w:customStyle="1" w:styleId="BodyTextChar">
    <w:name w:val="Body Text Char"/>
    <w:basedOn w:val="DefaultParagraphFont"/>
    <w:link w:val="BodyText"/>
    <w:uiPriority w:val="99"/>
    <w:rsid w:val="0058794C"/>
    <w:rPr>
      <w:rFonts w:ascii="Candara" w:hAnsi="Candara"/>
      <w:color w:val="000000" w:themeColor="text1"/>
    </w:rPr>
  </w:style>
  <w:style w:type="paragraph" w:styleId="Revision">
    <w:name w:val="Revision"/>
    <w:hidden/>
    <w:uiPriority w:val="99"/>
    <w:semiHidden/>
    <w:rsid w:val="00D02E32"/>
    <w:pPr>
      <w:spacing w:after="0" w:line="240" w:lineRule="auto"/>
    </w:pPr>
    <w:rPr>
      <w:rFonts w:ascii="Candara" w:hAnsi="Candara"/>
      <w:color w:val="000000" w:themeColor="text1"/>
    </w:rPr>
  </w:style>
  <w:style w:type="character" w:customStyle="1" w:styleId="UnresolvedMention1">
    <w:name w:val="Unresolved Mention1"/>
    <w:basedOn w:val="DefaultParagraphFont"/>
    <w:uiPriority w:val="99"/>
    <w:semiHidden/>
    <w:unhideWhenUsed/>
    <w:rsid w:val="00A40647"/>
    <w:rPr>
      <w:color w:val="605E5C"/>
      <w:shd w:val="clear" w:color="auto" w:fill="E1DFDD"/>
    </w:rPr>
  </w:style>
  <w:style w:type="paragraph" w:customStyle="1" w:styleId="H2">
    <w:name w:val="H2"/>
    <w:basedOn w:val="Heading2"/>
    <w:link w:val="H2Char"/>
    <w:qFormat/>
    <w:rsid w:val="009F63CE"/>
    <w:rPr>
      <w:rFonts w:cs="Arial"/>
    </w:rPr>
  </w:style>
  <w:style w:type="paragraph" w:customStyle="1" w:styleId="H3">
    <w:name w:val="H3"/>
    <w:basedOn w:val="Heading3"/>
    <w:link w:val="H3Char"/>
    <w:qFormat/>
    <w:rsid w:val="009F63CE"/>
    <w:rPr>
      <w:rFonts w:cs="Arial"/>
    </w:rPr>
  </w:style>
  <w:style w:type="character" w:customStyle="1" w:styleId="H2Char">
    <w:name w:val="H2 Char"/>
    <w:basedOn w:val="Heading2Char"/>
    <w:link w:val="H2"/>
    <w:rsid w:val="009F63CE"/>
    <w:rPr>
      <w:rFonts w:ascii="Arial" w:hAnsi="Arial" w:cs="Arial"/>
      <w:color w:val="C00000"/>
      <w:sz w:val="28"/>
    </w:rPr>
  </w:style>
  <w:style w:type="character" w:customStyle="1" w:styleId="H3Char">
    <w:name w:val="H3 Char"/>
    <w:basedOn w:val="Heading3Char"/>
    <w:link w:val="H3"/>
    <w:rsid w:val="009F63CE"/>
    <w:rPr>
      <w:rFonts w:ascii="Arial" w:eastAsiaTheme="majorEastAsia" w:hAnsi="Arial" w:cs="Arial"/>
      <w:bCs/>
      <w:color w:val="808080" w:themeColor="background1" w:themeShade="80"/>
      <w:sz w:val="26"/>
      <w:szCs w:val="24"/>
    </w:rPr>
  </w:style>
  <w:style w:type="paragraph" w:styleId="FootnoteText">
    <w:name w:val="footnote text"/>
    <w:basedOn w:val="Normal"/>
    <w:link w:val="FootnoteTextChar"/>
    <w:uiPriority w:val="99"/>
    <w:semiHidden/>
    <w:unhideWhenUsed/>
    <w:rsid w:val="00D65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38A"/>
    <w:rPr>
      <w:rFonts w:ascii="Arial" w:hAnsi="Arial"/>
      <w:color w:val="000000" w:themeColor="text1"/>
      <w:sz w:val="20"/>
      <w:szCs w:val="20"/>
    </w:rPr>
  </w:style>
  <w:style w:type="character" w:styleId="FootnoteReference">
    <w:name w:val="footnote reference"/>
    <w:basedOn w:val="DefaultParagraphFont"/>
    <w:uiPriority w:val="99"/>
    <w:semiHidden/>
    <w:unhideWhenUsed/>
    <w:rsid w:val="00D6538A"/>
    <w:rPr>
      <w:vertAlign w:val="superscript"/>
    </w:rPr>
  </w:style>
  <w:style w:type="character" w:customStyle="1" w:styleId="UnresolvedMention2">
    <w:name w:val="Unresolved Mention2"/>
    <w:basedOn w:val="DefaultParagraphFont"/>
    <w:uiPriority w:val="99"/>
    <w:semiHidden/>
    <w:unhideWhenUsed/>
    <w:rsid w:val="00384455"/>
    <w:rPr>
      <w:color w:val="605E5C"/>
      <w:shd w:val="clear" w:color="auto" w:fill="E1DFDD"/>
    </w:rPr>
  </w:style>
  <w:style w:type="paragraph" w:customStyle="1" w:styleId="EndNoteBibliography">
    <w:name w:val="EndNote Bibliography"/>
    <w:basedOn w:val="Normal"/>
    <w:link w:val="EndNoteBibliographyChar"/>
    <w:rsid w:val="00282106"/>
    <w:pPr>
      <w:spacing w:after="0" w:line="240" w:lineRule="auto"/>
    </w:pPr>
    <w:rPr>
      <w:rFonts w:ascii="Calibri" w:eastAsia="Calibri" w:hAnsi="Calibri" w:cs="Calibri"/>
      <w:noProof/>
      <w:color w:val="auto"/>
      <w:lang w:val="en-US"/>
    </w:rPr>
  </w:style>
  <w:style w:type="character" w:customStyle="1" w:styleId="EndNoteBibliographyChar">
    <w:name w:val="EndNote Bibliography Char"/>
    <w:basedOn w:val="DefaultParagraphFont"/>
    <w:link w:val="EndNoteBibliography"/>
    <w:rsid w:val="00282106"/>
    <w:rPr>
      <w:rFonts w:ascii="Calibri" w:eastAsia="Calibri" w:hAnsi="Calibri" w:cs="Calibri"/>
      <w:noProof/>
      <w:lang w:val="en-US"/>
    </w:rPr>
  </w:style>
  <w:style w:type="character" w:customStyle="1" w:styleId="UnresolvedMention3">
    <w:name w:val="Unresolved Mention3"/>
    <w:basedOn w:val="DefaultParagraphFont"/>
    <w:uiPriority w:val="99"/>
    <w:semiHidden/>
    <w:unhideWhenUsed/>
    <w:rsid w:val="00282106"/>
    <w:rPr>
      <w:color w:val="605E5C"/>
      <w:shd w:val="clear" w:color="auto" w:fill="E1DFDD"/>
    </w:rPr>
  </w:style>
  <w:style w:type="character" w:styleId="UnresolvedMention">
    <w:name w:val="Unresolved Mention"/>
    <w:basedOn w:val="DefaultParagraphFont"/>
    <w:uiPriority w:val="99"/>
    <w:semiHidden/>
    <w:unhideWhenUsed/>
    <w:rsid w:val="00EA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7940">
      <w:bodyDiv w:val="1"/>
      <w:marLeft w:val="0"/>
      <w:marRight w:val="0"/>
      <w:marTop w:val="0"/>
      <w:marBottom w:val="0"/>
      <w:divBdr>
        <w:top w:val="none" w:sz="0" w:space="0" w:color="auto"/>
        <w:left w:val="none" w:sz="0" w:space="0" w:color="auto"/>
        <w:bottom w:val="none" w:sz="0" w:space="0" w:color="auto"/>
        <w:right w:val="none" w:sz="0" w:space="0" w:color="auto"/>
      </w:divBdr>
    </w:div>
    <w:div w:id="445806491">
      <w:bodyDiv w:val="1"/>
      <w:marLeft w:val="0"/>
      <w:marRight w:val="0"/>
      <w:marTop w:val="0"/>
      <w:marBottom w:val="0"/>
      <w:divBdr>
        <w:top w:val="none" w:sz="0" w:space="0" w:color="auto"/>
        <w:left w:val="none" w:sz="0" w:space="0" w:color="auto"/>
        <w:bottom w:val="none" w:sz="0" w:space="0" w:color="auto"/>
        <w:right w:val="none" w:sz="0" w:space="0" w:color="auto"/>
      </w:divBdr>
    </w:div>
    <w:div w:id="881869985">
      <w:bodyDiv w:val="1"/>
      <w:marLeft w:val="0"/>
      <w:marRight w:val="0"/>
      <w:marTop w:val="0"/>
      <w:marBottom w:val="0"/>
      <w:divBdr>
        <w:top w:val="none" w:sz="0" w:space="0" w:color="auto"/>
        <w:left w:val="none" w:sz="0" w:space="0" w:color="auto"/>
        <w:bottom w:val="none" w:sz="0" w:space="0" w:color="auto"/>
        <w:right w:val="none" w:sz="0" w:space="0" w:color="auto"/>
      </w:divBdr>
    </w:div>
    <w:div w:id="1510217278">
      <w:bodyDiv w:val="1"/>
      <w:marLeft w:val="0"/>
      <w:marRight w:val="0"/>
      <w:marTop w:val="0"/>
      <w:marBottom w:val="0"/>
      <w:divBdr>
        <w:top w:val="none" w:sz="0" w:space="0" w:color="auto"/>
        <w:left w:val="none" w:sz="0" w:space="0" w:color="auto"/>
        <w:bottom w:val="none" w:sz="0" w:space="0" w:color="auto"/>
        <w:right w:val="none" w:sz="0" w:space="0" w:color="auto"/>
      </w:divBdr>
    </w:div>
    <w:div w:id="19505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health.govt.nz/system/files/documents/publications/fetal-and-infant-deaths-2006.pdf" TargetMode="External"/><Relationship Id="rId26" Type="http://schemas.openxmlformats.org/officeDocument/2006/relationships/hyperlink" Target="https://www.gestation.net/cc/about.htm" TargetMode="External"/><Relationship Id="rId39" Type="http://schemas.openxmlformats.org/officeDocument/2006/relationships/hyperlink" Target="https://www.otago.ac.nz/wellington/otago730394.pdf" TargetMode="External"/><Relationship Id="rId21" Type="http://schemas.openxmlformats.org/officeDocument/2006/relationships/hyperlink" Target="http://www.who.int/healthinfo/statistics/indmaternalmortality/en/" TargetMode="External"/><Relationship Id="rId34" Type="http://schemas.openxmlformats.org/officeDocument/2006/relationships/hyperlink" Target="http://pediatrics.aappublications.org/content/133/5/e1482" TargetMode="External"/><Relationship Id="rId42" Type="http://schemas.openxmlformats.org/officeDocument/2006/relationships/hyperlink" Target="http://www.cdc.gov/nchs/data/nvsr/nvsr59/nvsr59_08.pdf" TargetMode="External"/><Relationship Id="rId47" Type="http://schemas.openxmlformats.org/officeDocument/2006/relationships/hyperlink" Target="http://www.health.govt.nz/system/files/documents/publications/mat-dict-v1-0.pdf" TargetMode="External"/><Relationship Id="rId50" Type="http://schemas.openxmlformats.org/officeDocument/2006/relationships/hyperlink" Target="https://ourarchive.otago.ac.nz/bitstream/handle/10523/12432/Fifth%20Annual%20Report%20of%20the%20Perinatal%20and%20Maternal%20Mortality%20Review%20Committee" TargetMode="External"/><Relationship Id="rId55" Type="http://schemas.openxmlformats.org/officeDocument/2006/relationships/hyperlink" Target="http://apps.who.int/iris/bitstream/10665/43444/1/9241563206_eng.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hqsc.govt.nz/our-programmes/mrc/pmmrc" TargetMode="External"/><Relationship Id="rId29" Type="http://schemas.openxmlformats.org/officeDocument/2006/relationships/hyperlink" Target="https://www.health.govt.nz/system/files/documents/publications/observation-mother-baby-immediate-postnatal-period-consensus-statements.pdf" TargetMode="External"/><Relationship Id="rId11" Type="http://schemas.openxmlformats.org/officeDocument/2006/relationships/footnotes" Target="footnotes.xml"/><Relationship Id="rId24" Type="http://schemas.openxmlformats.org/officeDocument/2006/relationships/hyperlink" Target="http://www.aihw.gov.au/publication-detail/?id=6442468086" TargetMode="External"/><Relationship Id="rId32" Type="http://schemas.openxmlformats.org/officeDocument/2006/relationships/hyperlink" Target="http://www.otago.ac.nz/wellington/otago069936.pdf" TargetMode="External"/><Relationship Id="rId37" Type="http://schemas.openxmlformats.org/officeDocument/2006/relationships/hyperlink" Target="http://pediatrics.aappublications.org/content/133/5/e1482" TargetMode="External"/><Relationship Id="rId40" Type="http://schemas.openxmlformats.org/officeDocument/2006/relationships/hyperlink" Target="http://www.publichealth.hscni.net/sites/default/files/Perinatal%20Mortality%202009.pdf" TargetMode="External"/><Relationship Id="rId45" Type="http://schemas.openxmlformats.org/officeDocument/2006/relationships/hyperlink" Target="https://www.health.govt.nz/system/files/documents/publications/referral-glines-jan12.pdf" TargetMode="External"/><Relationship Id="rId53" Type="http://schemas.openxmlformats.org/officeDocument/2006/relationships/hyperlink" Target="http://www.aihw.gov.au/publication-detail/?id=6442468086"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www.publichealth.hscni.net/sites/default/files/Perinatal%20Mortality%202009.pdf" TargetMode="External"/><Relationship Id="rId14" Type="http://schemas.openxmlformats.org/officeDocument/2006/relationships/image" Target="media/image2.png"/><Relationship Id="rId22" Type="http://schemas.openxmlformats.org/officeDocument/2006/relationships/hyperlink" Target="http://apps.who.int/iris/bitstream/10665/70929/1/9789241548458_eng.pdf?ua=1" TargetMode="External"/><Relationship Id="rId27" Type="http://schemas.openxmlformats.org/officeDocument/2006/relationships/hyperlink" Target="https://www.health.govt.nz/system/files/documents/publications/mat-dict-v1-0.pdf" TargetMode="External"/><Relationship Id="rId30" Type="http://schemas.openxmlformats.org/officeDocument/2006/relationships/hyperlink" Target="http://www.otago.ac.nz/wellington/otago069936.pdf" TargetMode="External"/><Relationship Id="rId35" Type="http://schemas.openxmlformats.org/officeDocument/2006/relationships/hyperlink" Target="https://www.hqsc.govt.nz/assets/PMMRC/Publications/First-PMMRC-report-2005-07.pdf" TargetMode="External"/><Relationship Id="rId43" Type="http://schemas.openxmlformats.org/officeDocument/2006/relationships/hyperlink" Target="http://www.publichealth.hscni.net/sites/default/files/Saving%20Mothers'%20Lives%202003-05%20.pdf" TargetMode="External"/><Relationship Id="rId48" Type="http://schemas.openxmlformats.org/officeDocument/2006/relationships/hyperlink" Target="http://www.health.govt.nz/system/files/documents/publications/fetal200304.pdf" TargetMode="External"/><Relationship Id="rId56" Type="http://schemas.openxmlformats.org/officeDocument/2006/relationships/hyperlink" Target="http://apps.who.int/iris/bitstream/10665/70929/1/9789241548458_eng.pdf?ua=1" TargetMode="External"/><Relationship Id="rId8" Type="http://schemas.openxmlformats.org/officeDocument/2006/relationships/styles" Target="styles.xml"/><Relationship Id="rId51" Type="http://schemas.openxmlformats.org/officeDocument/2006/relationships/hyperlink" Target="https://www.hqsc.govt.nz/resources/resource-library/twelfth-annual-report-of-the-perinatal-and-maternal-mortality-review-committe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health.govt.nz/system/files/documents/publications/fetal200304.pdf" TargetMode="External"/><Relationship Id="rId25" Type="http://schemas.openxmlformats.org/officeDocument/2006/relationships/hyperlink" Target="http://www.sciencedirect.com/science/article/pii/S0002937811009616" TargetMode="External"/><Relationship Id="rId33" Type="http://schemas.openxmlformats.org/officeDocument/2006/relationships/hyperlink" Target="http://www.otago.ac.nz/wellington/otago020337.pdf" TargetMode="External"/><Relationship Id="rId38" Type="http://schemas.openxmlformats.org/officeDocument/2006/relationships/hyperlink" Target="http://www.otago.ac.nz/wellington/otago069936.pdf" TargetMode="External"/><Relationship Id="rId46" Type="http://schemas.openxmlformats.org/officeDocument/2006/relationships/hyperlink" Target="https://www.health.govt.nz/publication/hiso-100012017-ethnicity-data-protocols" TargetMode="External"/><Relationship Id="rId59" Type="http://schemas.openxmlformats.org/officeDocument/2006/relationships/footer" Target="footer2.xml"/><Relationship Id="rId20" Type="http://schemas.openxmlformats.org/officeDocument/2006/relationships/hyperlink" Target="http://apps.who.int/iris/bitstream/10665/43444/1/9241563206_eng.pdf" TargetMode="External"/><Relationship Id="rId41" Type="http://schemas.openxmlformats.org/officeDocument/2006/relationships/hyperlink" Target="http://www.sciencedirect.com/science/article/pii/S0002937811009616" TargetMode="External"/><Relationship Id="rId54" Type="http://schemas.openxmlformats.org/officeDocument/2006/relationships/hyperlink" Target="https://www.who.int/data/gho/indicator-metadata-registry/imr-details/2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hyperlink" Target="http://www.publichealth.hscni.net/sites/default/files/Saving%20Mothers'%20Lives%202003-05%20.pdf" TargetMode="External"/><Relationship Id="rId28" Type="http://schemas.openxmlformats.org/officeDocument/2006/relationships/hyperlink" Target="https://www.health.govt.nz/publication/hiso-100012017-ethnicity-data-protocols" TargetMode="External"/><Relationship Id="rId36" Type="http://schemas.openxmlformats.org/officeDocument/2006/relationships/hyperlink" Target="https://www.hqsc.govt.nz/assets/PMMRC/Publications/Fifth-PMMRC-report-2009-Lkd.pdf" TargetMode="External"/><Relationship Id="rId49" Type="http://schemas.openxmlformats.org/officeDocument/2006/relationships/hyperlink" Target="https://www.moh.govt.nz/notebook/nbbooks.nsf/0/0482427869B6BD5ACC257391006D02C7/$file/Perinatal%20and%20Maternal%20Mortality%20First%20annual%20report%202005-07.pdf" TargetMode="External"/><Relationship Id="rId57"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hyperlink" Target="http://www.otago.ac.nz/wellington/otago020337.pdf" TargetMode="External"/><Relationship Id="rId44" Type="http://schemas.openxmlformats.org/officeDocument/2006/relationships/hyperlink" Target="http://www.health.govt.nz/system/files/documents/publications/fetal-and-infant-deaths-2006.pdf" TargetMode="External"/><Relationship Id="rId52" Type="http://schemas.openxmlformats.org/officeDocument/2006/relationships/hyperlink" Target="http://www.otago.ac.nz/wellington/otago020337.pdf"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sanda.psanz.com.au/assets/Uploads/Appendix-U-Changes-in-this-version-of-the-classifications.pdf" TargetMode="External"/><Relationship Id="rId1" Type="http://schemas.openxmlformats.org/officeDocument/2006/relationships/hyperlink" Target="https://www.legislation.govt.nz/act/public/1995/0016/latest/who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PMMRC">
      <a:dk1>
        <a:sysClr val="windowText" lastClr="000000"/>
      </a:dk1>
      <a:lt1>
        <a:sysClr val="window" lastClr="FFFFFF"/>
      </a:lt1>
      <a:dk2>
        <a:srgbClr val="1F497D"/>
      </a:dk2>
      <a:lt2>
        <a:srgbClr val="EEECE1"/>
      </a:lt2>
      <a:accent1>
        <a:srgbClr val="E31B23"/>
      </a:accent1>
      <a:accent2>
        <a:srgbClr val="B0B7BC"/>
      </a:accent2>
      <a:accent3>
        <a:srgbClr val="006F86"/>
      </a:accent3>
      <a:accent4>
        <a:srgbClr val="F09377"/>
      </a:accent4>
      <a:accent5>
        <a:srgbClr val="8BB9C8"/>
      </a:accent5>
      <a:accent6>
        <a:srgbClr val="D4A67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6" ma:contentTypeDescription="Use this content type to classify and store documents on HQSC DMS website" ma:contentTypeScope="" ma:versionID="24235ae737b57bfba445f619a19e62da">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ca01054efa53512b886ea0d866fd41b5"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
        <AccountId xsi:nil="true"/>
        <AccountType/>
      </UserInfo>
    </SharedWithUsers>
    <lcf76f155ced4ddcb4097134ff3c332f xmlns="7195f19f-1c08-4647-b11c-ef8ab36169e7">
      <Terms xmlns="http://schemas.microsoft.com/office/infopath/2007/PartnerControls"/>
    </lcf76f155ced4ddcb4097134ff3c332f>
    <TaxCatchAll xmlns="bef9904b-9bca-4a1b-aca3-78dad2044d15" xsi:nil="true"/>
    <_dlc_DocId xmlns="bef9904b-9bca-4a1b-aca3-78dad2044d15">DOCS-665714289-64307</_dlc_DocId>
    <_dlc_DocIdUrl xmlns="bef9904b-9bca-4a1b-aca3-78dad2044d15">
      <Url>https://hqsc.sharepoint.com/sites/dms-comms/_layouts/15/DocIdRedir.aspx?ID=DOCS-665714289-64307</Url>
      <Description>DOCS-665714289-64307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EF1E3-C048-49CB-A6CF-F210C3DF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07319-B312-4E58-B9D0-CCA84B760ED0}">
  <ds:schemaRefs>
    <ds:schemaRef ds:uri="Microsoft.SharePoint.Taxonomy.ContentTypeSync"/>
  </ds:schemaRefs>
</ds:datastoreItem>
</file>

<file path=customXml/itemProps3.xml><?xml version="1.0" encoding="utf-8"?>
<ds:datastoreItem xmlns:ds="http://schemas.openxmlformats.org/officeDocument/2006/customXml" ds:itemID="{B2AC9C1B-9DEC-4E89-899F-02B36781B360}">
  <ds:schemaRefs>
    <ds:schemaRef ds:uri="http://schemas.openxmlformats.org/officeDocument/2006/bibliography"/>
  </ds:schemaRefs>
</ds:datastoreItem>
</file>

<file path=customXml/itemProps4.xml><?xml version="1.0" encoding="utf-8"?>
<ds:datastoreItem xmlns:ds="http://schemas.openxmlformats.org/officeDocument/2006/customXml" ds:itemID="{7F7741A0-BF5D-4894-9D3D-9F45D364310F}">
  <ds:schemaRefs>
    <ds:schemaRef ds:uri="http://schemas.microsoft.com/office/2006/metadata/properties"/>
    <ds:schemaRef ds:uri="http://schemas.microsoft.com/office/infopath/2007/PartnerControls"/>
    <ds:schemaRef ds:uri="bef9904b-9bca-4a1b-aca3-78dad2044d15"/>
    <ds:schemaRef ds:uri="7195f19f-1c08-4647-b11c-ef8ab36169e7"/>
  </ds:schemaRefs>
</ds:datastoreItem>
</file>

<file path=customXml/itemProps5.xml><?xml version="1.0" encoding="utf-8"?>
<ds:datastoreItem xmlns:ds="http://schemas.openxmlformats.org/officeDocument/2006/customXml" ds:itemID="{756419AB-F1E7-4CA2-AE3E-1F3E003000D3}">
  <ds:schemaRefs>
    <ds:schemaRef ds:uri="http://schemas.microsoft.com/sharepoint/events"/>
  </ds:schemaRefs>
</ds:datastoreItem>
</file>

<file path=customXml/itemProps6.xml><?xml version="1.0" encoding="utf-8"?>
<ds:datastoreItem xmlns:ds="http://schemas.openxmlformats.org/officeDocument/2006/customXml" ds:itemID="{67B1FB74-A2BF-47BF-A432-F9965C98E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8233</Words>
  <Characters>46931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NZMRDG</dc:creator>
  <cp:lastModifiedBy>Jocasta Whittingham</cp:lastModifiedBy>
  <cp:revision>14</cp:revision>
  <cp:lastPrinted>2022-11-30T21:08:00Z</cp:lastPrinted>
  <dcterms:created xsi:type="dcterms:W3CDTF">2022-11-30T20:41:00Z</dcterms:created>
  <dcterms:modified xsi:type="dcterms:W3CDTF">2022-11-30T21:08:00Z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_NewReviewCycle">
    <vt:lpwstr/>
  </property>
  <property fmtid="{D5CDD505-2E9C-101B-9397-08002B2CF9AE}" pid="4" name="Order">
    <vt:r8>1305400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_dlc_DocIdItemGuid">
    <vt:lpwstr>caadca2f-4ded-407b-b384-205a540914e4</vt:lpwstr>
  </property>
</Properties>
</file>