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7B02" w14:textId="2AEC4ECA" w:rsidR="00593614" w:rsidRPr="005F494E" w:rsidRDefault="00080362" w:rsidP="00080362">
      <w:pPr>
        <w:pStyle w:val="Title"/>
        <w:jc w:val="left"/>
        <w:rPr>
          <w:rFonts w:cs="Arial"/>
          <w:sz w:val="28"/>
          <w:szCs w:val="28"/>
        </w:rPr>
      </w:pPr>
      <w:r>
        <w:rPr>
          <w:noProof/>
        </w:rPr>
        <w:drawing>
          <wp:anchor distT="0" distB="0" distL="114300" distR="114300" simplePos="0" relativeHeight="251664896" behindDoc="0" locked="0" layoutInCell="1" allowOverlap="1" wp14:anchorId="27063893" wp14:editId="7AD8729C">
            <wp:simplePos x="0" y="0"/>
            <wp:positionH relativeFrom="column">
              <wp:posOffset>3014980</wp:posOffset>
            </wp:positionH>
            <wp:positionV relativeFrom="paragraph">
              <wp:posOffset>227965</wp:posOffset>
            </wp:positionV>
            <wp:extent cx="2523600" cy="4229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3600" cy="422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614" w:rsidRPr="00223F77">
        <w:rPr>
          <w:rFonts w:cs="Arial"/>
          <w:b/>
          <w:noProof/>
          <w:sz w:val="28"/>
          <w:szCs w:val="28"/>
          <w:lang w:eastAsia="en-NZ"/>
        </w:rPr>
        <w:drawing>
          <wp:inline distT="0" distB="0" distL="0" distR="0" wp14:anchorId="13DCDBFF" wp14:editId="400BA00B">
            <wp:extent cx="2525119" cy="74696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SC_LOGO_Colour_FullVersion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5940" cy="750162"/>
                    </a:xfrm>
                    <a:prstGeom prst="rect">
                      <a:avLst/>
                    </a:prstGeom>
                  </pic:spPr>
                </pic:pic>
              </a:graphicData>
            </a:graphic>
          </wp:inline>
        </w:drawing>
      </w:r>
    </w:p>
    <w:p w14:paraId="1664A3AB" w14:textId="30D43DF1" w:rsidR="00593614" w:rsidRDefault="00593614" w:rsidP="005676C9">
      <w:pPr>
        <w:pStyle w:val="Title"/>
        <w:rPr>
          <w:rFonts w:cs="Arial"/>
          <w:sz w:val="28"/>
          <w:szCs w:val="28"/>
        </w:rPr>
      </w:pPr>
    </w:p>
    <w:p w14:paraId="595915E6" w14:textId="77777777" w:rsidR="005F494E" w:rsidRPr="005F494E" w:rsidRDefault="005F494E" w:rsidP="005F494E">
      <w:pPr>
        <w:pStyle w:val="Title"/>
        <w:rPr>
          <w:sz w:val="28"/>
          <w:szCs w:val="28"/>
        </w:rPr>
      </w:pPr>
    </w:p>
    <w:p w14:paraId="529ADF0B" w14:textId="2ABBD516" w:rsidR="00040D7A" w:rsidRPr="00080362" w:rsidRDefault="00391C18" w:rsidP="00080362">
      <w:pPr>
        <w:pStyle w:val="Title"/>
        <w:rPr>
          <w:b/>
        </w:rPr>
      </w:pPr>
      <w:r>
        <w:rPr>
          <w:b/>
        </w:rPr>
        <w:t xml:space="preserve">Safer surgery journal articles </w:t>
      </w:r>
      <w:r>
        <w:rPr>
          <w:b/>
        </w:rPr>
        <w:br/>
        <w:t>(short version)</w:t>
      </w:r>
    </w:p>
    <w:p w14:paraId="1A6B94AC" w14:textId="77777777" w:rsidR="00040D7A" w:rsidRPr="00AF1728" w:rsidRDefault="00040D7A">
      <w:pPr>
        <w:rPr>
          <w:rFonts w:cs="Arial"/>
        </w:rPr>
      </w:pPr>
    </w:p>
    <w:p w14:paraId="2C333EA3" w14:textId="77777777" w:rsidR="005676C9" w:rsidRPr="00AF1728" w:rsidRDefault="005676C9">
      <w:pPr>
        <w:rPr>
          <w:rFonts w:cs="Arial"/>
        </w:rPr>
      </w:pPr>
    </w:p>
    <w:p w14:paraId="597F70DA" w14:textId="77777777" w:rsidR="005676C9" w:rsidRPr="00AF1728" w:rsidRDefault="005676C9">
      <w:pPr>
        <w:rPr>
          <w:rFonts w:cs="Arial"/>
        </w:rPr>
      </w:pPr>
    </w:p>
    <w:p w14:paraId="091953E9" w14:textId="77777777" w:rsidR="005676C9" w:rsidRPr="00AF1728" w:rsidRDefault="005676C9">
      <w:pPr>
        <w:rPr>
          <w:rFonts w:cs="Arial"/>
        </w:rPr>
      </w:pPr>
    </w:p>
    <w:p w14:paraId="2BB4B6A9" w14:textId="77777777" w:rsidR="005676C9" w:rsidRPr="00AF1728" w:rsidRDefault="005676C9">
      <w:pPr>
        <w:rPr>
          <w:rFonts w:cs="Arial"/>
        </w:rPr>
      </w:pPr>
    </w:p>
    <w:p w14:paraId="4ED040E5" w14:textId="77777777" w:rsidR="005676C9" w:rsidRPr="00AF1728" w:rsidRDefault="005676C9">
      <w:pPr>
        <w:rPr>
          <w:rFonts w:cs="Arial"/>
        </w:rPr>
      </w:pPr>
    </w:p>
    <w:p w14:paraId="26566051" w14:textId="77777777" w:rsidR="005676C9" w:rsidRPr="00AF1728" w:rsidRDefault="005676C9">
      <w:pPr>
        <w:rPr>
          <w:rFonts w:cs="Arial"/>
        </w:rPr>
      </w:pPr>
    </w:p>
    <w:p w14:paraId="5AB9D612" w14:textId="77777777" w:rsidR="005676C9" w:rsidRPr="00AF1728" w:rsidRDefault="005676C9">
      <w:pPr>
        <w:rPr>
          <w:rFonts w:cs="Arial"/>
        </w:rPr>
      </w:pPr>
    </w:p>
    <w:p w14:paraId="265657CB" w14:textId="77777777" w:rsidR="00B92B26" w:rsidRPr="00AF1728" w:rsidRDefault="00B92B26">
      <w:pPr>
        <w:rPr>
          <w:rFonts w:cs="Arial"/>
        </w:rPr>
      </w:pPr>
    </w:p>
    <w:p w14:paraId="5972C5C2" w14:textId="77777777" w:rsidR="00B92B26" w:rsidRPr="00AF1728" w:rsidRDefault="00B92B26">
      <w:pPr>
        <w:rPr>
          <w:rFonts w:cs="Arial"/>
        </w:rPr>
      </w:pPr>
    </w:p>
    <w:p w14:paraId="23199A77" w14:textId="77777777" w:rsidR="00B92B26" w:rsidRPr="00AF1728" w:rsidRDefault="00B92B26">
      <w:pPr>
        <w:rPr>
          <w:rFonts w:cs="Arial"/>
        </w:rPr>
      </w:pPr>
    </w:p>
    <w:p w14:paraId="28478BCB" w14:textId="77777777" w:rsidR="00B92B26" w:rsidRPr="00AF1728" w:rsidRDefault="00B92B26">
      <w:pPr>
        <w:rPr>
          <w:rFonts w:cs="Arial"/>
        </w:rPr>
      </w:pPr>
    </w:p>
    <w:p w14:paraId="7CBF113C" w14:textId="77777777" w:rsidR="00B92B26" w:rsidRPr="00AF1728" w:rsidRDefault="00B92B26">
      <w:pPr>
        <w:rPr>
          <w:rFonts w:cs="Arial"/>
        </w:rPr>
      </w:pPr>
    </w:p>
    <w:p w14:paraId="3AE16A1C" w14:textId="77777777" w:rsidR="00080362" w:rsidRDefault="00080362" w:rsidP="00275D30">
      <w:pPr>
        <w:pStyle w:val="Subtitle"/>
      </w:pPr>
    </w:p>
    <w:p w14:paraId="3541CF62" w14:textId="77777777" w:rsidR="00080362" w:rsidRDefault="00080362" w:rsidP="00275D30">
      <w:pPr>
        <w:pStyle w:val="Subtitle"/>
      </w:pPr>
    </w:p>
    <w:p w14:paraId="5F4CAB3E" w14:textId="77777777" w:rsidR="00080362" w:rsidRDefault="00080362" w:rsidP="00275D30">
      <w:pPr>
        <w:pStyle w:val="Subtitle"/>
      </w:pPr>
    </w:p>
    <w:p w14:paraId="3FE341F4" w14:textId="77777777" w:rsidR="00080362" w:rsidRDefault="00080362" w:rsidP="00275D30">
      <w:pPr>
        <w:pStyle w:val="Subtitle"/>
      </w:pPr>
    </w:p>
    <w:p w14:paraId="42EEB7B3" w14:textId="77777777" w:rsidR="00080362" w:rsidRDefault="00080362" w:rsidP="00275D30">
      <w:pPr>
        <w:pStyle w:val="Subtitle"/>
      </w:pPr>
    </w:p>
    <w:p w14:paraId="2DB417D3" w14:textId="77777777" w:rsidR="00080362" w:rsidRDefault="00080362" w:rsidP="00275D30">
      <w:pPr>
        <w:pStyle w:val="Subtitle"/>
      </w:pPr>
    </w:p>
    <w:p w14:paraId="12A0EFA8" w14:textId="77777777" w:rsidR="00080362" w:rsidRDefault="00080362" w:rsidP="00275D30">
      <w:pPr>
        <w:pStyle w:val="Subtitle"/>
      </w:pPr>
    </w:p>
    <w:p w14:paraId="5C722B8C" w14:textId="77777777" w:rsidR="00080362" w:rsidRDefault="00080362" w:rsidP="00275D30">
      <w:pPr>
        <w:pStyle w:val="Subtitle"/>
      </w:pPr>
    </w:p>
    <w:p w14:paraId="49053723" w14:textId="34D374E0" w:rsidR="00B92B26" w:rsidRPr="00080362" w:rsidRDefault="00391C18" w:rsidP="00080362">
      <w:pPr>
        <w:jc w:val="center"/>
        <w:rPr>
          <w:sz w:val="32"/>
          <w:szCs w:val="32"/>
        </w:rPr>
      </w:pPr>
      <w:r>
        <w:rPr>
          <w:sz w:val="32"/>
          <w:szCs w:val="32"/>
        </w:rPr>
        <w:t xml:space="preserve">Update </w:t>
      </w:r>
      <w:r w:rsidR="00080362">
        <w:rPr>
          <w:sz w:val="32"/>
          <w:szCs w:val="32"/>
        </w:rPr>
        <w:t>August</w:t>
      </w:r>
      <w:r w:rsidR="007B4F28" w:rsidRPr="00080362">
        <w:rPr>
          <w:sz w:val="32"/>
          <w:szCs w:val="32"/>
        </w:rPr>
        <w:t xml:space="preserve"> 2021</w:t>
      </w:r>
    </w:p>
    <w:p w14:paraId="40CCBB4A" w14:textId="2C869B48" w:rsidR="00593614" w:rsidRPr="00AF1728" w:rsidRDefault="00593614" w:rsidP="00896E71">
      <w:pPr>
        <w:pStyle w:val="H1evidencesummary"/>
        <w:rPr>
          <w:rFonts w:eastAsia="Times New Roman"/>
          <w:bCs/>
          <w:sz w:val="24"/>
        </w:rPr>
      </w:pPr>
      <w:bookmarkStart w:id="0" w:name="_Toc69911426"/>
      <w:bookmarkStart w:id="1" w:name="_Toc77690495"/>
      <w:bookmarkStart w:id="2" w:name="_Toc79066221"/>
      <w:r>
        <w:lastRenderedPageBreak/>
        <w:t>Contents</w:t>
      </w:r>
      <w:bookmarkEnd w:id="0"/>
      <w:bookmarkEnd w:id="1"/>
      <w:bookmarkEnd w:id="2"/>
      <w:r>
        <w:t xml:space="preserve"> </w:t>
      </w:r>
    </w:p>
    <w:sdt>
      <w:sdtPr>
        <w:id w:val="634683461"/>
        <w:docPartObj>
          <w:docPartGallery w:val="Table of Contents"/>
          <w:docPartUnique/>
        </w:docPartObj>
      </w:sdtPr>
      <w:sdtEndPr>
        <w:rPr>
          <w:b/>
          <w:bCs/>
        </w:rPr>
      </w:sdtEndPr>
      <w:sdtContent>
        <w:p w14:paraId="6CB05E53" w14:textId="6CB407CE" w:rsidR="00391C18" w:rsidRDefault="00593614">
          <w:pPr>
            <w:pStyle w:val="TOC1"/>
            <w:rPr>
              <w:rFonts w:asciiTheme="minorHAnsi" w:eastAsiaTheme="minorEastAsia" w:hAnsiTheme="minorHAnsi" w:cstheme="minorBidi"/>
              <w:color w:val="auto"/>
              <w:lang w:eastAsia="en-NZ"/>
            </w:rPr>
          </w:pPr>
          <w:r>
            <w:fldChar w:fldCharType="begin"/>
          </w:r>
          <w:r w:rsidRPr="00593614">
            <w:instrText xml:space="preserve"> TOC \h \z \t "H1 evidence summary,1,H2 evidence summary,2,H3 evidence summary,3" </w:instrText>
          </w:r>
          <w:r>
            <w:fldChar w:fldCharType="separate"/>
          </w:r>
          <w:hyperlink w:anchor="_Toc79066223" w:history="1">
            <w:r w:rsidR="00391C18" w:rsidRPr="000E6A35">
              <w:rPr>
                <w:rStyle w:val="Hyperlink"/>
              </w:rPr>
              <w:t>Introduction</w:t>
            </w:r>
            <w:r w:rsidR="00391C18">
              <w:rPr>
                <w:webHidden/>
              </w:rPr>
              <w:tab/>
            </w:r>
            <w:r w:rsidR="00391C18">
              <w:rPr>
                <w:webHidden/>
              </w:rPr>
              <w:fldChar w:fldCharType="begin"/>
            </w:r>
            <w:r w:rsidR="00391C18">
              <w:rPr>
                <w:webHidden/>
              </w:rPr>
              <w:instrText xml:space="preserve"> PAGEREF _Toc79066223 \h </w:instrText>
            </w:r>
            <w:r w:rsidR="00391C18">
              <w:rPr>
                <w:webHidden/>
              </w:rPr>
            </w:r>
            <w:r w:rsidR="00391C18">
              <w:rPr>
                <w:webHidden/>
              </w:rPr>
              <w:fldChar w:fldCharType="separate"/>
            </w:r>
            <w:r w:rsidR="00481E9F">
              <w:rPr>
                <w:webHidden/>
              </w:rPr>
              <w:t>3</w:t>
            </w:r>
            <w:r w:rsidR="00391C18">
              <w:rPr>
                <w:webHidden/>
              </w:rPr>
              <w:fldChar w:fldCharType="end"/>
            </w:r>
          </w:hyperlink>
        </w:p>
        <w:p w14:paraId="451F960E" w14:textId="3602F5D8" w:rsidR="00391C18" w:rsidRDefault="00481E9F">
          <w:pPr>
            <w:pStyle w:val="TOC1"/>
            <w:rPr>
              <w:rFonts w:asciiTheme="minorHAnsi" w:eastAsiaTheme="minorEastAsia" w:hAnsiTheme="minorHAnsi" w:cstheme="minorBidi"/>
              <w:color w:val="auto"/>
              <w:lang w:eastAsia="en-NZ"/>
            </w:rPr>
          </w:pPr>
          <w:hyperlink w:anchor="_Toc79066224" w:history="1">
            <w:r w:rsidR="00391C18" w:rsidRPr="000E6A35">
              <w:rPr>
                <w:rStyle w:val="Hyperlink"/>
              </w:rPr>
              <w:t>Summary of the evidence presented below</w:t>
            </w:r>
            <w:r w:rsidR="00391C18">
              <w:rPr>
                <w:webHidden/>
              </w:rPr>
              <w:tab/>
            </w:r>
            <w:r w:rsidR="00391C18">
              <w:rPr>
                <w:webHidden/>
              </w:rPr>
              <w:fldChar w:fldCharType="begin"/>
            </w:r>
            <w:r w:rsidR="00391C18">
              <w:rPr>
                <w:webHidden/>
              </w:rPr>
              <w:instrText xml:space="preserve"> PAGEREF _Toc79066224 \h </w:instrText>
            </w:r>
            <w:r w:rsidR="00391C18">
              <w:rPr>
                <w:webHidden/>
              </w:rPr>
            </w:r>
            <w:r w:rsidR="00391C18">
              <w:rPr>
                <w:webHidden/>
              </w:rPr>
              <w:fldChar w:fldCharType="separate"/>
            </w:r>
            <w:r>
              <w:rPr>
                <w:webHidden/>
              </w:rPr>
              <w:t>3</w:t>
            </w:r>
            <w:r w:rsidR="00391C18">
              <w:rPr>
                <w:webHidden/>
              </w:rPr>
              <w:fldChar w:fldCharType="end"/>
            </w:r>
          </w:hyperlink>
        </w:p>
        <w:p w14:paraId="67CC7352" w14:textId="114BD16B" w:rsidR="00391C18" w:rsidRDefault="00481E9F">
          <w:pPr>
            <w:pStyle w:val="TOC1"/>
            <w:rPr>
              <w:rFonts w:asciiTheme="minorHAnsi" w:eastAsiaTheme="minorEastAsia" w:hAnsiTheme="minorHAnsi" w:cstheme="minorBidi"/>
              <w:color w:val="auto"/>
              <w:lang w:eastAsia="en-NZ"/>
            </w:rPr>
          </w:pPr>
          <w:hyperlink w:anchor="_Toc79066225" w:history="1">
            <w:r w:rsidR="00391C18" w:rsidRPr="000E6A35">
              <w:rPr>
                <w:rStyle w:val="Hyperlink"/>
              </w:rPr>
              <w:t>The World Health Organization Surgical Safety Checklist and safer surgery</w:t>
            </w:r>
            <w:r w:rsidR="00391C18">
              <w:rPr>
                <w:webHidden/>
              </w:rPr>
              <w:tab/>
            </w:r>
            <w:r w:rsidR="00391C18">
              <w:rPr>
                <w:webHidden/>
              </w:rPr>
              <w:fldChar w:fldCharType="begin"/>
            </w:r>
            <w:r w:rsidR="00391C18">
              <w:rPr>
                <w:webHidden/>
              </w:rPr>
              <w:instrText xml:space="preserve"> PAGEREF _Toc79066225 \h </w:instrText>
            </w:r>
            <w:r w:rsidR="00391C18">
              <w:rPr>
                <w:webHidden/>
              </w:rPr>
            </w:r>
            <w:r w:rsidR="00391C18">
              <w:rPr>
                <w:webHidden/>
              </w:rPr>
              <w:fldChar w:fldCharType="separate"/>
            </w:r>
            <w:r>
              <w:rPr>
                <w:webHidden/>
              </w:rPr>
              <w:t>4</w:t>
            </w:r>
            <w:r w:rsidR="00391C18">
              <w:rPr>
                <w:webHidden/>
              </w:rPr>
              <w:fldChar w:fldCharType="end"/>
            </w:r>
          </w:hyperlink>
        </w:p>
        <w:p w14:paraId="297101A2" w14:textId="38F282B7" w:rsidR="00391C18" w:rsidRDefault="00481E9F">
          <w:pPr>
            <w:pStyle w:val="TOC1"/>
            <w:rPr>
              <w:rFonts w:asciiTheme="minorHAnsi" w:eastAsiaTheme="minorEastAsia" w:hAnsiTheme="minorHAnsi" w:cstheme="minorBidi"/>
              <w:color w:val="auto"/>
              <w:lang w:eastAsia="en-NZ"/>
            </w:rPr>
          </w:pPr>
          <w:hyperlink w:anchor="_Toc79066226" w:history="1">
            <w:r w:rsidR="00391C18" w:rsidRPr="000E6A35">
              <w:rPr>
                <w:rStyle w:val="Hyperlink"/>
              </w:rPr>
              <w:t>Team training and safer surgery</w:t>
            </w:r>
            <w:r w:rsidR="00391C18">
              <w:rPr>
                <w:webHidden/>
              </w:rPr>
              <w:tab/>
            </w:r>
            <w:r w:rsidR="00391C18">
              <w:rPr>
                <w:webHidden/>
              </w:rPr>
              <w:fldChar w:fldCharType="begin"/>
            </w:r>
            <w:r w:rsidR="00391C18">
              <w:rPr>
                <w:webHidden/>
              </w:rPr>
              <w:instrText xml:space="preserve"> PAGEREF _Toc79066226 \h </w:instrText>
            </w:r>
            <w:r w:rsidR="00391C18">
              <w:rPr>
                <w:webHidden/>
              </w:rPr>
            </w:r>
            <w:r w:rsidR="00391C18">
              <w:rPr>
                <w:webHidden/>
              </w:rPr>
              <w:fldChar w:fldCharType="separate"/>
            </w:r>
            <w:r>
              <w:rPr>
                <w:webHidden/>
              </w:rPr>
              <w:t>6</w:t>
            </w:r>
            <w:r w:rsidR="00391C18">
              <w:rPr>
                <w:webHidden/>
              </w:rPr>
              <w:fldChar w:fldCharType="end"/>
            </w:r>
          </w:hyperlink>
        </w:p>
        <w:p w14:paraId="6F586C74" w14:textId="30B484A5" w:rsidR="00391C18" w:rsidRDefault="00481E9F">
          <w:pPr>
            <w:pStyle w:val="TOC1"/>
            <w:rPr>
              <w:rFonts w:asciiTheme="minorHAnsi" w:eastAsiaTheme="minorEastAsia" w:hAnsiTheme="minorHAnsi" w:cstheme="minorBidi"/>
              <w:color w:val="auto"/>
              <w:lang w:eastAsia="en-NZ"/>
            </w:rPr>
          </w:pPr>
          <w:hyperlink w:anchor="_Toc79066227" w:history="1">
            <w:r w:rsidR="00391C18" w:rsidRPr="000E6A35">
              <w:rPr>
                <w:rStyle w:val="Hyperlink"/>
              </w:rPr>
              <w:t>Briefing/debriefing and safer surgery</w:t>
            </w:r>
            <w:r w:rsidR="00391C18">
              <w:rPr>
                <w:webHidden/>
              </w:rPr>
              <w:tab/>
            </w:r>
            <w:r w:rsidR="00391C18">
              <w:rPr>
                <w:webHidden/>
              </w:rPr>
              <w:fldChar w:fldCharType="begin"/>
            </w:r>
            <w:r w:rsidR="00391C18">
              <w:rPr>
                <w:webHidden/>
              </w:rPr>
              <w:instrText xml:space="preserve"> PAGEREF _Toc79066227 \h </w:instrText>
            </w:r>
            <w:r w:rsidR="00391C18">
              <w:rPr>
                <w:webHidden/>
              </w:rPr>
            </w:r>
            <w:r w:rsidR="00391C18">
              <w:rPr>
                <w:webHidden/>
              </w:rPr>
              <w:fldChar w:fldCharType="separate"/>
            </w:r>
            <w:r>
              <w:rPr>
                <w:webHidden/>
              </w:rPr>
              <w:t>7</w:t>
            </w:r>
            <w:r w:rsidR="00391C18">
              <w:rPr>
                <w:webHidden/>
              </w:rPr>
              <w:fldChar w:fldCharType="end"/>
            </w:r>
          </w:hyperlink>
        </w:p>
        <w:p w14:paraId="2E459EB8" w14:textId="089C8ECF" w:rsidR="00391C18" w:rsidRDefault="00481E9F">
          <w:pPr>
            <w:pStyle w:val="TOC1"/>
            <w:rPr>
              <w:rFonts w:asciiTheme="minorHAnsi" w:eastAsiaTheme="minorEastAsia" w:hAnsiTheme="minorHAnsi" w:cstheme="minorBidi"/>
              <w:color w:val="auto"/>
              <w:lang w:eastAsia="en-NZ"/>
            </w:rPr>
          </w:pPr>
          <w:hyperlink w:anchor="_Toc79066228" w:history="1">
            <w:r w:rsidR="00391C18" w:rsidRPr="000E6A35">
              <w:rPr>
                <w:rStyle w:val="Hyperlink"/>
              </w:rPr>
              <w:t>Team communication and safer surgery</w:t>
            </w:r>
            <w:r w:rsidR="00391C18">
              <w:rPr>
                <w:webHidden/>
              </w:rPr>
              <w:tab/>
            </w:r>
            <w:r w:rsidR="00391C18">
              <w:rPr>
                <w:webHidden/>
              </w:rPr>
              <w:fldChar w:fldCharType="begin"/>
            </w:r>
            <w:r w:rsidR="00391C18">
              <w:rPr>
                <w:webHidden/>
              </w:rPr>
              <w:instrText xml:space="preserve"> PAGEREF _Toc79066228 \h </w:instrText>
            </w:r>
            <w:r w:rsidR="00391C18">
              <w:rPr>
                <w:webHidden/>
              </w:rPr>
            </w:r>
            <w:r w:rsidR="00391C18">
              <w:rPr>
                <w:webHidden/>
              </w:rPr>
              <w:fldChar w:fldCharType="separate"/>
            </w:r>
            <w:r>
              <w:rPr>
                <w:webHidden/>
              </w:rPr>
              <w:t>8</w:t>
            </w:r>
            <w:r w:rsidR="00391C18">
              <w:rPr>
                <w:webHidden/>
              </w:rPr>
              <w:fldChar w:fldCharType="end"/>
            </w:r>
          </w:hyperlink>
        </w:p>
        <w:p w14:paraId="3FE6C6FF" w14:textId="41F76A90" w:rsidR="00391C18" w:rsidRDefault="00481E9F">
          <w:pPr>
            <w:pStyle w:val="TOC1"/>
            <w:rPr>
              <w:rFonts w:asciiTheme="minorHAnsi" w:eastAsiaTheme="minorEastAsia" w:hAnsiTheme="minorHAnsi" w:cstheme="minorBidi"/>
              <w:color w:val="auto"/>
              <w:lang w:eastAsia="en-NZ"/>
            </w:rPr>
          </w:pPr>
          <w:hyperlink w:anchor="_Toc79066229" w:history="1">
            <w:r w:rsidR="00391C18" w:rsidRPr="000E6A35">
              <w:rPr>
                <w:rStyle w:val="Hyperlink"/>
              </w:rPr>
              <w:t>Simulation team training and safer surgery</w:t>
            </w:r>
            <w:r w:rsidR="00391C18">
              <w:rPr>
                <w:webHidden/>
              </w:rPr>
              <w:tab/>
            </w:r>
            <w:r w:rsidR="00391C18">
              <w:rPr>
                <w:webHidden/>
              </w:rPr>
              <w:fldChar w:fldCharType="begin"/>
            </w:r>
            <w:r w:rsidR="00391C18">
              <w:rPr>
                <w:webHidden/>
              </w:rPr>
              <w:instrText xml:space="preserve"> PAGEREF _Toc79066229 \h </w:instrText>
            </w:r>
            <w:r w:rsidR="00391C18">
              <w:rPr>
                <w:webHidden/>
              </w:rPr>
            </w:r>
            <w:r w:rsidR="00391C18">
              <w:rPr>
                <w:webHidden/>
              </w:rPr>
              <w:fldChar w:fldCharType="separate"/>
            </w:r>
            <w:r>
              <w:rPr>
                <w:webHidden/>
              </w:rPr>
              <w:t>9</w:t>
            </w:r>
            <w:r w:rsidR="00391C18">
              <w:rPr>
                <w:webHidden/>
              </w:rPr>
              <w:fldChar w:fldCharType="end"/>
            </w:r>
          </w:hyperlink>
        </w:p>
        <w:p w14:paraId="5F2E0554" w14:textId="136CE96D" w:rsidR="00593614" w:rsidRDefault="00593614" w:rsidP="00D156D4">
          <w:pPr>
            <w:pStyle w:val="TOC1"/>
            <w:tabs>
              <w:tab w:val="clear" w:pos="9016"/>
              <w:tab w:val="left" w:pos="6600"/>
            </w:tabs>
          </w:pPr>
          <w:r>
            <w:fldChar w:fldCharType="end"/>
          </w:r>
          <w:r w:rsidR="00D156D4">
            <w:tab/>
          </w:r>
        </w:p>
      </w:sdtContent>
    </w:sdt>
    <w:p w14:paraId="5A846F29" w14:textId="77777777" w:rsidR="000A0B95" w:rsidRDefault="000A0B95" w:rsidP="00080362"/>
    <w:p w14:paraId="1A10D80D" w14:textId="2E4F5CCF" w:rsidR="00080362" w:rsidRDefault="00080362" w:rsidP="00080362">
      <w:r w:rsidRPr="00080362">
        <w:t xml:space="preserve">Published in </w:t>
      </w:r>
      <w:r>
        <w:t>August 2021 by the Health Quality &amp; Safety Commission</w:t>
      </w:r>
      <w:r w:rsidR="000A0B95">
        <w:t xml:space="preserve"> New Zealand</w:t>
      </w:r>
      <w:r>
        <w:t>,</w:t>
      </w:r>
      <w:r w:rsidRPr="00080362">
        <w:t xml:space="preserve"> </w:t>
      </w:r>
      <w:r w:rsidR="000A0B95">
        <w:br/>
      </w:r>
      <w:r>
        <w:t>PO Box 25496, Wellington, New Zealand.</w:t>
      </w:r>
    </w:p>
    <w:p w14:paraId="5844F274" w14:textId="4E36BE34" w:rsidR="000A0B95" w:rsidRDefault="000A0B95" w:rsidP="006A69CE">
      <w:r>
        <w:rPr>
          <w:noProof/>
        </w:rPr>
        <w:drawing>
          <wp:anchor distT="0" distB="0" distL="114300" distR="114300" simplePos="0" relativeHeight="251666944" behindDoc="1" locked="0" layoutInCell="1" allowOverlap="1" wp14:anchorId="55BCDF69" wp14:editId="47D9E5D9">
            <wp:simplePos x="0" y="0"/>
            <wp:positionH relativeFrom="margin">
              <wp:posOffset>4444902</wp:posOffset>
            </wp:positionH>
            <wp:positionV relativeFrom="paragraph">
              <wp:posOffset>6985</wp:posOffset>
            </wp:positionV>
            <wp:extent cx="1356995" cy="473710"/>
            <wp:effectExtent l="0" t="0" r="0" b="2540"/>
            <wp:wrapTight wrapText="bothSides">
              <wp:wrapPolygon edited="0">
                <wp:start x="0" y="0"/>
                <wp:lineTo x="0" y="20847"/>
                <wp:lineTo x="21226" y="20847"/>
                <wp:lineTo x="212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99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362">
        <w:t xml:space="preserve">Published under Creative Commons licence </w:t>
      </w:r>
      <w:r w:rsidRPr="000A0B95">
        <w:t>CC BY-NC 4.0</w:t>
      </w:r>
      <w:r w:rsidR="00080362">
        <w:t>, which means you are free t</w:t>
      </w:r>
      <w:r>
        <w:t>o</w:t>
      </w:r>
      <w:r w:rsidR="00080362">
        <w:t xml:space="preserve">: </w:t>
      </w:r>
      <w:r w:rsidR="00080362">
        <w:br/>
      </w:r>
      <w:r w:rsidRPr="006A69CE">
        <w:rPr>
          <w:rFonts w:cs="Arial"/>
        </w:rPr>
        <w:t xml:space="preserve">• </w:t>
      </w:r>
      <w:r>
        <w:t>s</w:t>
      </w:r>
      <w:r w:rsidR="00080362">
        <w:t xml:space="preserve">hare </w:t>
      </w:r>
      <w:r w:rsidR="00AA2BA1">
        <w:rPr>
          <w:rFonts w:ascii="Calibri" w:hAnsi="Calibri"/>
        </w:rPr>
        <w:t>‒</w:t>
      </w:r>
      <w:r w:rsidR="00080362">
        <w:t xml:space="preserve"> copy and redistribute the material in any medium or format</w:t>
      </w:r>
      <w:r>
        <w:br/>
      </w:r>
      <w:r w:rsidRPr="006A69CE">
        <w:rPr>
          <w:rFonts w:cs="Arial"/>
        </w:rPr>
        <w:t>• a</w:t>
      </w:r>
      <w:r w:rsidR="00080362">
        <w:t xml:space="preserve">dapt </w:t>
      </w:r>
      <w:r w:rsidR="00AA2BA1">
        <w:rPr>
          <w:rFonts w:ascii="Calibri" w:hAnsi="Calibri"/>
        </w:rPr>
        <w:t>‒</w:t>
      </w:r>
      <w:r w:rsidR="00080362">
        <w:t xml:space="preserve"> remix, transform, and build upon the material</w:t>
      </w:r>
      <w:r>
        <w:br/>
        <w:t>under the terms outlined at:</w:t>
      </w:r>
      <w:hyperlink r:id="rId15" w:history="1"/>
      <w:r>
        <w:t xml:space="preserve"> </w:t>
      </w:r>
      <w:hyperlink r:id="rId16" w:history="1">
        <w:r w:rsidRPr="00A72EBF">
          <w:rPr>
            <w:rStyle w:val="Hyperlink"/>
          </w:rPr>
          <w:t>https://creativecommons.org/licenses/by-nc/4.0/</w:t>
        </w:r>
      </w:hyperlink>
      <w:r>
        <w:t xml:space="preserve">  </w:t>
      </w:r>
    </w:p>
    <w:p w14:paraId="59DD9841" w14:textId="702903DF" w:rsidR="00080362" w:rsidRPr="00080362" w:rsidRDefault="00080362" w:rsidP="00080362">
      <w:r>
        <w:t>This document is available on the Health Quality &amp; Safety Commission’s website:</w:t>
      </w:r>
      <w:r>
        <w:br/>
      </w:r>
      <w:hyperlink r:id="rId17" w:history="1">
        <w:r w:rsidR="000A0B95" w:rsidRPr="00A72EBF">
          <w:rPr>
            <w:rStyle w:val="Hyperlink"/>
          </w:rPr>
          <w:t>www.hqsc.govt.nz</w:t>
        </w:r>
      </w:hyperlink>
      <w:r w:rsidR="000A0B95">
        <w:t xml:space="preserve"> </w:t>
      </w:r>
    </w:p>
    <w:p w14:paraId="71995418" w14:textId="7EFA8E4C" w:rsidR="00080362" w:rsidRPr="00AF1728" w:rsidRDefault="00080362" w:rsidP="00080362">
      <w:pPr>
        <w:pStyle w:val="H1evidencesummary"/>
      </w:pPr>
      <w:bookmarkStart w:id="3" w:name="_Toc79066222"/>
      <w:r>
        <w:t>Purpose of</w:t>
      </w:r>
      <w:r w:rsidRPr="00AF1728">
        <w:t xml:space="preserve"> this </w:t>
      </w:r>
      <w:r w:rsidR="00391C18">
        <w:t>document</w:t>
      </w:r>
      <w:bookmarkEnd w:id="3"/>
    </w:p>
    <w:p w14:paraId="54A9416F" w14:textId="7E19C249" w:rsidR="00D035F3" w:rsidRDefault="00080362" w:rsidP="00391C18">
      <w:pPr>
        <w:spacing w:after="200"/>
        <w:rPr>
          <w:rFonts w:cs="Arial"/>
          <w:szCs w:val="21"/>
        </w:rPr>
      </w:pPr>
      <w:r w:rsidRPr="004D4FD9">
        <w:rPr>
          <w:rFonts w:cs="Arial"/>
          <w:szCs w:val="21"/>
        </w:rPr>
        <w:t>This</w:t>
      </w:r>
      <w:r w:rsidR="00391C18" w:rsidRPr="00391C18">
        <w:t xml:space="preserve"> </w:t>
      </w:r>
      <w:r w:rsidR="00391C18">
        <w:rPr>
          <w:rFonts w:cs="Arial"/>
          <w:szCs w:val="21"/>
        </w:rPr>
        <w:t>document includes</w:t>
      </w:r>
      <w:r w:rsidR="00391C18" w:rsidRPr="00391C18">
        <w:rPr>
          <w:rFonts w:cs="Arial"/>
          <w:szCs w:val="21"/>
        </w:rPr>
        <w:t xml:space="preserve"> the </w:t>
      </w:r>
      <w:r w:rsidR="00391C18">
        <w:rPr>
          <w:rFonts w:cs="Arial"/>
          <w:szCs w:val="21"/>
        </w:rPr>
        <w:t xml:space="preserve">short version of the </w:t>
      </w:r>
      <w:r w:rsidR="00391C18" w:rsidRPr="00391C18">
        <w:rPr>
          <w:rFonts w:cs="Arial"/>
          <w:szCs w:val="21"/>
        </w:rPr>
        <w:t xml:space="preserve">Health Quality </w:t>
      </w:r>
      <w:r w:rsidR="00391C18">
        <w:rPr>
          <w:rFonts w:cs="Arial"/>
          <w:szCs w:val="21"/>
        </w:rPr>
        <w:t>&amp;</w:t>
      </w:r>
      <w:r w:rsidR="00391C18" w:rsidRPr="00391C18">
        <w:rPr>
          <w:rFonts w:cs="Arial"/>
          <w:szCs w:val="21"/>
        </w:rPr>
        <w:t xml:space="preserve"> Safety Commission New Zealand’s repository of selected research papers on safer surgery.</w:t>
      </w:r>
    </w:p>
    <w:p w14:paraId="3D3F6D45" w14:textId="40AEC577" w:rsidR="00391C18" w:rsidRDefault="00391C18" w:rsidP="00391C18">
      <w:pPr>
        <w:spacing w:after="200"/>
        <w:rPr>
          <w:rFonts w:cs="Arial"/>
          <w:szCs w:val="21"/>
        </w:rPr>
      </w:pPr>
      <w:r>
        <w:rPr>
          <w:rFonts w:cs="Arial"/>
          <w:szCs w:val="21"/>
        </w:rPr>
        <w:t>The long version is available on the Commission website:</w:t>
      </w:r>
    </w:p>
    <w:p w14:paraId="0371DD2E" w14:textId="7ABA7051" w:rsidR="00D035F3" w:rsidRDefault="00481E9F">
      <w:pPr>
        <w:spacing w:after="200"/>
        <w:rPr>
          <w:rFonts w:eastAsia="Cambria" w:cs="Arial"/>
          <w:b/>
          <w:color w:val="00467F"/>
          <w:sz w:val="28"/>
          <w:szCs w:val="28"/>
          <w:lang w:val="en-AU"/>
        </w:rPr>
      </w:pPr>
      <w:hyperlink r:id="rId18" w:history="1">
        <w:r w:rsidR="001E3C07" w:rsidRPr="003A5D61">
          <w:rPr>
            <w:rStyle w:val="Hyperlink"/>
          </w:rPr>
          <w:t>https://www.hqsc.govt.nz/our-programmes/safe-surgery-nz/publications-and-resources/publication/4343/</w:t>
        </w:r>
      </w:hyperlink>
      <w:r w:rsidR="001E3C07">
        <w:t xml:space="preserve"> </w:t>
      </w:r>
      <w:r w:rsidR="00D035F3">
        <w:br w:type="page"/>
      </w:r>
    </w:p>
    <w:p w14:paraId="6A9D033F" w14:textId="77777777" w:rsidR="00391C18" w:rsidRDefault="00391C18" w:rsidP="00391C18">
      <w:pPr>
        <w:pStyle w:val="H1evidencesummary"/>
      </w:pPr>
      <w:bookmarkStart w:id="4" w:name="_Toc79066223"/>
      <w:r>
        <w:lastRenderedPageBreak/>
        <w:t>Introduction</w:t>
      </w:r>
      <w:bookmarkEnd w:id="4"/>
    </w:p>
    <w:p w14:paraId="2ED5C55B" w14:textId="4C86CE16" w:rsidR="00391C18" w:rsidRDefault="00391C18" w:rsidP="00391C18">
      <w:r>
        <w:t xml:space="preserve">The World Health Organization Surgical Safety Checklist (SSC) was introduced to operating rooms (ORs) in the late 2000s as an important patient safety measure. More recent evidence highlights the mutually reinforcing roles of checklist use along with enhanced multidisciplinary teamwork, briefing and debriefing practices, effective communication techniques, and multidisciplinary simulation training. </w:t>
      </w:r>
      <w:r w:rsidRPr="00B21A5B">
        <w:t>Teamwork has many efficiency and safety benefits other than just preventing sentinel errors</w:t>
      </w:r>
      <w:r>
        <w:t>: i</w:t>
      </w:r>
      <w:r w:rsidRPr="00B21A5B">
        <w:t>t is the antithesis of bullying and harassment.</w:t>
      </w:r>
      <w:r>
        <w:t xml:space="preserve"> </w:t>
      </w:r>
    </w:p>
    <w:p w14:paraId="7231E83F" w14:textId="557879B7" w:rsidR="00391C18" w:rsidRDefault="00391C18" w:rsidP="00391C18">
      <w:r>
        <w:t xml:space="preserve">This document provides the evidence base for using these practices as well as evidence-based approaches to implementation.  </w:t>
      </w:r>
    </w:p>
    <w:p w14:paraId="5DFC158D" w14:textId="77777777" w:rsidR="00391C18" w:rsidRDefault="00391C18" w:rsidP="00391C18">
      <w:pPr>
        <w:pStyle w:val="H1evidencesummary"/>
      </w:pPr>
      <w:bookmarkStart w:id="5" w:name="_Toc79066224"/>
      <w:r>
        <w:t>Summary of the evidence presented below</w:t>
      </w:r>
      <w:bookmarkEnd w:id="5"/>
    </w:p>
    <w:p w14:paraId="2AD3BAEF" w14:textId="77777777" w:rsidR="00391C18" w:rsidRDefault="00391C18" w:rsidP="00391C18">
      <w:r w:rsidRPr="00EA2690">
        <w:t xml:space="preserve">The WHO </w:t>
      </w:r>
      <w:r>
        <w:t>SSC</w:t>
      </w:r>
      <w:r w:rsidRPr="00EA2690">
        <w:t xml:space="preserve"> has been evaluated in</w:t>
      </w:r>
      <w:r>
        <w:t xml:space="preserve"> </w:t>
      </w:r>
      <w:r w:rsidRPr="00EA2690">
        <w:t xml:space="preserve">longitudinal studies </w:t>
      </w:r>
      <w:r>
        <w:t>using</w:t>
      </w:r>
      <w:r w:rsidRPr="00EA2690">
        <w:t xml:space="preserve"> pre- and post-implementation</w:t>
      </w:r>
      <w:r>
        <w:t xml:space="preserve"> comparisons</w:t>
      </w:r>
      <w:r w:rsidRPr="00EA2690">
        <w:t>, in</w:t>
      </w:r>
      <w:r>
        <w:t xml:space="preserve"> studies of</w:t>
      </w:r>
      <w:r w:rsidRPr="00EA2690">
        <w:t xml:space="preserve"> between-hospital comparisons</w:t>
      </w:r>
      <w:r>
        <w:t xml:space="preserve"> and in a stepped-wedge cluster randomised controlled trial (RCT)</w:t>
      </w:r>
      <w:r w:rsidRPr="00EA2690">
        <w:t xml:space="preserve">. </w:t>
      </w:r>
      <w:r>
        <w:t>Safety benefits have been reported across surgical specialties and in acute and elective care. S</w:t>
      </w:r>
      <w:r w:rsidRPr="008B19A7">
        <w:t>ystematic reviews of safety checklist</w:t>
      </w:r>
      <w:r>
        <w:t xml:space="preserve"> use</w:t>
      </w:r>
      <w:r w:rsidRPr="008B19A7">
        <w:t xml:space="preserve"> in the </w:t>
      </w:r>
      <w:r>
        <w:t>OR</w:t>
      </w:r>
      <w:r w:rsidRPr="008B19A7">
        <w:t xml:space="preserve"> </w:t>
      </w:r>
      <w:r>
        <w:t xml:space="preserve">reveal </w:t>
      </w:r>
      <w:r w:rsidRPr="008B19A7">
        <w:t>substantial benefits in terms of improving patient outcomes</w:t>
      </w:r>
      <w:r>
        <w:t xml:space="preserve">. </w:t>
      </w:r>
    </w:p>
    <w:p w14:paraId="69745063" w14:textId="77777777" w:rsidR="00391C18" w:rsidRDefault="00391C18" w:rsidP="00391C18">
      <w:r>
        <w:t>Research evidence, including systematic reviews, indicates a connection between surgical multidisciplinary team training and improved knowledge, team processes and outcomes. Team training was found to i</w:t>
      </w:r>
      <w:r w:rsidRPr="00815906">
        <w:t>mprove OR</w:t>
      </w:r>
      <w:r>
        <w:t xml:space="preserve"> </w:t>
      </w:r>
      <w:r w:rsidRPr="00815906">
        <w:t>processes</w:t>
      </w:r>
      <w:r>
        <w:t>,</w:t>
      </w:r>
      <w:r w:rsidRPr="00815906">
        <w:t xml:space="preserve"> includ</w:t>
      </w:r>
      <w:r>
        <w:t>ing:</w:t>
      </w:r>
      <w:r w:rsidRPr="00815906">
        <w:t xml:space="preserve"> reduced incorrect surgical counts</w:t>
      </w:r>
      <w:r>
        <w:t xml:space="preserve">; </w:t>
      </w:r>
      <w:r w:rsidRPr="00815906">
        <w:t xml:space="preserve">more timely antibiotic administration, </w:t>
      </w:r>
      <w:r>
        <w:t>deep vein thrombosis (</w:t>
      </w:r>
      <w:r w:rsidRPr="00815906">
        <w:t>DVT</w:t>
      </w:r>
      <w:r>
        <w:t>)</w:t>
      </w:r>
      <w:r w:rsidRPr="00815906">
        <w:t xml:space="preserve"> prophylaxis,</w:t>
      </w:r>
      <w:r>
        <w:t xml:space="preserve"> </w:t>
      </w:r>
      <w:r w:rsidRPr="00815906">
        <w:t>and beta-blockade; reduced technical and</w:t>
      </w:r>
      <w:r>
        <w:t xml:space="preserve"> </w:t>
      </w:r>
      <w:r w:rsidRPr="00815906">
        <w:t>procedural errors and increased compliance with briefings,</w:t>
      </w:r>
      <w:r>
        <w:t xml:space="preserve"> </w:t>
      </w:r>
      <w:r w:rsidRPr="00815906">
        <w:t>checklists and time</w:t>
      </w:r>
      <w:r>
        <w:t xml:space="preserve"> </w:t>
      </w:r>
      <w:r w:rsidRPr="00815906">
        <w:t>out. Team training has also</w:t>
      </w:r>
      <w:r>
        <w:t xml:space="preserve"> </w:t>
      </w:r>
      <w:r w:rsidRPr="00815906">
        <w:t xml:space="preserve">been shown to </w:t>
      </w:r>
      <w:r>
        <w:t>enhance</w:t>
      </w:r>
      <w:r w:rsidRPr="00815906">
        <w:t xml:space="preserve"> OR</w:t>
      </w:r>
      <w:r>
        <w:t xml:space="preserve"> efficiency, including</w:t>
      </w:r>
      <w:r w:rsidRPr="00815906">
        <w:t xml:space="preserve"> turnover time,</w:t>
      </w:r>
      <w:r>
        <w:t xml:space="preserve"> </w:t>
      </w:r>
      <w:r w:rsidRPr="00815906">
        <w:t>cases starting on time and</w:t>
      </w:r>
      <w:r>
        <w:t xml:space="preserve"> </w:t>
      </w:r>
      <w:r w:rsidRPr="00815906">
        <w:t>reduce</w:t>
      </w:r>
      <w:r>
        <w:t>d</w:t>
      </w:r>
      <w:r w:rsidRPr="00815906">
        <w:t xml:space="preserve"> delays.</w:t>
      </w:r>
      <w:r>
        <w:t xml:space="preserve"> Evidence suggests that t</w:t>
      </w:r>
      <w:r w:rsidRPr="00815906">
        <w:t>eamwork training can also</w:t>
      </w:r>
      <w:r>
        <w:t>:</w:t>
      </w:r>
      <w:r w:rsidRPr="00815906">
        <w:t xml:space="preserve"> improve teamwork processes</w:t>
      </w:r>
      <w:r>
        <w:t xml:space="preserve"> </w:t>
      </w:r>
      <w:r w:rsidRPr="00815906">
        <w:t>in the OR and staff attitudes towards safety</w:t>
      </w:r>
      <w:r>
        <w:t>; r</w:t>
      </w:r>
      <w:r w:rsidRPr="00815906">
        <w:t>educe communication errors and improve</w:t>
      </w:r>
      <w:r>
        <w:t xml:space="preserve"> </w:t>
      </w:r>
      <w:r w:rsidRPr="00815906">
        <w:t>scores for communication between team members</w:t>
      </w:r>
      <w:r>
        <w:t xml:space="preserve">. However, not all studies demonstrated the effectiveness of team training. It appears that high-quality comprehensive programmes are important. </w:t>
      </w:r>
    </w:p>
    <w:p w14:paraId="14F656A2" w14:textId="77777777" w:rsidR="00391C18" w:rsidRDefault="00391C18" w:rsidP="00391C18">
      <w:pPr>
        <w:pStyle w:val="Body"/>
      </w:pPr>
      <w:r w:rsidRPr="00625545">
        <w:t xml:space="preserve">There is </w:t>
      </w:r>
      <w:r>
        <w:t>good</w:t>
      </w:r>
      <w:r w:rsidRPr="00625545">
        <w:t xml:space="preserve"> evidence to support the use of surgical briefings and debriefings to reduce patient harm</w:t>
      </w:r>
      <w:r>
        <w:t xml:space="preserve">. </w:t>
      </w:r>
      <w:r w:rsidRPr="006508B7">
        <w:t>Staff should foster effective briefings and handovers at every opportunity</w:t>
      </w:r>
      <w:r>
        <w:t xml:space="preserve">. Briefings and debriefings can reduce unexpected delays and improve communication and teamwork (see </w:t>
      </w:r>
      <w:r>
        <w:rPr>
          <w:i/>
          <w:iCs/>
        </w:rPr>
        <w:t>Checklists, Briefings and Debriefings: An evidence summary</w:t>
      </w:r>
      <w:r>
        <w:t xml:space="preserve">, </w:t>
      </w:r>
      <w:hyperlink r:id="rId19" w:history="1">
        <w:r w:rsidRPr="0050505E">
          <w:rPr>
            <w:rStyle w:val="Hyperlink"/>
            <w:lang w:val="en-NZ"/>
          </w:rPr>
          <w:t>H</w:t>
        </w:r>
        <w:r>
          <w:rPr>
            <w:rStyle w:val="Hyperlink"/>
            <w:lang w:val="en-NZ"/>
          </w:rPr>
          <w:t>ealth Quality and Safety Commission</w:t>
        </w:r>
        <w:r w:rsidRPr="0050505E">
          <w:rPr>
            <w:rStyle w:val="Hyperlink"/>
            <w:lang w:val="en-NZ"/>
          </w:rPr>
          <w:t xml:space="preserve"> 2016</w:t>
        </w:r>
      </w:hyperlink>
      <w:r>
        <w:t>)</w:t>
      </w:r>
      <w:r w:rsidRPr="00625545">
        <w:t>.</w:t>
      </w:r>
      <w:r>
        <w:t xml:space="preserve"> </w:t>
      </w:r>
    </w:p>
    <w:p w14:paraId="32FF8598" w14:textId="0D6C75F8" w:rsidR="00391C18" w:rsidRDefault="00391C18" w:rsidP="00391C18">
      <w:pPr>
        <w:pStyle w:val="Body"/>
      </w:pPr>
      <w:r>
        <w:t xml:space="preserve">Systematic reviews have found that briefings: </w:t>
      </w:r>
    </w:p>
    <w:p w14:paraId="0FB4F6C8" w14:textId="77777777" w:rsidR="00391C18" w:rsidRDefault="00391C18" w:rsidP="00391C18">
      <w:pPr>
        <w:pStyle w:val="Body"/>
        <w:numPr>
          <w:ilvl w:val="0"/>
          <w:numId w:val="43"/>
        </w:numPr>
        <w:spacing w:after="60"/>
        <w:ind w:left="357" w:hanging="357"/>
      </w:pPr>
      <w:r>
        <w:t>improve team attitudes towards safety</w:t>
      </w:r>
    </w:p>
    <w:p w14:paraId="2C6C12FA" w14:textId="77777777" w:rsidR="00391C18" w:rsidRDefault="00391C18" w:rsidP="00391C18">
      <w:pPr>
        <w:pStyle w:val="Body"/>
        <w:numPr>
          <w:ilvl w:val="0"/>
          <w:numId w:val="43"/>
        </w:numPr>
        <w:spacing w:after="60"/>
        <w:ind w:left="357" w:hanging="357"/>
      </w:pPr>
      <w:r>
        <w:t>decrease unexpected delays</w:t>
      </w:r>
    </w:p>
    <w:p w14:paraId="4920BCC3" w14:textId="77777777" w:rsidR="00391C18" w:rsidRDefault="00391C18" w:rsidP="00391C18">
      <w:pPr>
        <w:pStyle w:val="Body"/>
        <w:numPr>
          <w:ilvl w:val="0"/>
          <w:numId w:val="43"/>
        </w:numPr>
        <w:spacing w:after="60"/>
        <w:ind w:left="357" w:hanging="357"/>
      </w:pPr>
      <w:r>
        <w:t>reduce</w:t>
      </w:r>
      <w:r w:rsidRPr="000A19AD">
        <w:t xml:space="preserve"> communication</w:t>
      </w:r>
      <w:r>
        <w:t xml:space="preserve"> failures </w:t>
      </w:r>
      <w:r w:rsidRPr="000A19AD">
        <w:t>between team</w:t>
      </w:r>
      <w:r>
        <w:t xml:space="preserve"> </w:t>
      </w:r>
      <w:r w:rsidRPr="000A19AD">
        <w:t>members</w:t>
      </w:r>
      <w:r>
        <w:t xml:space="preserve"> by two-thirds</w:t>
      </w:r>
    </w:p>
    <w:p w14:paraId="07F66AAC" w14:textId="77777777" w:rsidR="00391C18" w:rsidRDefault="00391C18" w:rsidP="00391C18">
      <w:pPr>
        <w:pStyle w:val="Body"/>
        <w:numPr>
          <w:ilvl w:val="0"/>
          <w:numId w:val="43"/>
        </w:numPr>
        <w:spacing w:after="60"/>
        <w:ind w:left="357" w:hanging="357"/>
      </w:pPr>
      <w:r w:rsidRPr="000A19AD">
        <w:t>reduce the rate of non-routine surgical events</w:t>
      </w:r>
      <w:r>
        <w:t xml:space="preserve"> by 25 percent</w:t>
      </w:r>
    </w:p>
    <w:p w14:paraId="1366F632" w14:textId="77777777" w:rsidR="00391C18" w:rsidRPr="008B3CD5" w:rsidRDefault="00391C18" w:rsidP="00391C18">
      <w:pPr>
        <w:pStyle w:val="Body"/>
        <w:numPr>
          <w:ilvl w:val="0"/>
          <w:numId w:val="43"/>
        </w:numPr>
        <w:spacing w:after="60"/>
        <w:ind w:left="357" w:hanging="357"/>
        <w:rPr>
          <w:lang w:val="en-NZ"/>
        </w:rPr>
      </w:pPr>
      <w:r w:rsidRPr="008B3CD5">
        <w:rPr>
          <w:lang w:val="en-NZ"/>
        </w:rPr>
        <w:t>effectively surface potential surgical safety hazards</w:t>
      </w:r>
    </w:p>
    <w:p w14:paraId="6FFF87FF" w14:textId="77777777" w:rsidR="00391C18" w:rsidRDefault="00391C18" w:rsidP="00391C18">
      <w:pPr>
        <w:pStyle w:val="Body"/>
        <w:numPr>
          <w:ilvl w:val="0"/>
          <w:numId w:val="43"/>
        </w:numPr>
        <w:spacing w:after="60"/>
        <w:ind w:left="357" w:hanging="357"/>
      </w:pPr>
      <w:r w:rsidRPr="008B3CD5">
        <w:rPr>
          <w:lang w:val="en-NZ"/>
        </w:rPr>
        <w:t xml:space="preserve">enhance the </w:t>
      </w:r>
      <w:r>
        <w:t>timely</w:t>
      </w:r>
      <w:r w:rsidRPr="00FB3833">
        <w:t xml:space="preserve"> administration of prophylactic antibiotics and preoperative</w:t>
      </w:r>
      <w:r>
        <w:t xml:space="preserve"> venous thromboembolism (VTE)</w:t>
      </w:r>
      <w:r w:rsidRPr="00FB3833">
        <w:t xml:space="preserve"> prophylaxis</w:t>
      </w:r>
    </w:p>
    <w:p w14:paraId="39112571" w14:textId="77777777" w:rsidR="00391C18" w:rsidRDefault="00391C18" w:rsidP="00391C18">
      <w:pPr>
        <w:pStyle w:val="Body"/>
        <w:numPr>
          <w:ilvl w:val="0"/>
          <w:numId w:val="43"/>
        </w:numPr>
        <w:spacing w:after="60"/>
        <w:ind w:left="357" w:hanging="357"/>
      </w:pPr>
      <w:r>
        <w:lastRenderedPageBreak/>
        <w:t>increase efficiency</w:t>
      </w:r>
    </w:p>
    <w:p w14:paraId="61D637CA" w14:textId="77777777" w:rsidR="00391C18" w:rsidRPr="008B3CD5" w:rsidRDefault="00391C18" w:rsidP="00391C18">
      <w:pPr>
        <w:pStyle w:val="Body"/>
        <w:numPr>
          <w:ilvl w:val="0"/>
          <w:numId w:val="43"/>
        </w:numPr>
        <w:spacing w:after="60"/>
        <w:ind w:left="357" w:hanging="357"/>
        <w:rPr>
          <w:lang w:val="en-NZ"/>
        </w:rPr>
      </w:pPr>
      <w:r w:rsidRPr="008B3CD5">
        <w:rPr>
          <w:lang w:val="en-NZ"/>
        </w:rPr>
        <w:t>reduce staff perception of risk and increase their sense of team collaboration</w:t>
      </w:r>
    </w:p>
    <w:p w14:paraId="7227351E" w14:textId="77777777" w:rsidR="00391C18" w:rsidRDefault="00391C18" w:rsidP="00391C18">
      <w:pPr>
        <w:pStyle w:val="Body"/>
        <w:numPr>
          <w:ilvl w:val="0"/>
          <w:numId w:val="43"/>
        </w:numPr>
      </w:pPr>
      <w:r>
        <w:t xml:space="preserve">reduce </w:t>
      </w:r>
      <w:r w:rsidRPr="000A19AD">
        <w:t>disruptions to surgery.</w:t>
      </w:r>
      <w:r>
        <w:t xml:space="preserve"> </w:t>
      </w:r>
    </w:p>
    <w:p w14:paraId="2729B774" w14:textId="77777777" w:rsidR="00391C18" w:rsidRDefault="00391C18" w:rsidP="00391C18">
      <w:pPr>
        <w:keepNext/>
      </w:pPr>
      <w:r>
        <w:t xml:space="preserve">The </w:t>
      </w:r>
      <w:r w:rsidRPr="0083298A">
        <w:t>V</w:t>
      </w:r>
      <w:r>
        <w:t xml:space="preserve">eterans </w:t>
      </w:r>
      <w:r w:rsidRPr="0083298A">
        <w:t>H</w:t>
      </w:r>
      <w:r>
        <w:t xml:space="preserve">ealth </w:t>
      </w:r>
      <w:r w:rsidRPr="0083298A">
        <w:t>A</w:t>
      </w:r>
      <w:r>
        <w:t xml:space="preserve">dministration (VHA) medical team training programme showed that compliance with briefings related </w:t>
      </w:r>
      <w:r w:rsidRPr="000A19AD">
        <w:t>directly to</w:t>
      </w:r>
      <w:r>
        <w:t xml:space="preserve"> </w:t>
      </w:r>
      <w:r w:rsidRPr="000A19AD">
        <w:t>patient mortality</w:t>
      </w:r>
      <w:r>
        <w:t>.</w:t>
      </w:r>
    </w:p>
    <w:p w14:paraId="03421599" w14:textId="77777777" w:rsidR="00391C18" w:rsidRDefault="00391C18" w:rsidP="00391C18">
      <w:pPr>
        <w:keepNext/>
      </w:pPr>
      <w:r>
        <w:t xml:space="preserve">Failures in information transfer and communication adversely affect patient care, and evidence reviews underscore the importance of effective communication strategies. </w:t>
      </w:r>
      <w:r w:rsidRPr="00625545">
        <w:t xml:space="preserve">There are a number of tools available to improve communication in </w:t>
      </w:r>
      <w:r>
        <w:t>the surgical suite</w:t>
      </w:r>
      <w:r w:rsidRPr="00625545">
        <w:t xml:space="preserve">. Following the </w:t>
      </w:r>
      <w:r w:rsidRPr="00CD6167">
        <w:t>Commission</w:t>
      </w:r>
      <w:r>
        <w:t>’</w:t>
      </w:r>
      <w:r w:rsidRPr="00CD6167">
        <w:t>s </w:t>
      </w:r>
      <w:hyperlink r:id="rId20" w:history="1">
        <w:r>
          <w:rPr>
            <w:rStyle w:val="Hyperlink"/>
          </w:rPr>
          <w:t>P</w:t>
        </w:r>
        <w:r w:rsidRPr="00CD6167">
          <w:rPr>
            <w:rStyle w:val="Hyperlink"/>
          </w:rPr>
          <w:t xml:space="preserve">roof of </w:t>
        </w:r>
        <w:r>
          <w:rPr>
            <w:rStyle w:val="Hyperlink"/>
          </w:rPr>
          <w:t>C</w:t>
        </w:r>
        <w:r w:rsidRPr="00CD6167">
          <w:rPr>
            <w:rStyle w:val="Hyperlink"/>
          </w:rPr>
          <w:t>oncept project</w:t>
        </w:r>
      </w:hyperlink>
      <w:r w:rsidRPr="0040462F">
        <w:rPr>
          <w:rStyle w:val="Hyperlink"/>
          <w:color w:val="auto"/>
        </w:rPr>
        <w:t>,</w:t>
      </w:r>
      <w:r w:rsidRPr="00CD6167">
        <w:t> the</w:t>
      </w:r>
      <w:r w:rsidRPr="00625545">
        <w:t xml:space="preserve"> following communication tools were identified to </w:t>
      </w:r>
      <w:r>
        <w:t xml:space="preserve">be </w:t>
      </w:r>
      <w:r w:rsidRPr="00625545">
        <w:t>roll</w:t>
      </w:r>
      <w:r>
        <w:t>ed</w:t>
      </w:r>
      <w:r w:rsidRPr="00625545">
        <w:t xml:space="preserve"> out to </w:t>
      </w:r>
      <w:r>
        <w:t>district health boards (</w:t>
      </w:r>
      <w:r w:rsidRPr="00625545">
        <w:t>DHB</w:t>
      </w:r>
      <w:r>
        <w:t xml:space="preserve">s): call-outs, closed-loop communication, the two-challenge rule and ISBAR (identify, situation, background, assessment, recommendation). </w:t>
      </w:r>
    </w:p>
    <w:p w14:paraId="434A36A2" w14:textId="77777777" w:rsidR="00391C18" w:rsidRPr="00AF1139" w:rsidRDefault="00391C18" w:rsidP="00391C18">
      <w:pPr>
        <w:keepNext/>
      </w:pPr>
      <w:r>
        <w:t>Closed-loop communication has been shown to enhance the speed of critical actions. C</w:t>
      </w:r>
      <w:r w:rsidRPr="001F3DC6">
        <w:t xml:space="preserve">hecklist- or proforma-based interventions </w:t>
      </w:r>
      <w:r>
        <w:t>can help in</w:t>
      </w:r>
      <w:r w:rsidRPr="001F3DC6">
        <w:t xml:space="preserve"> surgical hando</w:t>
      </w:r>
      <w:r>
        <w:t xml:space="preserve">ffs or handovers. ISBAR is included in the guidelines of some professional organisations. Barriers and enablers to speaking up are largely modifiable, and this may include training senior staff to ‘hear’ concerns more clearly. </w:t>
      </w:r>
    </w:p>
    <w:p w14:paraId="6460D424" w14:textId="77777777" w:rsidR="00391C18" w:rsidRDefault="00391C18" w:rsidP="00391C18">
      <w:r>
        <w:t xml:space="preserve">Systematic reviews of multidisciplinary team simulations identify them as an opportunity for system-level improvement and to help address issues like hierarchy. Simulation training helps improve crisis resource management skills, including attitudes, teamwork and communication, with possible transfer to the clinical setting and indications of improved patient outcomes. In New Zealand, a comprehensive simulation course has been associated with improved teamwork scores in the ORs at two large hospitals. </w:t>
      </w:r>
    </w:p>
    <w:p w14:paraId="234C0C78" w14:textId="77777777" w:rsidR="00391C18" w:rsidRPr="004101E9" w:rsidRDefault="00391C18" w:rsidP="00391C18">
      <w:pPr>
        <w:pStyle w:val="H1evidencesummary"/>
      </w:pPr>
      <w:bookmarkStart w:id="6" w:name="_Toc74818407"/>
      <w:bookmarkStart w:id="7" w:name="_Toc79066225"/>
      <w:r w:rsidRPr="004101E9">
        <w:t xml:space="preserve">The </w:t>
      </w:r>
      <w:r>
        <w:t>World Health Organization</w:t>
      </w:r>
      <w:r w:rsidRPr="004101E9">
        <w:t xml:space="preserve"> Surgical Safety Checklist and safer surgery</w:t>
      </w:r>
      <w:bookmarkEnd w:id="6"/>
      <w:r>
        <w:t xml:space="preserve"> (in reverse chronological order)</w:t>
      </w:r>
      <w:bookmarkEnd w:id="7"/>
    </w:p>
    <w:p w14:paraId="3787243F" w14:textId="77777777" w:rsidR="00391C18" w:rsidRDefault="00391C18" w:rsidP="00391C18">
      <w:r w:rsidRPr="000B5861">
        <w:t>Healey A, Søfteland E, Harthug S,</w:t>
      </w:r>
      <w:r>
        <w:t xml:space="preserve"> et al. </w:t>
      </w:r>
      <w:r w:rsidRPr="000B5861">
        <w:t xml:space="preserve">2020. A </w:t>
      </w:r>
      <w:r>
        <w:t>h</w:t>
      </w:r>
      <w:r w:rsidRPr="000B5861">
        <w:t xml:space="preserve">ealth </w:t>
      </w:r>
      <w:r>
        <w:t>e</w:t>
      </w:r>
      <w:r w:rsidRPr="000B5861">
        <w:t xml:space="preserve">conomic </w:t>
      </w:r>
      <w:r>
        <w:t>e</w:t>
      </w:r>
      <w:r w:rsidRPr="000B5861">
        <w:t xml:space="preserve">valuation of the World Health Organization Surgical Safety Checklist: A </w:t>
      </w:r>
      <w:r>
        <w:t>s</w:t>
      </w:r>
      <w:r w:rsidRPr="000B5861">
        <w:t xml:space="preserve">ingle </w:t>
      </w:r>
      <w:r>
        <w:t>c</w:t>
      </w:r>
      <w:r w:rsidRPr="000B5861">
        <w:t xml:space="preserve">enter </w:t>
      </w:r>
      <w:r>
        <w:t>a</w:t>
      </w:r>
      <w:r w:rsidRPr="000B5861">
        <w:t xml:space="preserve">ssessment. </w:t>
      </w:r>
      <w:r w:rsidRPr="00041E08">
        <w:rPr>
          <w:i/>
          <w:iCs/>
        </w:rPr>
        <w:t>Ann Surg</w:t>
      </w:r>
      <w:r w:rsidRPr="000B5861">
        <w:t xml:space="preserve">. </w:t>
      </w:r>
      <w:r>
        <w:t xml:space="preserve">Online first. </w:t>
      </w:r>
      <w:r w:rsidRPr="000B5861">
        <w:t>DOI:</w:t>
      </w:r>
      <w:r>
        <w:t xml:space="preserve"> </w:t>
      </w:r>
      <w:r w:rsidRPr="000B5861">
        <w:t>10.1097/sla.0000000000004300</w:t>
      </w:r>
      <w:r>
        <w:t xml:space="preserve"> (accessed 16 June 2021).</w:t>
      </w:r>
    </w:p>
    <w:p w14:paraId="7AE18344" w14:textId="77777777" w:rsidR="00391C18" w:rsidRPr="00041E08" w:rsidRDefault="00391C18" w:rsidP="00391C18">
      <w:r w:rsidRPr="00041E08">
        <w:t xml:space="preserve">Haugen AS, Wæhle HV, Almeland SK, et al. 2019. Causal </w:t>
      </w:r>
      <w:r>
        <w:t>a</w:t>
      </w:r>
      <w:r w:rsidRPr="00041E08">
        <w:t xml:space="preserve">nalysis of World Health Organization's Surgical Safety Checklist </w:t>
      </w:r>
      <w:r>
        <w:t>i</w:t>
      </w:r>
      <w:r w:rsidRPr="00041E08">
        <w:t xml:space="preserve">mplementation </w:t>
      </w:r>
      <w:r>
        <w:t>q</w:t>
      </w:r>
      <w:r w:rsidRPr="00041E08">
        <w:t xml:space="preserve">uality and </w:t>
      </w:r>
      <w:r>
        <w:t>i</w:t>
      </w:r>
      <w:r w:rsidRPr="00041E08">
        <w:t xml:space="preserve">mpact on </w:t>
      </w:r>
      <w:r>
        <w:t>c</w:t>
      </w:r>
      <w:r w:rsidRPr="00041E08">
        <w:t xml:space="preserve">are </w:t>
      </w:r>
      <w:r>
        <w:t>p</w:t>
      </w:r>
      <w:r w:rsidRPr="00041E08">
        <w:t xml:space="preserve">rocesses and </w:t>
      </w:r>
      <w:r>
        <w:t>p</w:t>
      </w:r>
      <w:r w:rsidRPr="00041E08">
        <w:t xml:space="preserve">atient </w:t>
      </w:r>
      <w:r>
        <w:t>o</w:t>
      </w:r>
      <w:r w:rsidRPr="00041E08">
        <w:t xml:space="preserve">utcomes: Secondary </w:t>
      </w:r>
      <w:r>
        <w:t>a</w:t>
      </w:r>
      <w:r w:rsidRPr="00041E08">
        <w:t xml:space="preserve">nalysis </w:t>
      </w:r>
      <w:r>
        <w:t>f</w:t>
      </w:r>
      <w:r w:rsidRPr="00041E08">
        <w:t xml:space="preserve">rom a </w:t>
      </w:r>
      <w:r>
        <w:t>l</w:t>
      </w:r>
      <w:r w:rsidRPr="00041E08">
        <w:t xml:space="preserve">arge </w:t>
      </w:r>
      <w:r>
        <w:t>s</w:t>
      </w:r>
      <w:r w:rsidRPr="00041E08">
        <w:t xml:space="preserve">tepped </w:t>
      </w:r>
      <w:r>
        <w:t>w</w:t>
      </w:r>
      <w:r w:rsidRPr="00041E08">
        <w:t xml:space="preserve">edge </w:t>
      </w:r>
      <w:r>
        <w:t>c</w:t>
      </w:r>
      <w:r w:rsidRPr="00041E08">
        <w:t xml:space="preserve">luster </w:t>
      </w:r>
      <w:r>
        <w:t>r</w:t>
      </w:r>
      <w:r w:rsidRPr="00041E08">
        <w:t xml:space="preserve">andomized </w:t>
      </w:r>
      <w:r>
        <w:t>c</w:t>
      </w:r>
      <w:r w:rsidRPr="00041E08">
        <w:t xml:space="preserve">ontrolled </w:t>
      </w:r>
      <w:r>
        <w:t>t</w:t>
      </w:r>
      <w:r w:rsidRPr="00041E08">
        <w:t xml:space="preserve">rial in Norway. </w:t>
      </w:r>
      <w:r w:rsidRPr="00041E08">
        <w:rPr>
          <w:i/>
          <w:iCs/>
        </w:rPr>
        <w:t xml:space="preserve">Ann Surg </w:t>
      </w:r>
      <w:r w:rsidRPr="00041E08">
        <w:t>269(2): 283–90. DOI:</w:t>
      </w:r>
      <w:r>
        <w:t> </w:t>
      </w:r>
      <w:r w:rsidRPr="00041E08">
        <w:t xml:space="preserve">10.1097/sla.0000000000002584 (accessed 16 June 2021). </w:t>
      </w:r>
    </w:p>
    <w:p w14:paraId="19634261" w14:textId="77777777" w:rsidR="00391C18" w:rsidRPr="0015017F" w:rsidRDefault="00391C18" w:rsidP="00391C18">
      <w:r w:rsidRPr="0015017F">
        <w:t>Abbott TEF, Ahmad T, Phull MK,</w:t>
      </w:r>
      <w:r>
        <w:t xml:space="preserve"> et al. </w:t>
      </w:r>
      <w:r w:rsidRPr="0015017F">
        <w:t xml:space="preserve">2018. The surgical safety checklist and patient outcomes after surgery: </w:t>
      </w:r>
      <w:r>
        <w:t>A</w:t>
      </w:r>
      <w:r w:rsidRPr="0015017F">
        <w:t xml:space="preserve"> prospective observational cohort study, systematic review and meta-analysis. </w:t>
      </w:r>
      <w:r w:rsidRPr="00041E08">
        <w:rPr>
          <w:i/>
          <w:iCs/>
        </w:rPr>
        <w:t xml:space="preserve">Br J Anaesth </w:t>
      </w:r>
      <w:r w:rsidRPr="008D7009">
        <w:t>120</w:t>
      </w:r>
      <w:r w:rsidRPr="0015017F">
        <w:t>(1)</w:t>
      </w:r>
      <w:r>
        <w:t>:</w:t>
      </w:r>
      <w:r w:rsidRPr="0015017F">
        <w:t xml:space="preserve"> 146</w:t>
      </w:r>
      <w:r>
        <w:t>–</w:t>
      </w:r>
      <w:r w:rsidRPr="0015017F">
        <w:t>55. DOI:</w:t>
      </w:r>
      <w:r>
        <w:t xml:space="preserve"> </w:t>
      </w:r>
      <w:r w:rsidRPr="0015017F">
        <w:t>10.1016/j.bja.2017.08.002</w:t>
      </w:r>
      <w:r>
        <w:t xml:space="preserve"> (accessed 16 June 2021).</w:t>
      </w:r>
    </w:p>
    <w:p w14:paraId="7497F0E6" w14:textId="77777777" w:rsidR="00391C18" w:rsidRPr="003E043C" w:rsidRDefault="00391C18" w:rsidP="00391C18">
      <w:r w:rsidRPr="003E043C">
        <w:t xml:space="preserve">Martis WR, Hannam JA, Lee T, </w:t>
      </w:r>
      <w:r>
        <w:t>et al</w:t>
      </w:r>
      <w:r w:rsidRPr="003E043C">
        <w:t xml:space="preserve">. 2016. Improved compliance with the World Health Organization Surgical Safety Checklist is associated with reduced surgical specimen labelling errors. </w:t>
      </w:r>
      <w:r w:rsidRPr="00DB2CB9">
        <w:rPr>
          <w:i/>
          <w:iCs/>
        </w:rPr>
        <w:t>NZ Med J</w:t>
      </w:r>
      <w:r w:rsidRPr="00A25AAD">
        <w:t xml:space="preserve"> 129</w:t>
      </w:r>
      <w:r w:rsidRPr="003E043C">
        <w:t>(1441)</w:t>
      </w:r>
      <w:r>
        <w:t>:</w:t>
      </w:r>
      <w:r w:rsidRPr="003E043C">
        <w:t xml:space="preserve"> 63</w:t>
      </w:r>
      <w:r>
        <w:t>–</w:t>
      </w:r>
      <w:r w:rsidRPr="003E043C">
        <w:t xml:space="preserve">67. </w:t>
      </w:r>
    </w:p>
    <w:p w14:paraId="4C7F86D1" w14:textId="77777777" w:rsidR="00391C18" w:rsidRPr="003E043C" w:rsidRDefault="00391C18" w:rsidP="00391C18">
      <w:r w:rsidRPr="003E043C">
        <w:t>Mayer EK, Sevdalis N, Rout S,</w:t>
      </w:r>
      <w:r>
        <w:t xml:space="preserve"> et al</w:t>
      </w:r>
      <w:r w:rsidRPr="003E043C">
        <w:t xml:space="preserve">. 2016. Surgical Checklist Implementation Project: The </w:t>
      </w:r>
      <w:r>
        <w:t>i</w:t>
      </w:r>
      <w:r w:rsidRPr="003E043C">
        <w:t xml:space="preserve">mpact of </w:t>
      </w:r>
      <w:r>
        <w:t>v</w:t>
      </w:r>
      <w:r w:rsidRPr="003E043C">
        <w:t xml:space="preserve">ariable WHO </w:t>
      </w:r>
      <w:r>
        <w:t>c</w:t>
      </w:r>
      <w:r w:rsidRPr="003E043C">
        <w:t xml:space="preserve">hecklist </w:t>
      </w:r>
      <w:r>
        <w:t>c</w:t>
      </w:r>
      <w:r w:rsidRPr="003E043C">
        <w:t xml:space="preserve">ompliance on </w:t>
      </w:r>
      <w:r>
        <w:t>r</w:t>
      </w:r>
      <w:r w:rsidRPr="003E043C">
        <w:t xml:space="preserve">isk-adjusted </w:t>
      </w:r>
      <w:r>
        <w:t>c</w:t>
      </w:r>
      <w:r w:rsidRPr="003E043C">
        <w:t xml:space="preserve">linical </w:t>
      </w:r>
      <w:r>
        <w:t>o</w:t>
      </w:r>
      <w:r w:rsidRPr="003E043C">
        <w:t xml:space="preserve">utcomes </w:t>
      </w:r>
      <w:r>
        <w:t>a</w:t>
      </w:r>
      <w:r w:rsidRPr="003E043C">
        <w:t xml:space="preserve">fter </w:t>
      </w:r>
      <w:r>
        <w:lastRenderedPageBreak/>
        <w:t>n</w:t>
      </w:r>
      <w:r w:rsidRPr="003E043C">
        <w:t xml:space="preserve">ational </w:t>
      </w:r>
      <w:r>
        <w:t>i</w:t>
      </w:r>
      <w:r w:rsidRPr="003E043C">
        <w:t xml:space="preserve">mplementation: A </w:t>
      </w:r>
      <w:r>
        <w:t>l</w:t>
      </w:r>
      <w:r w:rsidRPr="003E043C">
        <w:t xml:space="preserve">ongitudinal </w:t>
      </w:r>
      <w:r>
        <w:t>s</w:t>
      </w:r>
      <w:r w:rsidRPr="003E043C">
        <w:t xml:space="preserve">tudy. </w:t>
      </w:r>
      <w:r w:rsidRPr="00DB2CB9">
        <w:rPr>
          <w:i/>
          <w:iCs/>
        </w:rPr>
        <w:t xml:space="preserve">Ann Surg </w:t>
      </w:r>
      <w:r w:rsidRPr="00A25AAD">
        <w:t>263</w:t>
      </w:r>
      <w:r w:rsidRPr="003E043C">
        <w:t>(1)</w:t>
      </w:r>
      <w:r>
        <w:t>:</w:t>
      </w:r>
      <w:r w:rsidRPr="003E043C">
        <w:t xml:space="preserve"> 58</w:t>
      </w:r>
      <w:r>
        <w:t>–</w:t>
      </w:r>
      <w:r w:rsidRPr="003E043C">
        <w:t>63. DOI:</w:t>
      </w:r>
      <w:r>
        <w:t> </w:t>
      </w:r>
      <w:r w:rsidRPr="003E043C">
        <w:t>10.1097/sla.0000000000001185</w:t>
      </w:r>
      <w:r>
        <w:t xml:space="preserve"> (accessed 16 June 2021).</w:t>
      </w:r>
    </w:p>
    <w:p w14:paraId="369DBD49" w14:textId="77777777" w:rsidR="00391C18" w:rsidRDefault="00391C18" w:rsidP="00391C18">
      <w:pPr>
        <w:keepNext/>
      </w:pPr>
      <w:r w:rsidRPr="00D36558">
        <w:t>Perry W, Civil I, Mitchell S,</w:t>
      </w:r>
      <w:r>
        <w:t xml:space="preserve"> et al</w:t>
      </w:r>
      <w:r w:rsidRPr="00D36558">
        <w:t xml:space="preserve">. 2015. Reducing perioperative harm in New Zealand: </w:t>
      </w:r>
      <w:r>
        <w:t>T</w:t>
      </w:r>
      <w:r w:rsidRPr="00D36558">
        <w:t>he WHO Surgical Safety Checklist, briefings and debriefings, and venous thromb</w:t>
      </w:r>
      <w:r>
        <w:t>o</w:t>
      </w:r>
      <w:r w:rsidRPr="00D36558">
        <w:t xml:space="preserve">embolism prophylaxis. </w:t>
      </w:r>
      <w:r w:rsidRPr="00041E08">
        <w:rPr>
          <w:i/>
          <w:iCs/>
        </w:rPr>
        <w:t xml:space="preserve">NZ Med J </w:t>
      </w:r>
      <w:r w:rsidRPr="008F7A02">
        <w:t>128</w:t>
      </w:r>
      <w:r w:rsidRPr="00D36558">
        <w:t>(1424)</w:t>
      </w:r>
      <w:r>
        <w:t>:</w:t>
      </w:r>
      <w:r w:rsidRPr="00D36558">
        <w:t xml:space="preserve"> 54</w:t>
      </w:r>
      <w:r>
        <w:t>–</w:t>
      </w:r>
      <w:r w:rsidRPr="00D36558">
        <w:t xml:space="preserve">67. </w:t>
      </w:r>
    </w:p>
    <w:p w14:paraId="50D8E7BA" w14:textId="77777777" w:rsidR="00391C18" w:rsidRPr="00861AE5" w:rsidRDefault="00391C18" w:rsidP="00391C18">
      <w:r w:rsidRPr="00861AE5">
        <w:t>Haugen AS, Søfteland E, Almeland SK,</w:t>
      </w:r>
      <w:r>
        <w:t xml:space="preserve"> et al</w:t>
      </w:r>
      <w:r w:rsidRPr="00861AE5">
        <w:t xml:space="preserve">. 2015. Effect of the World Health Organization checklist on patient outcomes: </w:t>
      </w:r>
      <w:r>
        <w:t>A</w:t>
      </w:r>
      <w:r w:rsidRPr="00861AE5">
        <w:t xml:space="preserve"> stepped wedge cluster randomized controlled trial. </w:t>
      </w:r>
      <w:r w:rsidRPr="00041E08">
        <w:rPr>
          <w:i/>
          <w:iCs/>
        </w:rPr>
        <w:t xml:space="preserve">Ann Surg </w:t>
      </w:r>
      <w:r w:rsidRPr="008F7A02">
        <w:t>261</w:t>
      </w:r>
      <w:r w:rsidRPr="00861AE5">
        <w:t>(5)</w:t>
      </w:r>
      <w:r>
        <w:t>:</w:t>
      </w:r>
      <w:r w:rsidRPr="00861AE5">
        <w:t xml:space="preserve"> 821</w:t>
      </w:r>
      <w:r>
        <w:t>–</w:t>
      </w:r>
      <w:r w:rsidRPr="00861AE5">
        <w:t>28. DOI:</w:t>
      </w:r>
      <w:r>
        <w:t> </w:t>
      </w:r>
      <w:r w:rsidRPr="00861AE5">
        <w:t>10.1097/sla.0000000000000716</w:t>
      </w:r>
      <w:r>
        <w:t xml:space="preserve"> (accessed 16 June 2021).</w:t>
      </w:r>
    </w:p>
    <w:p w14:paraId="7BA33163" w14:textId="77777777" w:rsidR="00391C18" w:rsidRDefault="00391C18" w:rsidP="00391C18">
      <w:r w:rsidRPr="008902BA">
        <w:t xml:space="preserve">Bergs J, Hellings J, Cleemput I, </w:t>
      </w:r>
      <w:r>
        <w:t xml:space="preserve">et al. </w:t>
      </w:r>
      <w:r w:rsidRPr="008902BA">
        <w:t xml:space="preserve">2014. Systematic review and meta-analysis of the effect of the World Health Organization surgical safety checklist on postoperative complications. </w:t>
      </w:r>
      <w:r w:rsidRPr="00041E08">
        <w:rPr>
          <w:i/>
          <w:iCs/>
        </w:rPr>
        <w:t xml:space="preserve">Br J Surg </w:t>
      </w:r>
      <w:r w:rsidRPr="008D7009">
        <w:t>101</w:t>
      </w:r>
      <w:r w:rsidRPr="008902BA">
        <w:t>(3)</w:t>
      </w:r>
      <w:r>
        <w:t>:</w:t>
      </w:r>
      <w:r w:rsidRPr="008902BA">
        <w:t xml:space="preserve"> 150</w:t>
      </w:r>
      <w:r>
        <w:t>–</w:t>
      </w:r>
      <w:r w:rsidRPr="008902BA">
        <w:t>58. DOI:</w:t>
      </w:r>
      <w:r>
        <w:t> </w:t>
      </w:r>
      <w:r w:rsidRPr="008902BA">
        <w:t>10.1002/bjs.9381</w:t>
      </w:r>
      <w:r>
        <w:t xml:space="preserve"> (accessed 16 June 2021).</w:t>
      </w:r>
    </w:p>
    <w:p w14:paraId="353F4367" w14:textId="77777777" w:rsidR="00391C18" w:rsidRDefault="00391C18" w:rsidP="00391C18">
      <w:r w:rsidRPr="008902BA">
        <w:t>Lyons VE, Popejoy LL</w:t>
      </w:r>
      <w:r>
        <w:t>.</w:t>
      </w:r>
      <w:r w:rsidRPr="008902BA">
        <w:t xml:space="preserve"> 2014. Meta-analysis of surgical safety checklist effects on teamwork, communication, morbidity, mortality, and safety. </w:t>
      </w:r>
      <w:r w:rsidRPr="00041E08">
        <w:rPr>
          <w:i/>
          <w:iCs/>
        </w:rPr>
        <w:t xml:space="preserve">West J Nurs Res </w:t>
      </w:r>
      <w:r w:rsidRPr="00860FBA">
        <w:t>36</w:t>
      </w:r>
      <w:r w:rsidRPr="008902BA">
        <w:t>(2)</w:t>
      </w:r>
      <w:r>
        <w:t>:</w:t>
      </w:r>
      <w:r w:rsidRPr="008902BA">
        <w:t xml:space="preserve"> 245</w:t>
      </w:r>
      <w:r>
        <w:t>–</w:t>
      </w:r>
      <w:r w:rsidRPr="008902BA">
        <w:t>61. DOI:</w:t>
      </w:r>
      <w:r>
        <w:t> </w:t>
      </w:r>
      <w:r w:rsidRPr="008902BA">
        <w:t>10.1177/0193945913505782</w:t>
      </w:r>
      <w:r>
        <w:t xml:space="preserve"> (accessed 16 June 2021).</w:t>
      </w:r>
    </w:p>
    <w:p w14:paraId="27307755" w14:textId="77777777" w:rsidR="00391C18" w:rsidRPr="007407DE" w:rsidRDefault="00391C18" w:rsidP="00391C18">
      <w:r w:rsidRPr="007407DE">
        <w:t>Russ</w:t>
      </w:r>
      <w:r>
        <w:t xml:space="preserve"> </w:t>
      </w:r>
      <w:r w:rsidRPr="007407DE">
        <w:t>S, Rout</w:t>
      </w:r>
      <w:r>
        <w:t xml:space="preserve"> </w:t>
      </w:r>
      <w:r w:rsidRPr="007407DE">
        <w:t>S, Sevdalis N,</w:t>
      </w:r>
      <w:r>
        <w:t xml:space="preserve"> et al</w:t>
      </w:r>
      <w:r w:rsidRPr="007407DE">
        <w:t xml:space="preserve">. 2013. Do safety checklists improve teamwork and communication in the operating room? A systematic review. </w:t>
      </w:r>
      <w:r w:rsidRPr="00041E08">
        <w:rPr>
          <w:i/>
          <w:iCs/>
        </w:rPr>
        <w:t xml:space="preserve">Ann Surg </w:t>
      </w:r>
      <w:r w:rsidRPr="00860FBA">
        <w:t>258</w:t>
      </w:r>
      <w:r w:rsidRPr="007407DE">
        <w:t>(6)</w:t>
      </w:r>
      <w:r>
        <w:t>:</w:t>
      </w:r>
      <w:r w:rsidRPr="007407DE">
        <w:t xml:space="preserve"> 856</w:t>
      </w:r>
      <w:r>
        <w:t>–</w:t>
      </w:r>
      <w:r w:rsidRPr="007407DE">
        <w:t>71. DOI:</w:t>
      </w:r>
      <w:r>
        <w:t> </w:t>
      </w:r>
      <w:r w:rsidRPr="007407DE">
        <w:t>10.1097/sla.0000000000000206</w:t>
      </w:r>
      <w:r>
        <w:t xml:space="preserve"> (accessed 16 June 2021).</w:t>
      </w:r>
    </w:p>
    <w:p w14:paraId="1216DA42" w14:textId="77777777" w:rsidR="00391C18" w:rsidRDefault="00391C18" w:rsidP="00391C18">
      <w:r w:rsidRPr="008902BA">
        <w:t>van Klei WA, Hoff RG, van Aarnhem EE,</w:t>
      </w:r>
      <w:r>
        <w:t xml:space="preserve"> et al.</w:t>
      </w:r>
      <w:r w:rsidRPr="008902BA">
        <w:t xml:space="preserve"> 2012. Effects of the introduction of the WHO </w:t>
      </w:r>
      <w:r>
        <w:t>“</w:t>
      </w:r>
      <w:r w:rsidRPr="008902BA">
        <w:t>Surgical Safety Checklist</w:t>
      </w:r>
      <w:r>
        <w:t>”</w:t>
      </w:r>
      <w:r w:rsidRPr="008902BA">
        <w:t xml:space="preserve"> on in-hospital mortality: </w:t>
      </w:r>
      <w:r>
        <w:t>A</w:t>
      </w:r>
      <w:r w:rsidRPr="008902BA">
        <w:t xml:space="preserve"> cohort study. </w:t>
      </w:r>
      <w:r w:rsidRPr="00DB2CB9">
        <w:rPr>
          <w:i/>
          <w:iCs/>
        </w:rPr>
        <w:t xml:space="preserve">Ann Surg </w:t>
      </w:r>
      <w:r w:rsidRPr="00C5404E">
        <w:t>255</w:t>
      </w:r>
      <w:r w:rsidRPr="008902BA">
        <w:t>(1)</w:t>
      </w:r>
      <w:r>
        <w:t>:</w:t>
      </w:r>
      <w:r w:rsidRPr="008902BA">
        <w:t xml:space="preserve"> 44</w:t>
      </w:r>
      <w:r>
        <w:t>–</w:t>
      </w:r>
      <w:r w:rsidRPr="008902BA">
        <w:t>49. DOI:</w:t>
      </w:r>
      <w:r>
        <w:t> </w:t>
      </w:r>
      <w:r w:rsidRPr="008902BA">
        <w:t>10.1097/SLA.0b013e31823779ae</w:t>
      </w:r>
      <w:r>
        <w:t xml:space="preserve"> (accessed 16 June 2021).</w:t>
      </w:r>
    </w:p>
    <w:p w14:paraId="04A06454" w14:textId="77777777" w:rsidR="00391C18" w:rsidRDefault="00391C18" w:rsidP="00391C18">
      <w:r w:rsidRPr="008902BA">
        <w:t>de Vries EN, Prins HA, Crolla RM,</w:t>
      </w:r>
      <w:r>
        <w:t xml:space="preserve"> et al.</w:t>
      </w:r>
      <w:r w:rsidRPr="008902BA">
        <w:t xml:space="preserve"> 2010. Effect of a comprehensive surgical safety system on patient outcomes. </w:t>
      </w:r>
      <w:r w:rsidRPr="00DB2CB9">
        <w:rPr>
          <w:i/>
          <w:iCs/>
        </w:rPr>
        <w:t xml:space="preserve">N Engl J Med </w:t>
      </w:r>
      <w:r w:rsidRPr="00C5404E">
        <w:t>363</w:t>
      </w:r>
      <w:r w:rsidRPr="008902BA">
        <w:t>(20)</w:t>
      </w:r>
      <w:r>
        <w:t>:</w:t>
      </w:r>
      <w:r w:rsidRPr="008902BA">
        <w:t xml:space="preserve"> 1</w:t>
      </w:r>
      <w:r>
        <w:t>,</w:t>
      </w:r>
      <w:r w:rsidRPr="008902BA">
        <w:t>928</w:t>
      </w:r>
      <w:r>
        <w:t>–</w:t>
      </w:r>
      <w:r w:rsidRPr="008902BA">
        <w:t>37. DOI:</w:t>
      </w:r>
      <w:r>
        <w:t> </w:t>
      </w:r>
      <w:r w:rsidRPr="008902BA">
        <w:t>10.1056/NEJMsa0911535</w:t>
      </w:r>
      <w:r>
        <w:t xml:space="preserve"> (accessed 16 June 2021).</w:t>
      </w:r>
    </w:p>
    <w:p w14:paraId="5962E8D1" w14:textId="77777777" w:rsidR="00391C18" w:rsidRDefault="00391C18" w:rsidP="00391C18">
      <w:r w:rsidRPr="008902BA">
        <w:t>Haynes AB, Weiser TG, Berry WR,</w:t>
      </w:r>
      <w:r>
        <w:t xml:space="preserve"> et al.</w:t>
      </w:r>
      <w:r w:rsidRPr="008902BA">
        <w:t xml:space="preserve"> 2009. A surgical safety checklist to reduce morbidity and mortality in a global population. </w:t>
      </w:r>
      <w:r w:rsidRPr="00DB2CB9">
        <w:rPr>
          <w:i/>
          <w:iCs/>
        </w:rPr>
        <w:t xml:space="preserve">N Engl J Med </w:t>
      </w:r>
      <w:r w:rsidRPr="00C5404E">
        <w:t>360</w:t>
      </w:r>
      <w:r w:rsidRPr="008902BA">
        <w:t>(5)</w:t>
      </w:r>
      <w:r>
        <w:t>:</w:t>
      </w:r>
      <w:r w:rsidRPr="008902BA">
        <w:t xml:space="preserve"> 491</w:t>
      </w:r>
      <w:r>
        <w:t>–</w:t>
      </w:r>
      <w:r w:rsidRPr="008902BA">
        <w:t>99.</w:t>
      </w:r>
      <w:r>
        <w:t xml:space="preserve"> </w:t>
      </w:r>
      <w:r w:rsidRPr="008902BA">
        <w:t>DOI:</w:t>
      </w:r>
      <w:r>
        <w:t> </w:t>
      </w:r>
      <w:r w:rsidRPr="008902BA">
        <w:t>10.1056/NEJMsa0810119</w:t>
      </w:r>
      <w:r>
        <w:t xml:space="preserve"> (accessed 16 June 2021).</w:t>
      </w:r>
    </w:p>
    <w:p w14:paraId="592562B9" w14:textId="77777777" w:rsidR="00391C18" w:rsidRDefault="00391C18" w:rsidP="00391C18">
      <w:r w:rsidRPr="008902BA">
        <w:t>Lingard</w:t>
      </w:r>
      <w:r>
        <w:t xml:space="preserve"> </w:t>
      </w:r>
      <w:r w:rsidRPr="008902BA">
        <w:t xml:space="preserve">L, Regehr G, Orser B, </w:t>
      </w:r>
      <w:r>
        <w:t>et al</w:t>
      </w:r>
      <w:r w:rsidRPr="008902BA">
        <w:t xml:space="preserve">. 2008. Evaluation of a preoperative checklist and team briefing among surgeons, nurses, and anesthesiologists to reduce failures in communication. </w:t>
      </w:r>
      <w:r w:rsidRPr="00041E08">
        <w:rPr>
          <w:i/>
          <w:iCs/>
        </w:rPr>
        <w:t xml:space="preserve">Arch Surg </w:t>
      </w:r>
      <w:r w:rsidRPr="00A25AAD">
        <w:t>143</w:t>
      </w:r>
      <w:r w:rsidRPr="008902BA">
        <w:t>(1)</w:t>
      </w:r>
      <w:r>
        <w:t>:</w:t>
      </w:r>
      <w:r w:rsidRPr="008902BA">
        <w:t xml:space="preserve"> 12</w:t>
      </w:r>
      <w:r>
        <w:t>–</w:t>
      </w:r>
      <w:r w:rsidRPr="008902BA">
        <w:t>17; discussion 18.</w:t>
      </w:r>
      <w:r>
        <w:t xml:space="preserve"> </w:t>
      </w:r>
      <w:r w:rsidRPr="008902BA">
        <w:t>DOI:</w:t>
      </w:r>
      <w:r>
        <w:t> </w:t>
      </w:r>
      <w:r w:rsidRPr="008902BA">
        <w:t>10.1001/archsurg.2007.21</w:t>
      </w:r>
      <w:r>
        <w:t xml:space="preserve"> (accessed 16 June 2021).</w:t>
      </w:r>
    </w:p>
    <w:p w14:paraId="336361C4" w14:textId="77777777" w:rsidR="00391C18" w:rsidRPr="00043E59" w:rsidRDefault="00391C18" w:rsidP="00391C18">
      <w:pPr>
        <w:keepNext/>
      </w:pPr>
      <w:r w:rsidRPr="00043E59">
        <w:t xml:space="preserve">Westman M, Takala R, Rahi M, </w:t>
      </w:r>
      <w:r>
        <w:t>et al</w:t>
      </w:r>
      <w:r w:rsidRPr="00043E59">
        <w:t xml:space="preserve">. 2020. The </w:t>
      </w:r>
      <w:r>
        <w:t>n</w:t>
      </w:r>
      <w:r w:rsidRPr="00043E59">
        <w:t xml:space="preserve">eed for </w:t>
      </w:r>
      <w:r>
        <w:t>s</w:t>
      </w:r>
      <w:r w:rsidRPr="00043E59">
        <w:t xml:space="preserve">urgical </w:t>
      </w:r>
      <w:r>
        <w:t>s</w:t>
      </w:r>
      <w:r w:rsidRPr="00043E59">
        <w:t xml:space="preserve">afety </w:t>
      </w:r>
      <w:r>
        <w:t>c</w:t>
      </w:r>
      <w:r w:rsidRPr="00043E59">
        <w:t xml:space="preserve">hecklists in </w:t>
      </w:r>
      <w:r>
        <w:t>n</w:t>
      </w:r>
      <w:r w:rsidRPr="00043E59">
        <w:t xml:space="preserve">eurosurgery </w:t>
      </w:r>
      <w:r>
        <w:t>n</w:t>
      </w:r>
      <w:r w:rsidRPr="00043E59">
        <w:t xml:space="preserve">ow and in the </w:t>
      </w:r>
      <w:r>
        <w:t>f</w:t>
      </w:r>
      <w:r w:rsidRPr="00043E59">
        <w:t>uture</w:t>
      </w:r>
      <w:r>
        <w:t xml:space="preserve">: </w:t>
      </w:r>
      <w:r w:rsidRPr="00043E59">
        <w:t xml:space="preserve">A </w:t>
      </w:r>
      <w:r>
        <w:t>s</w:t>
      </w:r>
      <w:r w:rsidRPr="00043E59">
        <w:t xml:space="preserve">ystematic </w:t>
      </w:r>
      <w:r>
        <w:t>r</w:t>
      </w:r>
      <w:r w:rsidRPr="00043E59">
        <w:t xml:space="preserve">eview. </w:t>
      </w:r>
      <w:r w:rsidRPr="00C76AB4">
        <w:rPr>
          <w:i/>
          <w:iCs/>
        </w:rPr>
        <w:t xml:space="preserve">World Neurosurg </w:t>
      </w:r>
      <w:r w:rsidRPr="00B9620C">
        <w:t>134</w:t>
      </w:r>
      <w:r>
        <w:t>:</w:t>
      </w:r>
      <w:r w:rsidRPr="00043E59">
        <w:t xml:space="preserve"> 614</w:t>
      </w:r>
      <w:r>
        <w:t>–</w:t>
      </w:r>
      <w:r w:rsidRPr="00043E59">
        <w:t>28.</w:t>
      </w:r>
      <w:r>
        <w:t xml:space="preserve"> </w:t>
      </w:r>
      <w:r w:rsidRPr="00043E59">
        <w:t>e613. DOI:</w:t>
      </w:r>
      <w:r>
        <w:t> </w:t>
      </w:r>
      <w:r w:rsidRPr="00043E59">
        <w:t>10.1016/j.wneu.2019.09.140</w:t>
      </w:r>
      <w:r>
        <w:t xml:space="preserve"> (accessed 16 June 2021).</w:t>
      </w:r>
    </w:p>
    <w:p w14:paraId="53F27C01" w14:textId="77777777" w:rsidR="00391C18" w:rsidRDefault="00391C18" w:rsidP="00391C18">
      <w:r w:rsidRPr="008902BA">
        <w:t xml:space="preserve">Patel J, Ahmed K, Guru KA, </w:t>
      </w:r>
      <w:r>
        <w:t xml:space="preserve">et al. </w:t>
      </w:r>
      <w:r w:rsidRPr="008902BA">
        <w:t>2014. An overview of the use and implementation of checklists in surgical specialities</w:t>
      </w:r>
      <w:r>
        <w:t>: A</w:t>
      </w:r>
      <w:r w:rsidRPr="008902BA">
        <w:t xml:space="preserve"> systematic review. </w:t>
      </w:r>
      <w:r w:rsidRPr="00C76AB4">
        <w:rPr>
          <w:i/>
          <w:iCs/>
        </w:rPr>
        <w:t xml:space="preserve">Int J Surg </w:t>
      </w:r>
      <w:r w:rsidRPr="00B9620C">
        <w:t>12</w:t>
      </w:r>
      <w:r w:rsidRPr="008902BA">
        <w:t>(12)</w:t>
      </w:r>
      <w:r>
        <w:t>:</w:t>
      </w:r>
      <w:r w:rsidRPr="008902BA">
        <w:t xml:space="preserve"> 1</w:t>
      </w:r>
      <w:r>
        <w:t>,</w:t>
      </w:r>
      <w:r w:rsidRPr="008902BA">
        <w:t>317</w:t>
      </w:r>
      <w:r>
        <w:t>–</w:t>
      </w:r>
      <w:r w:rsidRPr="008902BA">
        <w:t>23. DOI:</w:t>
      </w:r>
      <w:r>
        <w:t> </w:t>
      </w:r>
      <w:r w:rsidRPr="008902BA">
        <w:t>10.1016/j.ijsu.2014.10.031</w:t>
      </w:r>
      <w:r>
        <w:t xml:space="preserve"> (accessed 16 June 2021).</w:t>
      </w:r>
    </w:p>
    <w:p w14:paraId="512FC7E1" w14:textId="77777777" w:rsidR="00391C18" w:rsidRPr="00AD48B0" w:rsidRDefault="00391C18" w:rsidP="00391C18">
      <w:r w:rsidRPr="00AD48B0">
        <w:t>Weiser TG, Haynes AB, Dziekan G,</w:t>
      </w:r>
      <w:r>
        <w:t xml:space="preserve"> et al.</w:t>
      </w:r>
      <w:r w:rsidRPr="00AD48B0">
        <w:t xml:space="preserve"> 2010. Effect of a 19-item surgical safety checklist during urgent operations in a global patient population. </w:t>
      </w:r>
      <w:r w:rsidRPr="00C76AB4">
        <w:rPr>
          <w:i/>
          <w:iCs/>
        </w:rPr>
        <w:t xml:space="preserve">Ann Surg </w:t>
      </w:r>
      <w:r w:rsidRPr="00B9620C">
        <w:t>251</w:t>
      </w:r>
      <w:r w:rsidRPr="00AD48B0">
        <w:t>(5)</w:t>
      </w:r>
      <w:r>
        <w:t>:</w:t>
      </w:r>
      <w:r w:rsidRPr="00AD48B0">
        <w:t xml:space="preserve"> 976</w:t>
      </w:r>
      <w:r>
        <w:t>–</w:t>
      </w:r>
      <w:r w:rsidRPr="00AD48B0">
        <w:t>80. DOI:</w:t>
      </w:r>
      <w:r>
        <w:t> </w:t>
      </w:r>
      <w:r w:rsidRPr="00AD48B0">
        <w:t>10.1097/SLA.0b013e3181d970e3</w:t>
      </w:r>
      <w:r>
        <w:t xml:space="preserve"> (accessed 16 June 2021).</w:t>
      </w:r>
    </w:p>
    <w:p w14:paraId="62C282C5" w14:textId="77777777" w:rsidR="00391C18" w:rsidRDefault="00391C18" w:rsidP="00391C18">
      <w:r w:rsidRPr="00F166D7">
        <w:t xml:space="preserve">Weinger MB. 2021. Time out! Rethinking surgical safety: </w:t>
      </w:r>
      <w:r>
        <w:t>M</w:t>
      </w:r>
      <w:r w:rsidRPr="00F166D7">
        <w:t xml:space="preserve">ore than just a checklist. </w:t>
      </w:r>
      <w:r w:rsidRPr="002A2DD8">
        <w:rPr>
          <w:i/>
          <w:iCs/>
        </w:rPr>
        <w:t>BMJ Qual Saf</w:t>
      </w:r>
      <w:r w:rsidRPr="00F166D7">
        <w:t>.</w:t>
      </w:r>
      <w:r>
        <w:t xml:space="preserve"> Online first, March 23.</w:t>
      </w:r>
      <w:r w:rsidRPr="00F166D7">
        <w:t xml:space="preserve"> DOI:</w:t>
      </w:r>
      <w:r>
        <w:t> </w:t>
      </w:r>
      <w:r w:rsidRPr="00F166D7">
        <w:t>10.1136/bmjqs-2020-012600</w:t>
      </w:r>
      <w:r>
        <w:t xml:space="preserve"> (accessed 17 June 2021).</w:t>
      </w:r>
    </w:p>
    <w:p w14:paraId="6AD92813" w14:textId="77777777" w:rsidR="00391C18" w:rsidRPr="008902BA" w:rsidRDefault="00391C18" w:rsidP="00391C18">
      <w:r w:rsidRPr="008902BA">
        <w:lastRenderedPageBreak/>
        <w:t xml:space="preserve">de Jager </w:t>
      </w:r>
      <w:r>
        <w:t>E</w:t>
      </w:r>
      <w:r w:rsidRPr="008902BA">
        <w:t>, McKenna C, Bartlett L,</w:t>
      </w:r>
      <w:r>
        <w:t xml:space="preserve"> et al. </w:t>
      </w:r>
      <w:r w:rsidRPr="008902BA">
        <w:t xml:space="preserve">2016. Postoperative </w:t>
      </w:r>
      <w:r>
        <w:t>a</w:t>
      </w:r>
      <w:r w:rsidRPr="008902BA">
        <w:t xml:space="preserve">dverse </w:t>
      </w:r>
      <w:r>
        <w:t>e</w:t>
      </w:r>
      <w:r w:rsidRPr="008902BA">
        <w:t xml:space="preserve">vents </w:t>
      </w:r>
      <w:r>
        <w:t>i</w:t>
      </w:r>
      <w:r w:rsidRPr="008902BA">
        <w:t xml:space="preserve">nconsistently </w:t>
      </w:r>
      <w:r>
        <w:t>i</w:t>
      </w:r>
      <w:r w:rsidRPr="008902BA">
        <w:t xml:space="preserve">mproved by the World Health Organization Surgical Safety Checklist: A </w:t>
      </w:r>
      <w:r>
        <w:t>s</w:t>
      </w:r>
      <w:r w:rsidRPr="008902BA">
        <w:t xml:space="preserve">ystematic </w:t>
      </w:r>
      <w:r>
        <w:t>l</w:t>
      </w:r>
      <w:r w:rsidRPr="008902BA">
        <w:t xml:space="preserve">iterature </w:t>
      </w:r>
      <w:r>
        <w:t>r</w:t>
      </w:r>
      <w:r w:rsidRPr="008902BA">
        <w:t xml:space="preserve">eview of 25 </w:t>
      </w:r>
      <w:r>
        <w:t>s</w:t>
      </w:r>
      <w:r w:rsidRPr="008902BA">
        <w:t xml:space="preserve">tudies. </w:t>
      </w:r>
      <w:r w:rsidRPr="002A2DD8">
        <w:rPr>
          <w:i/>
          <w:iCs/>
        </w:rPr>
        <w:t xml:space="preserve">World J Surg </w:t>
      </w:r>
      <w:r w:rsidRPr="005131BF">
        <w:t>40</w:t>
      </w:r>
      <w:r w:rsidRPr="008902BA">
        <w:t>(8)</w:t>
      </w:r>
      <w:r>
        <w:t>:</w:t>
      </w:r>
      <w:r w:rsidRPr="008902BA">
        <w:t xml:space="preserve"> 1</w:t>
      </w:r>
      <w:r>
        <w:t>,</w:t>
      </w:r>
      <w:r w:rsidRPr="008902BA">
        <w:t>842</w:t>
      </w:r>
      <w:r>
        <w:t>–</w:t>
      </w:r>
      <w:r w:rsidRPr="008902BA">
        <w:t>58. DOI:</w:t>
      </w:r>
      <w:r>
        <w:t> </w:t>
      </w:r>
      <w:r w:rsidRPr="008902BA">
        <w:t>10.1007/s00268-016-3519-9</w:t>
      </w:r>
      <w:r>
        <w:t xml:space="preserve"> (accessed 17 June 2021).</w:t>
      </w:r>
    </w:p>
    <w:p w14:paraId="56175CE7" w14:textId="77777777" w:rsidR="00391C18" w:rsidRDefault="00391C18" w:rsidP="00391C18">
      <w:r w:rsidRPr="0015017F">
        <w:t>Haugen AS, Søfteland E, Sevdalis N,</w:t>
      </w:r>
      <w:r>
        <w:t xml:space="preserve"> et al. </w:t>
      </w:r>
      <w:r w:rsidRPr="0015017F">
        <w:t xml:space="preserve">2020. Impact of the Norwegian National Patient Safety Program on implementation of the WHO Surgical Safety Checklist and on perioperative safety culture. </w:t>
      </w:r>
      <w:r w:rsidRPr="002A2DD8">
        <w:rPr>
          <w:i/>
          <w:iCs/>
        </w:rPr>
        <w:t xml:space="preserve">BMJ Open Qual </w:t>
      </w:r>
      <w:r w:rsidRPr="005131BF">
        <w:t>9</w:t>
      </w:r>
      <w:r w:rsidRPr="0015017F">
        <w:t xml:space="preserve">(3). </w:t>
      </w:r>
      <w:r>
        <w:t xml:space="preserve">Online first. </w:t>
      </w:r>
      <w:r w:rsidRPr="0015017F">
        <w:t>DOI:</w:t>
      </w:r>
      <w:r>
        <w:t> </w:t>
      </w:r>
      <w:r w:rsidRPr="0015017F">
        <w:t>10.1136/bmjoq-2020-000966</w:t>
      </w:r>
      <w:r>
        <w:t xml:space="preserve"> (accessed 17 June 2021).</w:t>
      </w:r>
    </w:p>
    <w:p w14:paraId="014A072E" w14:textId="77777777" w:rsidR="00391C18" w:rsidRPr="008902BA" w:rsidRDefault="00391C18" w:rsidP="00391C18">
      <w:r w:rsidRPr="00015EB8">
        <w:t xml:space="preserve">Taplin C, Romano L, Tacey M, </w:t>
      </w:r>
      <w:r>
        <w:t>et al</w:t>
      </w:r>
      <w:r w:rsidRPr="00015EB8">
        <w:t xml:space="preserve">. 2020. Everyone has </w:t>
      </w:r>
      <w:r>
        <w:t>t</w:t>
      </w:r>
      <w:r w:rsidRPr="00015EB8">
        <w:t xml:space="preserve">heir </w:t>
      </w:r>
      <w:r>
        <w:t>r</w:t>
      </w:r>
      <w:r w:rsidRPr="00015EB8">
        <w:t xml:space="preserve">ole to </w:t>
      </w:r>
      <w:r>
        <w:t>p</w:t>
      </w:r>
      <w:r w:rsidRPr="00015EB8">
        <w:t xml:space="preserve">lay </w:t>
      </w:r>
      <w:r>
        <w:t>d</w:t>
      </w:r>
      <w:r w:rsidRPr="00015EB8">
        <w:t>uring the World Health Organi</w:t>
      </w:r>
      <w:r>
        <w:t>z</w:t>
      </w:r>
      <w:r w:rsidRPr="00015EB8">
        <w:t xml:space="preserve">ation Surgical Safety Checklist in Australia: A </w:t>
      </w:r>
      <w:r>
        <w:t>p</w:t>
      </w:r>
      <w:r w:rsidRPr="00015EB8">
        <w:t xml:space="preserve">rospective </w:t>
      </w:r>
      <w:r>
        <w:t>o</w:t>
      </w:r>
      <w:r w:rsidRPr="00015EB8">
        <w:t xml:space="preserve">bservational </w:t>
      </w:r>
      <w:r>
        <w:t>s</w:t>
      </w:r>
      <w:r w:rsidRPr="00015EB8">
        <w:t xml:space="preserve">tudy. </w:t>
      </w:r>
      <w:r w:rsidRPr="002A2DD8">
        <w:rPr>
          <w:i/>
          <w:iCs/>
        </w:rPr>
        <w:t xml:space="preserve">World J Surg </w:t>
      </w:r>
      <w:r w:rsidRPr="005131BF">
        <w:t>44</w:t>
      </w:r>
      <w:r w:rsidRPr="00015EB8">
        <w:t>(6)</w:t>
      </w:r>
      <w:r>
        <w:t>:</w:t>
      </w:r>
      <w:r w:rsidRPr="00015EB8">
        <w:t xml:space="preserve"> 1</w:t>
      </w:r>
      <w:r>
        <w:t>,</w:t>
      </w:r>
      <w:r w:rsidRPr="00015EB8">
        <w:t>755</w:t>
      </w:r>
      <w:r>
        <w:t>–</w:t>
      </w:r>
      <w:r w:rsidRPr="00015EB8">
        <w:t>61. DOI:</w:t>
      </w:r>
      <w:r>
        <w:t> </w:t>
      </w:r>
      <w:r w:rsidRPr="00015EB8">
        <w:t>10.1007/s00268-020-05397-2</w:t>
      </w:r>
      <w:r>
        <w:t xml:space="preserve"> (accessed 17 June 2021).</w:t>
      </w:r>
    </w:p>
    <w:p w14:paraId="3CED1B89" w14:textId="77777777" w:rsidR="00391C18" w:rsidRDefault="00391C18" w:rsidP="00391C18">
      <w:r w:rsidRPr="008902BA">
        <w:t>Weller JM, Jowsey T, Skilton C</w:t>
      </w:r>
      <w:r>
        <w:t xml:space="preserve">, et al. </w:t>
      </w:r>
      <w:r w:rsidRPr="008902BA">
        <w:t xml:space="preserve">2018. Improving the quality of administration of the Surgical Safety Checklist: </w:t>
      </w:r>
      <w:r>
        <w:t>A</w:t>
      </w:r>
      <w:r w:rsidRPr="008902BA">
        <w:t xml:space="preserve"> mixed methods study in New Zealand hospitals. </w:t>
      </w:r>
      <w:r w:rsidRPr="002A2DD8">
        <w:rPr>
          <w:i/>
          <w:iCs/>
        </w:rPr>
        <w:t xml:space="preserve">BMJ Open </w:t>
      </w:r>
      <w:r w:rsidRPr="005131BF">
        <w:t>8</w:t>
      </w:r>
      <w:r w:rsidRPr="008902BA">
        <w:t>(12)</w:t>
      </w:r>
      <w:r>
        <w:t>:</w:t>
      </w:r>
      <w:r w:rsidRPr="008902BA">
        <w:t xml:space="preserve"> e022882. DOI:</w:t>
      </w:r>
      <w:r>
        <w:t> </w:t>
      </w:r>
      <w:r w:rsidRPr="008902BA">
        <w:t>10.1136/bmjopen-2018-022882</w:t>
      </w:r>
      <w:r>
        <w:t xml:space="preserve"> (accessed 17 June 2021).</w:t>
      </w:r>
    </w:p>
    <w:p w14:paraId="6FB7356A" w14:textId="77777777" w:rsidR="00391C18" w:rsidRDefault="00391C18" w:rsidP="00391C18">
      <w:r w:rsidRPr="008902BA">
        <w:t>Ong</w:t>
      </w:r>
      <w:r>
        <w:t xml:space="preserve"> </w:t>
      </w:r>
      <w:r w:rsidRPr="008902BA">
        <w:t xml:space="preserve">AP, Devcich DA, Hannam J, </w:t>
      </w:r>
      <w:r>
        <w:t xml:space="preserve">et al. </w:t>
      </w:r>
      <w:r w:rsidRPr="008902BA">
        <w:t xml:space="preserve">2016. A </w:t>
      </w:r>
      <w:r>
        <w:t>‘</w:t>
      </w:r>
      <w:r w:rsidRPr="008902BA">
        <w:t>paperless</w:t>
      </w:r>
      <w:r>
        <w:t>’</w:t>
      </w:r>
      <w:r w:rsidRPr="008902BA">
        <w:t xml:space="preserve"> wall-mounted surgical safety checklist with migrated leadership can improve compliance and team engagement. </w:t>
      </w:r>
      <w:r w:rsidRPr="002A2DD8">
        <w:rPr>
          <w:i/>
          <w:iCs/>
        </w:rPr>
        <w:t xml:space="preserve">BMJ Qual Saf </w:t>
      </w:r>
      <w:r w:rsidRPr="005131BF">
        <w:t>25</w:t>
      </w:r>
      <w:r w:rsidRPr="008902BA">
        <w:t>(12)</w:t>
      </w:r>
      <w:r>
        <w:t>:</w:t>
      </w:r>
      <w:r w:rsidRPr="008902BA">
        <w:t xml:space="preserve"> 971</w:t>
      </w:r>
      <w:r>
        <w:t>–</w:t>
      </w:r>
      <w:r w:rsidRPr="008902BA">
        <w:t>76. DOI:</w:t>
      </w:r>
      <w:r>
        <w:t> </w:t>
      </w:r>
      <w:r w:rsidRPr="008902BA">
        <w:t>10.1136/bmjqs-2015-004545</w:t>
      </w:r>
      <w:r>
        <w:t xml:space="preserve"> (accessed 17 June 2021).</w:t>
      </w:r>
    </w:p>
    <w:p w14:paraId="4287CABA" w14:textId="77777777" w:rsidR="00391C18" w:rsidRPr="008902BA" w:rsidRDefault="00391C18" w:rsidP="00391C18">
      <w:r w:rsidRPr="008902BA">
        <w:t>Bergs J, Lambrechts F, Simons P,</w:t>
      </w:r>
      <w:r>
        <w:t xml:space="preserve"> et al</w:t>
      </w:r>
      <w:r w:rsidRPr="008902BA">
        <w:t xml:space="preserve">. 2015. Barriers and facilitators related to the implementation of surgical safety checklists: </w:t>
      </w:r>
      <w:r>
        <w:t>A</w:t>
      </w:r>
      <w:r w:rsidRPr="008902BA">
        <w:t xml:space="preserve"> systematic review of the qualitative evidence. </w:t>
      </w:r>
      <w:r w:rsidRPr="002A2DD8">
        <w:rPr>
          <w:i/>
          <w:iCs/>
        </w:rPr>
        <w:t xml:space="preserve">BMJ Qual Saf </w:t>
      </w:r>
      <w:r w:rsidRPr="005131BF">
        <w:t>24</w:t>
      </w:r>
      <w:r w:rsidRPr="008902BA">
        <w:t>(12)</w:t>
      </w:r>
      <w:r>
        <w:t xml:space="preserve">: </w:t>
      </w:r>
      <w:r w:rsidRPr="008902BA">
        <w:t>776</w:t>
      </w:r>
      <w:r>
        <w:t>–</w:t>
      </w:r>
      <w:r w:rsidRPr="008902BA">
        <w:t>86. DOI:</w:t>
      </w:r>
      <w:r>
        <w:t> </w:t>
      </w:r>
      <w:r w:rsidRPr="008902BA">
        <w:t>10.1136/bmjqs-2015-004021</w:t>
      </w:r>
      <w:r>
        <w:t xml:space="preserve"> (accessed 17 June 2021).</w:t>
      </w:r>
    </w:p>
    <w:p w14:paraId="35938E89" w14:textId="77777777" w:rsidR="00391C18" w:rsidRPr="008902BA" w:rsidRDefault="00391C18" w:rsidP="00391C18">
      <w:r w:rsidRPr="008902BA">
        <w:t xml:space="preserve">Russ SJ, Sevdalis N, Moorthy K, </w:t>
      </w:r>
      <w:r>
        <w:t xml:space="preserve">et al. </w:t>
      </w:r>
      <w:r w:rsidRPr="008902BA">
        <w:t xml:space="preserve">2015. A qualitative evaluation of the barriers and facilitators toward implementation of the WHO surgical safety checklist across hospitals in England: </w:t>
      </w:r>
      <w:r>
        <w:t>L</w:t>
      </w:r>
      <w:r w:rsidRPr="008902BA">
        <w:t xml:space="preserve">essons from the </w:t>
      </w:r>
      <w:r>
        <w:t>“</w:t>
      </w:r>
      <w:r w:rsidRPr="008902BA">
        <w:t>Surgical Checklist Implementation Project</w:t>
      </w:r>
      <w:r>
        <w:t>”</w:t>
      </w:r>
      <w:r w:rsidRPr="008902BA">
        <w:t xml:space="preserve">. </w:t>
      </w:r>
      <w:r w:rsidRPr="002A2DD8">
        <w:rPr>
          <w:i/>
          <w:iCs/>
        </w:rPr>
        <w:t xml:space="preserve">Ann Surg </w:t>
      </w:r>
      <w:r w:rsidRPr="005131BF">
        <w:t>261</w:t>
      </w:r>
      <w:r w:rsidRPr="008902BA">
        <w:t>(1)</w:t>
      </w:r>
      <w:r>
        <w:t>:</w:t>
      </w:r>
      <w:r w:rsidRPr="008902BA">
        <w:t xml:space="preserve"> 81</w:t>
      </w:r>
      <w:r>
        <w:t>–</w:t>
      </w:r>
      <w:r w:rsidRPr="008902BA">
        <w:t>91. DOI:</w:t>
      </w:r>
      <w:r>
        <w:t> </w:t>
      </w:r>
      <w:r w:rsidRPr="008902BA">
        <w:t>10.1097/sla.0000000000000793</w:t>
      </w:r>
      <w:r>
        <w:t xml:space="preserve"> (accessed 17 June 2021).</w:t>
      </w:r>
    </w:p>
    <w:p w14:paraId="5BABC0BE" w14:textId="77777777" w:rsidR="00391C18" w:rsidRPr="00FA4ABC" w:rsidRDefault="00391C18" w:rsidP="00391C18">
      <w:r w:rsidRPr="00FA4ABC">
        <w:t>Sendlhofer</w:t>
      </w:r>
      <w:r>
        <w:t xml:space="preserve"> </w:t>
      </w:r>
      <w:r w:rsidRPr="00FA4ABC">
        <w:t xml:space="preserve">G, Mosbacher N, Karina L, </w:t>
      </w:r>
      <w:r>
        <w:t xml:space="preserve">et al. </w:t>
      </w:r>
      <w:r w:rsidRPr="00FA4ABC">
        <w:t xml:space="preserve">2015. Implementation of a surgical safety checklist: </w:t>
      </w:r>
      <w:r>
        <w:t>I</w:t>
      </w:r>
      <w:r w:rsidRPr="00FA4ABC">
        <w:t xml:space="preserve">nterventions to optimize the process and hints to increase compliance. </w:t>
      </w:r>
      <w:r w:rsidRPr="002A2DD8">
        <w:rPr>
          <w:i/>
          <w:iCs/>
        </w:rPr>
        <w:t xml:space="preserve">PLoS One </w:t>
      </w:r>
      <w:r w:rsidRPr="005131BF">
        <w:t>10</w:t>
      </w:r>
      <w:r w:rsidRPr="00FA4ABC">
        <w:t>(2)</w:t>
      </w:r>
      <w:r>
        <w:t>:</w:t>
      </w:r>
      <w:r w:rsidRPr="00FA4ABC">
        <w:t xml:space="preserve"> e0116926. DOI:</w:t>
      </w:r>
      <w:r>
        <w:t> </w:t>
      </w:r>
      <w:r w:rsidRPr="00FA4ABC">
        <w:t>10.1371/journal.pone.0116926</w:t>
      </w:r>
      <w:r>
        <w:t xml:space="preserve"> (accessed 17 June 2021).</w:t>
      </w:r>
    </w:p>
    <w:p w14:paraId="228BF33C" w14:textId="77777777" w:rsidR="00391C18" w:rsidRPr="008902BA" w:rsidRDefault="00391C18" w:rsidP="00391C18">
      <w:r w:rsidRPr="008902BA">
        <w:t xml:space="preserve">Hannam JA, Glass L, Kwon J, </w:t>
      </w:r>
      <w:r>
        <w:t xml:space="preserve">et al. </w:t>
      </w:r>
      <w:r w:rsidRPr="008902BA">
        <w:t xml:space="preserve">2013. A prospective, observational study of the effects of implementation strategy on compliance with a surgical safety checklist. </w:t>
      </w:r>
      <w:r w:rsidRPr="002A2DD8">
        <w:rPr>
          <w:i/>
          <w:iCs/>
        </w:rPr>
        <w:t xml:space="preserve">BMJ Qual Saf </w:t>
      </w:r>
      <w:r w:rsidRPr="005131BF">
        <w:t>22</w:t>
      </w:r>
      <w:r w:rsidRPr="008902BA">
        <w:t>(11)</w:t>
      </w:r>
      <w:r>
        <w:t>:</w:t>
      </w:r>
      <w:r w:rsidRPr="008902BA">
        <w:t xml:space="preserve"> 940</w:t>
      </w:r>
      <w:r>
        <w:t>–</w:t>
      </w:r>
      <w:r w:rsidRPr="008902BA">
        <w:t>47. DOI:</w:t>
      </w:r>
      <w:r>
        <w:t> </w:t>
      </w:r>
      <w:r w:rsidRPr="008902BA">
        <w:t>10.1136/bmjqs-2012-001749</w:t>
      </w:r>
      <w:r>
        <w:t xml:space="preserve"> (accessed 17 June 2021).</w:t>
      </w:r>
    </w:p>
    <w:p w14:paraId="6BD78C75" w14:textId="77777777" w:rsidR="00391C18" w:rsidRPr="004101E9" w:rsidRDefault="00391C18" w:rsidP="00391C18">
      <w:pPr>
        <w:pStyle w:val="H1evidencesummary"/>
      </w:pPr>
      <w:bookmarkStart w:id="8" w:name="_Toc74818412"/>
      <w:bookmarkStart w:id="9" w:name="_Toc79066226"/>
      <w:r w:rsidRPr="004101E9">
        <w:t>Team training and safer surgery</w:t>
      </w:r>
      <w:bookmarkEnd w:id="8"/>
      <w:bookmarkEnd w:id="9"/>
    </w:p>
    <w:p w14:paraId="47345F50" w14:textId="77777777" w:rsidR="00391C18" w:rsidRDefault="00391C18" w:rsidP="00391C18">
      <w:r w:rsidRPr="001C6220">
        <w:t>Babic B</w:t>
      </w:r>
      <w:r>
        <w:t>,</w:t>
      </w:r>
      <w:r w:rsidRPr="001C6220">
        <w:t xml:space="preserve"> Volpe AA, Merola S, </w:t>
      </w:r>
      <w:r>
        <w:t>et al</w:t>
      </w:r>
      <w:r w:rsidRPr="001C6220">
        <w:t xml:space="preserve">. </w:t>
      </w:r>
      <w:r>
        <w:t xml:space="preserve">2018. </w:t>
      </w:r>
      <w:r w:rsidRPr="001C6220">
        <w:t xml:space="preserve">Sustained culture and surgical outcome improvement. </w:t>
      </w:r>
      <w:r w:rsidRPr="001C6220">
        <w:rPr>
          <w:i/>
          <w:iCs/>
        </w:rPr>
        <w:t>Am J Surg</w:t>
      </w:r>
      <w:r>
        <w:t xml:space="preserve"> </w:t>
      </w:r>
      <w:r w:rsidRPr="001C6220">
        <w:t>216(5):</w:t>
      </w:r>
      <w:r>
        <w:t xml:space="preserve"> </w:t>
      </w:r>
      <w:r w:rsidRPr="001C6220">
        <w:t>841</w:t>
      </w:r>
      <w:r>
        <w:t>–</w:t>
      </w:r>
      <w:r w:rsidRPr="001C6220">
        <w:t>45. DOI: 10.1016/j.amjsurg.2018.02.016. Epub 2018 Feb 16.</w:t>
      </w:r>
    </w:p>
    <w:p w14:paraId="149157BC" w14:textId="77777777" w:rsidR="00391C18" w:rsidRDefault="00391C18" w:rsidP="00391C18">
      <w:r w:rsidRPr="00ED00CD">
        <w:t>Hughes AM, Gregory ME, Joseph DL,</w:t>
      </w:r>
      <w:r>
        <w:t xml:space="preserve"> et al.</w:t>
      </w:r>
      <w:r w:rsidRPr="00ED00CD">
        <w:t xml:space="preserve"> 2016. Saving lives: A meta-analysis of team training in healthcare. </w:t>
      </w:r>
      <w:r w:rsidRPr="00C87E19">
        <w:rPr>
          <w:i/>
          <w:iCs/>
        </w:rPr>
        <w:t xml:space="preserve">J Appl Psychol </w:t>
      </w:r>
      <w:r w:rsidRPr="00756454">
        <w:t>101</w:t>
      </w:r>
      <w:r w:rsidRPr="00ED00CD">
        <w:t>(9)</w:t>
      </w:r>
      <w:r>
        <w:t>:</w:t>
      </w:r>
      <w:r w:rsidRPr="00ED00CD">
        <w:t xml:space="preserve"> 1</w:t>
      </w:r>
      <w:r>
        <w:t>,</w:t>
      </w:r>
      <w:r w:rsidRPr="00ED00CD">
        <w:t>266</w:t>
      </w:r>
      <w:r>
        <w:t>–</w:t>
      </w:r>
      <w:r w:rsidRPr="00ED00CD">
        <w:t>304. DOI:</w:t>
      </w:r>
      <w:r>
        <w:t> </w:t>
      </w:r>
      <w:r w:rsidRPr="00ED00CD">
        <w:t>10.1037/apl0000120</w:t>
      </w:r>
      <w:r>
        <w:t xml:space="preserve"> (</w:t>
      </w:r>
      <w:r w:rsidRPr="00C87E19">
        <w:rPr>
          <w:b/>
          <w:bCs/>
        </w:rPr>
        <w:t>full text not freely available</w:t>
      </w:r>
      <w:r>
        <w:t>).</w:t>
      </w:r>
    </w:p>
    <w:p w14:paraId="65CF171A" w14:textId="77777777" w:rsidR="00391C18" w:rsidRDefault="00391C18" w:rsidP="00391C18">
      <w:r w:rsidRPr="00ED00CD">
        <w:t xml:space="preserve">Sacks GD, Shannon EM, Dawes AJ, </w:t>
      </w:r>
      <w:r>
        <w:t xml:space="preserve">et al. </w:t>
      </w:r>
      <w:r w:rsidRPr="00ED00CD">
        <w:t xml:space="preserve">2015. Teamwork, communication and safety climate: </w:t>
      </w:r>
      <w:r>
        <w:t>A</w:t>
      </w:r>
      <w:r w:rsidRPr="00ED00CD">
        <w:t xml:space="preserve"> systematic review of interventions to improve surgical culture. </w:t>
      </w:r>
      <w:r w:rsidRPr="00C87E19">
        <w:rPr>
          <w:i/>
          <w:iCs/>
        </w:rPr>
        <w:t xml:space="preserve">BMJ Qual Saf </w:t>
      </w:r>
      <w:r w:rsidRPr="00756454">
        <w:t>24</w:t>
      </w:r>
      <w:r w:rsidRPr="00ED00CD">
        <w:t>(7)</w:t>
      </w:r>
      <w:r>
        <w:t>:</w:t>
      </w:r>
      <w:r w:rsidRPr="00ED00CD">
        <w:t xml:space="preserve"> 458</w:t>
      </w:r>
      <w:r>
        <w:t>–</w:t>
      </w:r>
      <w:r w:rsidRPr="00ED00CD">
        <w:t>67. DOI:</w:t>
      </w:r>
      <w:r>
        <w:t> </w:t>
      </w:r>
      <w:r w:rsidRPr="00ED00CD">
        <w:t>10.1136/bmjqs-2014-003764</w:t>
      </w:r>
      <w:r>
        <w:t xml:space="preserve"> (accessed 17 June 2021).</w:t>
      </w:r>
    </w:p>
    <w:p w14:paraId="6A5D25B4" w14:textId="77777777" w:rsidR="00391C18" w:rsidRDefault="00391C18" w:rsidP="00391C18">
      <w:r w:rsidRPr="00ED00CD">
        <w:lastRenderedPageBreak/>
        <w:t xml:space="preserve">Weller J, Boyd M. 2014. Making a </w:t>
      </w:r>
      <w:r>
        <w:t>d</w:t>
      </w:r>
      <w:r w:rsidRPr="00ED00CD">
        <w:t xml:space="preserve">ifference </w:t>
      </w:r>
      <w:r>
        <w:t>t</w:t>
      </w:r>
      <w:r w:rsidRPr="00ED00CD">
        <w:t xml:space="preserve">hrough </w:t>
      </w:r>
      <w:r>
        <w:t>i</w:t>
      </w:r>
      <w:r w:rsidRPr="00ED00CD">
        <w:t xml:space="preserve">mproving </w:t>
      </w:r>
      <w:r>
        <w:t>t</w:t>
      </w:r>
      <w:r w:rsidRPr="00ED00CD">
        <w:t xml:space="preserve">eamwork in the </w:t>
      </w:r>
      <w:r>
        <w:t>o</w:t>
      </w:r>
      <w:r w:rsidRPr="00ED00CD">
        <w:t xml:space="preserve">perating </w:t>
      </w:r>
      <w:r>
        <w:t>r</w:t>
      </w:r>
      <w:r w:rsidRPr="00ED00CD">
        <w:t xml:space="preserve">oom: A </w:t>
      </w:r>
      <w:r>
        <w:t>s</w:t>
      </w:r>
      <w:r w:rsidRPr="00ED00CD">
        <w:t xml:space="preserve">ystematic </w:t>
      </w:r>
      <w:r>
        <w:t>r</w:t>
      </w:r>
      <w:r w:rsidRPr="00ED00CD">
        <w:t xml:space="preserve">eview of the </w:t>
      </w:r>
      <w:r>
        <w:t>e</w:t>
      </w:r>
      <w:r w:rsidRPr="00ED00CD">
        <w:t xml:space="preserve">vidence on </w:t>
      </w:r>
      <w:r>
        <w:t>w</w:t>
      </w:r>
      <w:r w:rsidRPr="00ED00CD">
        <w:t xml:space="preserve">hat </w:t>
      </w:r>
      <w:r>
        <w:t>w</w:t>
      </w:r>
      <w:r w:rsidRPr="00ED00CD">
        <w:t xml:space="preserve">orks. </w:t>
      </w:r>
      <w:r w:rsidRPr="00C87E19">
        <w:rPr>
          <w:i/>
          <w:iCs/>
        </w:rPr>
        <w:t xml:space="preserve">Current Anesthesiology Reports </w:t>
      </w:r>
      <w:r w:rsidRPr="00756454">
        <w:t>4</w:t>
      </w:r>
      <w:r w:rsidRPr="00ED00CD">
        <w:t>(2)</w:t>
      </w:r>
      <w:r>
        <w:t>:</w:t>
      </w:r>
      <w:r w:rsidRPr="00ED00CD">
        <w:t xml:space="preserve"> 77</w:t>
      </w:r>
      <w:r>
        <w:t>–</w:t>
      </w:r>
      <w:r w:rsidRPr="00ED00CD">
        <w:t>83. DOI:</w:t>
      </w:r>
      <w:r>
        <w:t> </w:t>
      </w:r>
      <w:r w:rsidRPr="00ED00CD">
        <w:t>10.1007/s40140-014-0050-0</w:t>
      </w:r>
      <w:r>
        <w:t xml:space="preserve"> (accessed 17 June 2021).</w:t>
      </w:r>
    </w:p>
    <w:p w14:paraId="49D2DDBC" w14:textId="77777777" w:rsidR="00391C18" w:rsidRDefault="00391C18" w:rsidP="00391C18">
      <w:r w:rsidRPr="00ED00CD">
        <w:t>Young-Xu Y, Neily J, Mills PD,</w:t>
      </w:r>
      <w:r>
        <w:t xml:space="preserve"> et al.</w:t>
      </w:r>
      <w:r w:rsidRPr="00ED00CD">
        <w:t xml:space="preserve"> 2011. Association between implementation of a medical team training program and surgical morbidity. </w:t>
      </w:r>
      <w:r w:rsidRPr="00C87E19">
        <w:rPr>
          <w:i/>
          <w:iCs/>
        </w:rPr>
        <w:t xml:space="preserve">Arch Surg </w:t>
      </w:r>
      <w:r w:rsidRPr="00756454">
        <w:t>146</w:t>
      </w:r>
      <w:r w:rsidRPr="00ED00CD">
        <w:t>(12)</w:t>
      </w:r>
      <w:r>
        <w:t>:</w:t>
      </w:r>
      <w:r w:rsidRPr="00ED00CD">
        <w:t xml:space="preserve"> 1</w:t>
      </w:r>
      <w:r>
        <w:t>,</w:t>
      </w:r>
      <w:r w:rsidRPr="00ED00CD">
        <w:t>368</w:t>
      </w:r>
      <w:r>
        <w:t>–</w:t>
      </w:r>
      <w:r w:rsidRPr="00ED00CD">
        <w:t>73. DOI:</w:t>
      </w:r>
      <w:r>
        <w:t> </w:t>
      </w:r>
      <w:r w:rsidRPr="00ED00CD">
        <w:t>10.1001/archsurg.2011.762</w:t>
      </w:r>
      <w:r>
        <w:t xml:space="preserve"> (accessed 17 June 2021).</w:t>
      </w:r>
    </w:p>
    <w:p w14:paraId="189B2C1C" w14:textId="77777777" w:rsidR="00391C18" w:rsidRDefault="00391C18" w:rsidP="00391C18">
      <w:r w:rsidRPr="00ED00CD">
        <w:t xml:space="preserve">Neily J, Mills PD, Young-Xu Y, </w:t>
      </w:r>
      <w:r>
        <w:t xml:space="preserve">et al. </w:t>
      </w:r>
      <w:r w:rsidRPr="00ED00CD">
        <w:t xml:space="preserve">2010. Association between implementation of a medical team training program and surgical mortality. </w:t>
      </w:r>
      <w:r w:rsidRPr="00C87E19">
        <w:rPr>
          <w:i/>
          <w:iCs/>
        </w:rPr>
        <w:t xml:space="preserve">JAMA </w:t>
      </w:r>
      <w:r w:rsidRPr="00756454">
        <w:t>304</w:t>
      </w:r>
      <w:r w:rsidRPr="00ED00CD">
        <w:t>(15)</w:t>
      </w:r>
      <w:r>
        <w:t>:</w:t>
      </w:r>
      <w:r w:rsidRPr="00ED00CD">
        <w:t xml:space="preserve"> 1</w:t>
      </w:r>
      <w:r>
        <w:t>,</w:t>
      </w:r>
      <w:r w:rsidRPr="00ED00CD">
        <w:t>693</w:t>
      </w:r>
      <w:r>
        <w:t>–</w:t>
      </w:r>
      <w:r w:rsidRPr="00ED00CD">
        <w:t>700. DOI:</w:t>
      </w:r>
      <w:r>
        <w:t> </w:t>
      </w:r>
      <w:r w:rsidRPr="00ED00CD">
        <w:t>10.1001/jama.2010.1506</w:t>
      </w:r>
      <w:r>
        <w:t xml:space="preserve"> (accessed 17 June 2021).</w:t>
      </w:r>
    </w:p>
    <w:p w14:paraId="2B5883C9" w14:textId="77777777" w:rsidR="00391C18" w:rsidRDefault="00391C18" w:rsidP="00391C18">
      <w:r w:rsidRPr="00ED00CD">
        <w:t xml:space="preserve">Leuschner S, Leuschner M, Kropf S, </w:t>
      </w:r>
      <w:r>
        <w:t>et al</w:t>
      </w:r>
      <w:r w:rsidRPr="00ED00CD">
        <w:t xml:space="preserve">. 2019. Non-technical skills training in the operating theatre: A meta-analysis of patient outcomes. </w:t>
      </w:r>
      <w:r w:rsidRPr="00C87E19">
        <w:rPr>
          <w:i/>
          <w:iCs/>
        </w:rPr>
        <w:t xml:space="preserve">Surgeon </w:t>
      </w:r>
      <w:r w:rsidRPr="009C5A33">
        <w:t>17</w:t>
      </w:r>
      <w:r w:rsidRPr="00ED00CD">
        <w:t>(4)</w:t>
      </w:r>
      <w:r>
        <w:t>:</w:t>
      </w:r>
      <w:r w:rsidRPr="00ED00CD">
        <w:t xml:space="preserve"> 233</w:t>
      </w:r>
      <w:r>
        <w:t>–</w:t>
      </w:r>
      <w:r w:rsidRPr="00ED00CD">
        <w:t>43. DOI:</w:t>
      </w:r>
      <w:r>
        <w:t> </w:t>
      </w:r>
      <w:r w:rsidRPr="00ED00CD">
        <w:t>10.1016/j.surge.2018.07.001</w:t>
      </w:r>
      <w:r>
        <w:t xml:space="preserve"> (accessed 17 June 2021).</w:t>
      </w:r>
    </w:p>
    <w:p w14:paraId="73B0F790" w14:textId="77777777" w:rsidR="00391C18" w:rsidRDefault="00391C18" w:rsidP="00391C18">
      <w:r w:rsidRPr="00ED00CD">
        <w:t>Sun R, Marshall DC, Sykes</w:t>
      </w:r>
      <w:r>
        <w:t xml:space="preserve"> </w:t>
      </w:r>
      <w:r w:rsidRPr="00ED00CD">
        <w:t xml:space="preserve">MC, </w:t>
      </w:r>
      <w:r>
        <w:t xml:space="preserve">et al. </w:t>
      </w:r>
      <w:r w:rsidRPr="00ED00CD">
        <w:t xml:space="preserve">2018. The impact of improving teamwork on patient outcomes in surgery: A systematic review. </w:t>
      </w:r>
      <w:r w:rsidRPr="00C87E19">
        <w:rPr>
          <w:i/>
          <w:iCs/>
        </w:rPr>
        <w:t xml:space="preserve">Int J Surg </w:t>
      </w:r>
      <w:r w:rsidRPr="009C5A33">
        <w:t>53</w:t>
      </w:r>
      <w:r>
        <w:t xml:space="preserve">: </w:t>
      </w:r>
      <w:r w:rsidRPr="00ED00CD">
        <w:t>171</w:t>
      </w:r>
      <w:r>
        <w:t>–</w:t>
      </w:r>
      <w:r w:rsidRPr="00ED00CD">
        <w:t>77. DOI:</w:t>
      </w:r>
      <w:r>
        <w:t> </w:t>
      </w:r>
      <w:r w:rsidRPr="00ED00CD">
        <w:t>10.1016/j.ijsu.2018.03.044</w:t>
      </w:r>
      <w:r>
        <w:t xml:space="preserve"> (accessed 17 June 2021).</w:t>
      </w:r>
    </w:p>
    <w:p w14:paraId="5DD2CE40" w14:textId="77777777" w:rsidR="00391C18" w:rsidRDefault="00391C18" w:rsidP="00391C18">
      <w:r w:rsidRPr="00ED00CD">
        <w:t>Buljac-Samardzic</w:t>
      </w:r>
      <w:r>
        <w:t xml:space="preserve"> </w:t>
      </w:r>
      <w:r w:rsidRPr="00ED00CD">
        <w:t xml:space="preserve">M, Doekhie KD, van Wijngaarden JDH. 2020. Interventions to improve team effectiveness within health care: </w:t>
      </w:r>
      <w:r>
        <w:t>A</w:t>
      </w:r>
      <w:r w:rsidRPr="00ED00CD">
        <w:t xml:space="preserve"> systematic review of the past decade. </w:t>
      </w:r>
      <w:r w:rsidRPr="00C87E19">
        <w:rPr>
          <w:i/>
          <w:iCs/>
        </w:rPr>
        <w:t xml:space="preserve">Hum Resour Health </w:t>
      </w:r>
      <w:r w:rsidRPr="00D973AC">
        <w:t>18</w:t>
      </w:r>
      <w:r w:rsidRPr="00ED00CD">
        <w:t>(1)</w:t>
      </w:r>
      <w:r>
        <w:t>:</w:t>
      </w:r>
      <w:r w:rsidRPr="00ED00CD">
        <w:t xml:space="preserve"> 2. DOI:</w:t>
      </w:r>
      <w:r>
        <w:t> </w:t>
      </w:r>
      <w:r w:rsidRPr="00ED00CD">
        <w:t>10.1186/s12960-019-0411-3</w:t>
      </w:r>
      <w:r>
        <w:t xml:space="preserve"> (accessed 17 June 2021).</w:t>
      </w:r>
    </w:p>
    <w:p w14:paraId="483A90A3" w14:textId="77777777" w:rsidR="00391C18" w:rsidRPr="00CF3967" w:rsidRDefault="00391C18" w:rsidP="00391C18">
      <w:r w:rsidRPr="00CF3967">
        <w:t>Hill NM, Fisher</w:t>
      </w:r>
      <w:r>
        <w:t xml:space="preserve"> </w:t>
      </w:r>
      <w:r w:rsidRPr="00CF3967">
        <w:t xml:space="preserve">DM. 2019. Reinforcing collaboration and teamwork: </w:t>
      </w:r>
      <w:r>
        <w:t>T</w:t>
      </w:r>
      <w:r w:rsidRPr="00CF3967">
        <w:t xml:space="preserve">he role of team communication and training. </w:t>
      </w:r>
      <w:r w:rsidRPr="00C87E19">
        <w:rPr>
          <w:i/>
          <w:iCs/>
        </w:rPr>
        <w:t xml:space="preserve">ANZ J Surg </w:t>
      </w:r>
      <w:r w:rsidRPr="00D973AC">
        <w:t>89</w:t>
      </w:r>
      <w:r w:rsidRPr="00CF3967">
        <w:t>(7</w:t>
      </w:r>
      <w:r>
        <w:t>–</w:t>
      </w:r>
      <w:r w:rsidRPr="00CF3967">
        <w:t>8)</w:t>
      </w:r>
      <w:r>
        <w:t>:</w:t>
      </w:r>
      <w:r w:rsidRPr="00CF3967">
        <w:t xml:space="preserve"> 957</w:t>
      </w:r>
      <w:r>
        <w:t>–</w:t>
      </w:r>
      <w:r w:rsidRPr="00CF3967">
        <w:t>61. DOI:</w:t>
      </w:r>
      <w:r>
        <w:t> </w:t>
      </w:r>
      <w:r w:rsidRPr="00CF3967">
        <w:t>10.1111/ans.15272</w:t>
      </w:r>
      <w:r>
        <w:t xml:space="preserve"> (accessed 17 June 2021).</w:t>
      </w:r>
    </w:p>
    <w:p w14:paraId="60F91692" w14:textId="77777777" w:rsidR="00391C18" w:rsidRDefault="00391C18" w:rsidP="00391C18">
      <w:r w:rsidRPr="00ED00CD">
        <w:t xml:space="preserve">McCulloch P, Morgan L, New S, </w:t>
      </w:r>
      <w:r>
        <w:t xml:space="preserve">et al. </w:t>
      </w:r>
      <w:r w:rsidRPr="00ED00CD">
        <w:t xml:space="preserve">2017. Combining </w:t>
      </w:r>
      <w:r>
        <w:t>s</w:t>
      </w:r>
      <w:r w:rsidRPr="00ED00CD">
        <w:t xml:space="preserve">ystems and </w:t>
      </w:r>
      <w:r>
        <w:t>t</w:t>
      </w:r>
      <w:r w:rsidRPr="00ED00CD">
        <w:t xml:space="preserve">eamwork </w:t>
      </w:r>
      <w:r>
        <w:t>a</w:t>
      </w:r>
      <w:r w:rsidRPr="00ED00CD">
        <w:t xml:space="preserve">pproaches to </w:t>
      </w:r>
      <w:r>
        <w:t>e</w:t>
      </w:r>
      <w:r w:rsidRPr="00ED00CD">
        <w:t xml:space="preserve">nhance the </w:t>
      </w:r>
      <w:r>
        <w:t>e</w:t>
      </w:r>
      <w:r w:rsidRPr="00ED00CD">
        <w:t xml:space="preserve">ffectiveness of </w:t>
      </w:r>
      <w:r>
        <w:t>s</w:t>
      </w:r>
      <w:r w:rsidRPr="00ED00CD">
        <w:t xml:space="preserve">afety </w:t>
      </w:r>
      <w:r>
        <w:t>i</w:t>
      </w:r>
      <w:r w:rsidRPr="00ED00CD">
        <w:t xml:space="preserve">mprovement </w:t>
      </w:r>
      <w:r>
        <w:t>i</w:t>
      </w:r>
      <w:r w:rsidRPr="00ED00CD">
        <w:t xml:space="preserve">nterventions in </w:t>
      </w:r>
      <w:r>
        <w:t>s</w:t>
      </w:r>
      <w:r w:rsidRPr="00ED00CD">
        <w:t xml:space="preserve">urgery: The Safer Delivery of Surgical Services (S3) Program. </w:t>
      </w:r>
      <w:r w:rsidRPr="00C87E19">
        <w:rPr>
          <w:i/>
          <w:iCs/>
        </w:rPr>
        <w:t xml:space="preserve">Ann Surg </w:t>
      </w:r>
      <w:r w:rsidRPr="00D973AC">
        <w:t>265</w:t>
      </w:r>
      <w:r w:rsidRPr="00ED00CD">
        <w:t>(1)</w:t>
      </w:r>
      <w:r>
        <w:t>:</w:t>
      </w:r>
      <w:r w:rsidRPr="00ED00CD">
        <w:t xml:space="preserve"> 90</w:t>
      </w:r>
      <w:r>
        <w:t>–</w:t>
      </w:r>
      <w:r w:rsidRPr="00ED00CD">
        <w:t>96. DOI:</w:t>
      </w:r>
      <w:r>
        <w:t> </w:t>
      </w:r>
      <w:r w:rsidRPr="00ED00CD">
        <w:t>10.1097/sla.0000000000001589</w:t>
      </w:r>
      <w:r>
        <w:t xml:space="preserve"> (accessed 17 June 2021).</w:t>
      </w:r>
    </w:p>
    <w:p w14:paraId="10F36484" w14:textId="77777777" w:rsidR="00391C18" w:rsidRDefault="00391C18" w:rsidP="00391C18">
      <w:r w:rsidRPr="00ED00CD">
        <w:t xml:space="preserve">Weller J, Boyd M, Cumin D. 2014. Teams, tribes and patient safety: </w:t>
      </w:r>
      <w:r>
        <w:t>O</w:t>
      </w:r>
      <w:r w:rsidRPr="00ED00CD">
        <w:t xml:space="preserve">vercoming barriers to effective teamwork in healthcare. </w:t>
      </w:r>
      <w:r w:rsidRPr="00C87E19">
        <w:rPr>
          <w:i/>
          <w:iCs/>
        </w:rPr>
        <w:t xml:space="preserve">Postgrad Med J </w:t>
      </w:r>
      <w:r w:rsidRPr="00D973AC">
        <w:t>90</w:t>
      </w:r>
      <w:r w:rsidRPr="00ED00CD">
        <w:t>(1061)</w:t>
      </w:r>
      <w:r>
        <w:t>:</w:t>
      </w:r>
      <w:r w:rsidRPr="00ED00CD">
        <w:t xml:space="preserve"> 149</w:t>
      </w:r>
      <w:r>
        <w:t>–</w:t>
      </w:r>
      <w:r w:rsidRPr="00ED00CD">
        <w:t>54. DOI:</w:t>
      </w:r>
      <w:r>
        <w:t> </w:t>
      </w:r>
      <w:r w:rsidRPr="00ED00CD">
        <w:t>10.1136/postgradmedj-2012-131168</w:t>
      </w:r>
      <w:r>
        <w:t xml:space="preserve"> (accessed 17 June 2021).</w:t>
      </w:r>
    </w:p>
    <w:p w14:paraId="675B1B20" w14:textId="77777777" w:rsidR="00391C18" w:rsidRPr="00866057" w:rsidRDefault="00391C18" w:rsidP="00391C18">
      <w:r w:rsidRPr="00866057">
        <w:t>Salas E, Almeida SA, Salisbury M,</w:t>
      </w:r>
      <w:r>
        <w:t xml:space="preserve"> et al.</w:t>
      </w:r>
      <w:r w:rsidRPr="00866057">
        <w:t xml:space="preserve"> 2009. What are the critical success factors for team training in health care? </w:t>
      </w:r>
      <w:r w:rsidRPr="00C87E19">
        <w:rPr>
          <w:i/>
          <w:iCs/>
        </w:rPr>
        <w:t xml:space="preserve">Jt Comm J Qual Patient Saf </w:t>
      </w:r>
      <w:r w:rsidRPr="00D973AC">
        <w:t>35</w:t>
      </w:r>
      <w:r w:rsidRPr="00866057">
        <w:t>(8)</w:t>
      </w:r>
      <w:r>
        <w:t>:</w:t>
      </w:r>
      <w:r w:rsidRPr="00866057">
        <w:t xml:space="preserve"> 398</w:t>
      </w:r>
      <w:r>
        <w:t>–</w:t>
      </w:r>
      <w:r w:rsidRPr="00866057">
        <w:t>405. DOI:</w:t>
      </w:r>
      <w:r>
        <w:t> </w:t>
      </w:r>
      <w:r w:rsidRPr="00866057">
        <w:t>10.1016/s1553-7250(09)35056-4</w:t>
      </w:r>
      <w:r>
        <w:t xml:space="preserve"> (accessed 17 June 2021).</w:t>
      </w:r>
    </w:p>
    <w:p w14:paraId="224B138E" w14:textId="77777777" w:rsidR="00391C18" w:rsidRPr="004101E9" w:rsidRDefault="00391C18" w:rsidP="00391C18">
      <w:pPr>
        <w:pStyle w:val="H1evidencesummary"/>
      </w:pPr>
      <w:bookmarkStart w:id="10" w:name="_Toc74818416"/>
      <w:bookmarkStart w:id="11" w:name="_Toc79066227"/>
      <w:r w:rsidRPr="004101E9">
        <w:t>Briefing/debriefing and safer surgery</w:t>
      </w:r>
      <w:bookmarkEnd w:id="10"/>
      <w:bookmarkEnd w:id="11"/>
    </w:p>
    <w:p w14:paraId="3539E283" w14:textId="77777777" w:rsidR="00391C18" w:rsidRPr="00DA018A" w:rsidRDefault="00391C18" w:rsidP="00391C18">
      <w:r w:rsidRPr="00DA018A">
        <w:t xml:space="preserve">Leong K, Hanskamp-Sebregts M, van der Wal RA, </w:t>
      </w:r>
      <w:r>
        <w:t>et al</w:t>
      </w:r>
      <w:r w:rsidRPr="00DA018A">
        <w:t xml:space="preserve">. 2017. Effects of perioperative briefing and debriefing on patient safety: </w:t>
      </w:r>
      <w:r>
        <w:t>A</w:t>
      </w:r>
      <w:r w:rsidRPr="00DA018A">
        <w:t xml:space="preserve"> prospective intervention study. </w:t>
      </w:r>
      <w:r w:rsidRPr="00EB3FAA">
        <w:rPr>
          <w:i/>
          <w:iCs/>
        </w:rPr>
        <w:t xml:space="preserve">BMJ Open </w:t>
      </w:r>
      <w:r w:rsidRPr="00C32CF8">
        <w:t>7</w:t>
      </w:r>
      <w:r w:rsidRPr="00DA018A">
        <w:t>(12)</w:t>
      </w:r>
      <w:r>
        <w:t>:</w:t>
      </w:r>
      <w:r w:rsidRPr="00DA018A">
        <w:t xml:space="preserve"> e018367. DOI:</w:t>
      </w:r>
      <w:r>
        <w:t> </w:t>
      </w:r>
      <w:r w:rsidRPr="00DA018A">
        <w:t>10.1136/bmjopen-2017-018367</w:t>
      </w:r>
      <w:r>
        <w:t xml:space="preserve"> (accessed 17 June 2021).</w:t>
      </w:r>
    </w:p>
    <w:p w14:paraId="6BC356C7" w14:textId="77777777" w:rsidR="00391C18" w:rsidRDefault="00391C18" w:rsidP="00391C18">
      <w:r w:rsidRPr="006A7643">
        <w:t xml:space="preserve">Civil I, Shuker C. 2015. Briefings and debriefings in one surgeon's practice. </w:t>
      </w:r>
      <w:r w:rsidRPr="00EB3FAA">
        <w:rPr>
          <w:i/>
          <w:iCs/>
        </w:rPr>
        <w:t xml:space="preserve">ANZ J Surg </w:t>
      </w:r>
      <w:r w:rsidRPr="00C32CF8">
        <w:t>85</w:t>
      </w:r>
      <w:r w:rsidRPr="006A7643">
        <w:t>(5)</w:t>
      </w:r>
      <w:r>
        <w:t>:</w:t>
      </w:r>
      <w:r w:rsidRPr="006A7643">
        <w:t xml:space="preserve"> 321</w:t>
      </w:r>
      <w:r>
        <w:t>–</w:t>
      </w:r>
      <w:r w:rsidRPr="006A7643">
        <w:t>23. DOI:</w:t>
      </w:r>
      <w:r>
        <w:t> </w:t>
      </w:r>
      <w:r w:rsidRPr="006A7643">
        <w:t>10.1111/ans.13017</w:t>
      </w:r>
      <w:r>
        <w:t xml:space="preserve"> (</w:t>
      </w:r>
      <w:r w:rsidRPr="00EB3FAA">
        <w:rPr>
          <w:b/>
          <w:bCs/>
        </w:rPr>
        <w:t>full text not freely available</w:t>
      </w:r>
      <w:r>
        <w:t>).</w:t>
      </w:r>
    </w:p>
    <w:p w14:paraId="504F5A20" w14:textId="77777777" w:rsidR="00391C18" w:rsidRPr="000B2A3F" w:rsidRDefault="00391C18" w:rsidP="00391C18">
      <w:r w:rsidRPr="00DA018A">
        <w:t xml:space="preserve">Glymph DC, Olenick M, Barbera S, </w:t>
      </w:r>
      <w:r>
        <w:t xml:space="preserve">et al. </w:t>
      </w:r>
      <w:r w:rsidRPr="00DA018A">
        <w:t>2015. Healthcare Utilizing Deliberate</w:t>
      </w:r>
      <w:r w:rsidRPr="000B2A3F">
        <w:t xml:space="preserve"> Discussion Linking Events (HUDDLE): A </w:t>
      </w:r>
      <w:r>
        <w:t>s</w:t>
      </w:r>
      <w:r w:rsidRPr="000B2A3F">
        <w:t xml:space="preserve">ystematic </w:t>
      </w:r>
      <w:r>
        <w:t>r</w:t>
      </w:r>
      <w:r w:rsidRPr="000B2A3F">
        <w:t xml:space="preserve">eview. </w:t>
      </w:r>
      <w:r w:rsidRPr="00EB3FAA">
        <w:rPr>
          <w:i/>
          <w:iCs/>
        </w:rPr>
        <w:t xml:space="preserve">AANA J </w:t>
      </w:r>
      <w:r w:rsidRPr="00C32CF8">
        <w:t>83</w:t>
      </w:r>
      <w:r w:rsidRPr="000B2A3F">
        <w:t>(3)</w:t>
      </w:r>
      <w:r>
        <w:t>:</w:t>
      </w:r>
      <w:r w:rsidRPr="000B2A3F">
        <w:t xml:space="preserve"> 183</w:t>
      </w:r>
      <w:r>
        <w:t>–</w:t>
      </w:r>
      <w:r w:rsidRPr="000B2A3F">
        <w:t>88.</w:t>
      </w:r>
    </w:p>
    <w:p w14:paraId="57807084" w14:textId="77777777" w:rsidR="00391C18" w:rsidRDefault="00391C18" w:rsidP="00391C18">
      <w:r w:rsidRPr="00DA018A">
        <w:lastRenderedPageBreak/>
        <w:t xml:space="preserve">Jain AL, Jones KC, Simon J, </w:t>
      </w:r>
      <w:r>
        <w:t>et al</w:t>
      </w:r>
      <w:r w:rsidRPr="00DA018A">
        <w:t xml:space="preserve">. 2015. The impact of a daily pre-operative surgical huddle on interruptions, delays, and surgeon satisfaction in an orthopedic operating room: </w:t>
      </w:r>
      <w:r>
        <w:t>A</w:t>
      </w:r>
      <w:r w:rsidRPr="00DA018A">
        <w:t xml:space="preserve"> prospective study. </w:t>
      </w:r>
      <w:r w:rsidRPr="00EB3FAA">
        <w:rPr>
          <w:i/>
          <w:iCs/>
        </w:rPr>
        <w:t xml:space="preserve">Patient Saf Surg </w:t>
      </w:r>
      <w:r w:rsidRPr="00C32CF8">
        <w:t>9</w:t>
      </w:r>
      <w:r>
        <w:t xml:space="preserve">: </w:t>
      </w:r>
      <w:r w:rsidRPr="00DA018A">
        <w:t>8. DOI:</w:t>
      </w:r>
      <w:r>
        <w:t> </w:t>
      </w:r>
      <w:r w:rsidRPr="00DA018A">
        <w:t>10.1186/s13037-015-0057-6</w:t>
      </w:r>
      <w:r>
        <w:t xml:space="preserve"> (accessed 17 June 2021).</w:t>
      </w:r>
    </w:p>
    <w:p w14:paraId="652E8203" w14:textId="77777777" w:rsidR="00391C18" w:rsidRDefault="00391C18" w:rsidP="00391C18">
      <w:r w:rsidRPr="00471A14">
        <w:t>McDowell</w:t>
      </w:r>
      <w:r>
        <w:t xml:space="preserve"> </w:t>
      </w:r>
      <w:r w:rsidRPr="00471A14">
        <w:t xml:space="preserve">DS, McComb SA. 2014. Safety checklist briefings: </w:t>
      </w:r>
      <w:r>
        <w:t>A</w:t>
      </w:r>
      <w:r w:rsidRPr="00471A14">
        <w:t xml:space="preserve"> systematic review of the literature. </w:t>
      </w:r>
      <w:r w:rsidRPr="00EB3FAA">
        <w:rPr>
          <w:i/>
          <w:iCs/>
        </w:rPr>
        <w:t xml:space="preserve">AORN J </w:t>
      </w:r>
      <w:r w:rsidRPr="00C32CF8">
        <w:t>99</w:t>
      </w:r>
      <w:r w:rsidRPr="00471A14">
        <w:t>(1)</w:t>
      </w:r>
      <w:r>
        <w:t xml:space="preserve">: </w:t>
      </w:r>
      <w:r w:rsidRPr="00471A14">
        <w:t>125</w:t>
      </w:r>
      <w:r>
        <w:t>–</w:t>
      </w:r>
      <w:r w:rsidRPr="00471A14">
        <w:t>37.</w:t>
      </w:r>
      <w:r>
        <w:t xml:space="preserve"> </w:t>
      </w:r>
      <w:r w:rsidRPr="00471A14">
        <w:t>e113. DOI:</w:t>
      </w:r>
      <w:r>
        <w:t> </w:t>
      </w:r>
      <w:r w:rsidRPr="00471A14">
        <w:t>10.1016/j.aorn.2013.11.015</w:t>
      </w:r>
      <w:r>
        <w:t xml:space="preserve"> (accessed 17 June 2021).</w:t>
      </w:r>
    </w:p>
    <w:p w14:paraId="2DD6A99E" w14:textId="77777777" w:rsidR="00391C18" w:rsidRDefault="00391C18" w:rsidP="00391C18">
      <w:r w:rsidRPr="00995A30">
        <w:t xml:space="preserve">Hill N. 2021. Perceptions of </w:t>
      </w:r>
      <w:r>
        <w:t>v</w:t>
      </w:r>
      <w:r w:rsidRPr="00995A30">
        <w:t xml:space="preserve">alue: A qualitative study of the barriers to the routine use of preoperative briefing in New Zealand. </w:t>
      </w:r>
      <w:r w:rsidRPr="00EB3FAA">
        <w:rPr>
          <w:i/>
          <w:iCs/>
        </w:rPr>
        <w:t xml:space="preserve">ANZ Journal of Surgery: Abstract Journal Safety in Surgical Practice </w:t>
      </w:r>
      <w:r w:rsidRPr="00995A30">
        <w:t>(8 May)</w:t>
      </w:r>
      <w:r>
        <w:t>:</w:t>
      </w:r>
      <w:r w:rsidRPr="00995A30">
        <w:t xml:space="preserve"> QA003. </w:t>
      </w:r>
      <w:r>
        <w:t>DOI:</w:t>
      </w:r>
      <w:r w:rsidRPr="00995A30">
        <w:t xml:space="preserve"> </w:t>
      </w:r>
      <w:r w:rsidRPr="00FC3514">
        <w:t>10.1111/ans.16825?af=R</w:t>
      </w:r>
      <w:r w:rsidRPr="00441489">
        <w:rPr>
          <w:rStyle w:val="Hyperlink"/>
          <w:color w:val="auto"/>
        </w:rPr>
        <w:t xml:space="preserve"> </w:t>
      </w:r>
      <w:r>
        <w:t>(accessed 17 June 2021).</w:t>
      </w:r>
    </w:p>
    <w:p w14:paraId="702B0F0F" w14:textId="77777777" w:rsidR="00391C18" w:rsidRDefault="00391C18" w:rsidP="00391C18">
      <w:pPr>
        <w:keepNext/>
      </w:pPr>
      <w:r w:rsidRPr="00216ED1">
        <w:t>Fruhen L, Carpini JA, Parker SK</w:t>
      </w:r>
      <w:r>
        <w:t xml:space="preserve">, et al. </w:t>
      </w:r>
      <w:r w:rsidRPr="00216ED1">
        <w:t xml:space="preserve">2020. Perceived barriers to multiprofessional team briefings in operating theatres: </w:t>
      </w:r>
      <w:r>
        <w:t>A</w:t>
      </w:r>
      <w:r w:rsidRPr="00216ED1">
        <w:t xml:space="preserve"> qualitative study. </w:t>
      </w:r>
      <w:r w:rsidRPr="00EB3FAA">
        <w:rPr>
          <w:i/>
          <w:iCs/>
        </w:rPr>
        <w:t xml:space="preserve">BMJ Open </w:t>
      </w:r>
      <w:r w:rsidRPr="0027444B">
        <w:t>10</w:t>
      </w:r>
      <w:r w:rsidRPr="00216ED1">
        <w:t>(2)</w:t>
      </w:r>
      <w:r>
        <w:t>:</w:t>
      </w:r>
      <w:r w:rsidRPr="00216ED1">
        <w:t xml:space="preserve"> e032351. DOI:</w:t>
      </w:r>
      <w:r>
        <w:t> </w:t>
      </w:r>
      <w:r w:rsidRPr="00216ED1">
        <w:t>10.1136/bmjopen-2019-032351</w:t>
      </w:r>
      <w:r>
        <w:t xml:space="preserve"> (accessed 17 June 2021).</w:t>
      </w:r>
    </w:p>
    <w:p w14:paraId="3BB2B30B" w14:textId="77777777" w:rsidR="00391C18" w:rsidRDefault="00391C18" w:rsidP="00391C18">
      <w:r w:rsidRPr="006A7643">
        <w:t>Robinson LD, Paull DE, Mazzia LM,</w:t>
      </w:r>
      <w:r>
        <w:t xml:space="preserve"> et al. </w:t>
      </w:r>
      <w:r w:rsidRPr="006A7643">
        <w:t xml:space="preserve">2010. The role of the operating room nurse manager in the successful implementation of preoperative briefings and postoperative debriefings in the VHA Medical Team Training Program. </w:t>
      </w:r>
      <w:r w:rsidRPr="00EB3FAA">
        <w:rPr>
          <w:i/>
          <w:iCs/>
        </w:rPr>
        <w:t xml:space="preserve">J Perianesth Nurs </w:t>
      </w:r>
      <w:r w:rsidRPr="0027444B">
        <w:t>25</w:t>
      </w:r>
      <w:r w:rsidRPr="006A7643">
        <w:t>(5)</w:t>
      </w:r>
      <w:r>
        <w:t>:</w:t>
      </w:r>
      <w:r w:rsidRPr="006A7643">
        <w:t xml:space="preserve"> 302</w:t>
      </w:r>
      <w:r>
        <w:t>–</w:t>
      </w:r>
      <w:r w:rsidRPr="006A7643">
        <w:t>06. DOI:</w:t>
      </w:r>
      <w:r>
        <w:t> </w:t>
      </w:r>
      <w:r w:rsidRPr="006A7643">
        <w:t>10.1016/j.jopan.2010.07.003</w:t>
      </w:r>
      <w:r>
        <w:t xml:space="preserve"> (accessed 17 June 2021).</w:t>
      </w:r>
    </w:p>
    <w:p w14:paraId="6E39CE83" w14:textId="77777777" w:rsidR="00391C18" w:rsidRPr="00EB3FAA" w:rsidRDefault="00391C18" w:rsidP="00391C18">
      <w:r w:rsidRPr="003E25F6">
        <w:t>Paull DE, Mazzia LM, Izu B,</w:t>
      </w:r>
      <w:r>
        <w:t xml:space="preserve"> et al. 2009</w:t>
      </w:r>
      <w:r w:rsidRPr="003E25F6">
        <w:t>.</w:t>
      </w:r>
      <w:r>
        <w:t xml:space="preserve"> </w:t>
      </w:r>
      <w:r w:rsidRPr="003E25F6">
        <w:t>Predictors of successful implementation of preoperative briefings</w:t>
      </w:r>
      <w:r>
        <w:t xml:space="preserve"> </w:t>
      </w:r>
      <w:r w:rsidRPr="003E25F6">
        <w:t xml:space="preserve">and postoperative debriefings after medical team training. </w:t>
      </w:r>
      <w:r w:rsidRPr="00EB3FAA">
        <w:rPr>
          <w:i/>
          <w:iCs/>
        </w:rPr>
        <w:t>Am J Surg</w:t>
      </w:r>
      <w:r w:rsidRPr="003E25F6">
        <w:t xml:space="preserve"> 198</w:t>
      </w:r>
      <w:r>
        <w:t>(5)</w:t>
      </w:r>
      <w:r w:rsidRPr="003E25F6">
        <w:t>:</w:t>
      </w:r>
      <w:r>
        <w:t xml:space="preserve"> </w:t>
      </w:r>
      <w:r w:rsidRPr="003E25F6">
        <w:t>675–</w:t>
      </w:r>
      <w:r>
        <w:t>7</w:t>
      </w:r>
      <w:r w:rsidRPr="003E25F6">
        <w:t>8.</w:t>
      </w:r>
      <w:r>
        <w:t xml:space="preserve"> </w:t>
      </w:r>
      <w:r w:rsidRPr="00EB3FAA">
        <w:t>DOI:</w:t>
      </w:r>
      <w:r>
        <w:t> </w:t>
      </w:r>
      <w:r w:rsidRPr="00EB3FAA">
        <w:t xml:space="preserve">10.1016/j.amjsurg.2009.07.008 </w:t>
      </w:r>
      <w:r>
        <w:t>(accessed 17 June 2021).</w:t>
      </w:r>
    </w:p>
    <w:p w14:paraId="338D9029" w14:textId="77777777" w:rsidR="00391C18" w:rsidRPr="004101E9" w:rsidRDefault="00391C18" w:rsidP="00391C18">
      <w:pPr>
        <w:pStyle w:val="H1evidencesummary"/>
      </w:pPr>
      <w:bookmarkStart w:id="12" w:name="_Toc74818419"/>
      <w:bookmarkStart w:id="13" w:name="_Toc79066228"/>
      <w:r w:rsidRPr="004101E9">
        <w:t>Team communication and safer surgery</w:t>
      </w:r>
      <w:bookmarkEnd w:id="12"/>
      <w:bookmarkEnd w:id="13"/>
    </w:p>
    <w:p w14:paraId="58E03362" w14:textId="77777777" w:rsidR="00391C18" w:rsidRPr="00457B5F" w:rsidRDefault="00391C18" w:rsidP="00391C18">
      <w:r w:rsidRPr="00457B5F">
        <w:t xml:space="preserve">Etherington N, Wu M, Cheng-Boivin O, </w:t>
      </w:r>
      <w:r>
        <w:t xml:space="preserve">et al. </w:t>
      </w:r>
      <w:r w:rsidRPr="00457B5F">
        <w:t xml:space="preserve">2019. Interprofessional communication in the operating room: </w:t>
      </w:r>
      <w:r>
        <w:t>A</w:t>
      </w:r>
      <w:r w:rsidRPr="00457B5F">
        <w:t xml:space="preserve"> narrative review to advance research and practice. </w:t>
      </w:r>
      <w:r w:rsidRPr="00457B5F">
        <w:rPr>
          <w:i/>
          <w:iCs/>
        </w:rPr>
        <w:t xml:space="preserve">Can J Anaesth </w:t>
      </w:r>
      <w:r w:rsidRPr="00C92105">
        <w:t>66</w:t>
      </w:r>
      <w:r w:rsidRPr="00457B5F">
        <w:t>(10)</w:t>
      </w:r>
      <w:r>
        <w:t>:</w:t>
      </w:r>
      <w:r w:rsidRPr="00457B5F">
        <w:t xml:space="preserve"> 1</w:t>
      </w:r>
      <w:r>
        <w:t>,</w:t>
      </w:r>
      <w:r w:rsidRPr="00457B5F">
        <w:t>251</w:t>
      </w:r>
      <w:r>
        <w:t>–</w:t>
      </w:r>
      <w:r w:rsidRPr="00457B5F">
        <w:t>60. DOI:</w:t>
      </w:r>
      <w:r>
        <w:t> </w:t>
      </w:r>
      <w:r w:rsidRPr="00457B5F">
        <w:t>10.1007/s12630-019-01413-9</w:t>
      </w:r>
      <w:r>
        <w:t xml:space="preserve"> (accessed 17 June 2021).</w:t>
      </w:r>
    </w:p>
    <w:p w14:paraId="67F23064" w14:textId="77777777" w:rsidR="00391C18" w:rsidRPr="001F3DC6" w:rsidRDefault="00391C18" w:rsidP="00391C18">
      <w:r w:rsidRPr="001F3DC6">
        <w:t>Pattni N, Arzola C, Malavade A,</w:t>
      </w:r>
      <w:r>
        <w:t xml:space="preserve"> et al. </w:t>
      </w:r>
      <w:r w:rsidRPr="001F3DC6">
        <w:t xml:space="preserve">2019. Challenging authority and speaking up in the operating room environment: </w:t>
      </w:r>
      <w:r>
        <w:t>A</w:t>
      </w:r>
      <w:r w:rsidRPr="001F3DC6">
        <w:t xml:space="preserve"> narrative synthesis. </w:t>
      </w:r>
      <w:r w:rsidRPr="00EB3FAA">
        <w:rPr>
          <w:i/>
          <w:iCs/>
        </w:rPr>
        <w:t xml:space="preserve">Br J Anaesth </w:t>
      </w:r>
      <w:r w:rsidRPr="004D44F2">
        <w:t>122</w:t>
      </w:r>
      <w:r w:rsidRPr="001F3DC6">
        <w:t>(2)</w:t>
      </w:r>
      <w:r>
        <w:t>:</w:t>
      </w:r>
      <w:r w:rsidRPr="001F3DC6">
        <w:t xml:space="preserve"> 233</w:t>
      </w:r>
      <w:r>
        <w:t>–</w:t>
      </w:r>
      <w:r w:rsidRPr="001F3DC6">
        <w:t>44. DOI:</w:t>
      </w:r>
      <w:r>
        <w:t> </w:t>
      </w:r>
      <w:r w:rsidRPr="001F3DC6">
        <w:t>10.1016/j.bja.2018.10.056</w:t>
      </w:r>
      <w:r>
        <w:t xml:space="preserve"> (accessed 17 June 2021).</w:t>
      </w:r>
    </w:p>
    <w:p w14:paraId="514F287F" w14:textId="77777777" w:rsidR="00391C18" w:rsidRPr="00293C95" w:rsidRDefault="00391C18" w:rsidP="00391C18">
      <w:r w:rsidRPr="00293C95">
        <w:t xml:space="preserve">Weller JM, Long JA. 2019. Creating a climate for speaking up. </w:t>
      </w:r>
      <w:r w:rsidRPr="00EB3FAA">
        <w:rPr>
          <w:i/>
          <w:iCs/>
        </w:rPr>
        <w:t xml:space="preserve">Br J Anaesth </w:t>
      </w:r>
      <w:r w:rsidRPr="004D44F2">
        <w:t>122</w:t>
      </w:r>
      <w:r w:rsidRPr="00293C95">
        <w:t>(6)</w:t>
      </w:r>
      <w:r>
        <w:t>:</w:t>
      </w:r>
      <w:r w:rsidRPr="00293C95">
        <w:t xml:space="preserve"> 710</w:t>
      </w:r>
      <w:r>
        <w:t>–</w:t>
      </w:r>
      <w:r w:rsidRPr="00293C95">
        <w:t>13. DOI:</w:t>
      </w:r>
      <w:r>
        <w:t> </w:t>
      </w:r>
      <w:r w:rsidRPr="00293C95">
        <w:t>10.1016/j.bja.2019.03.003</w:t>
      </w:r>
      <w:r>
        <w:t xml:space="preserve"> (accessed 17 June 2021).</w:t>
      </w:r>
    </w:p>
    <w:p w14:paraId="54C9803A" w14:textId="77777777" w:rsidR="00391C18" w:rsidRPr="00457B5F" w:rsidRDefault="00391C18" w:rsidP="00391C18">
      <w:r w:rsidRPr="00457B5F">
        <w:t xml:space="preserve">El-Shafy IA, Delgado J, Akerman M, </w:t>
      </w:r>
      <w:r>
        <w:t xml:space="preserve">et al. </w:t>
      </w:r>
      <w:r w:rsidRPr="00457B5F">
        <w:t>2018. Closed-</w:t>
      </w:r>
      <w:r>
        <w:t>l</w:t>
      </w:r>
      <w:r w:rsidRPr="00457B5F">
        <w:t xml:space="preserve">oop </w:t>
      </w:r>
      <w:r>
        <w:t>c</w:t>
      </w:r>
      <w:r w:rsidRPr="00457B5F">
        <w:t xml:space="preserve">ommunication </w:t>
      </w:r>
      <w:r>
        <w:t>i</w:t>
      </w:r>
      <w:r w:rsidRPr="00457B5F">
        <w:t xml:space="preserve">mproves </w:t>
      </w:r>
      <w:r>
        <w:t>t</w:t>
      </w:r>
      <w:r w:rsidRPr="00457B5F">
        <w:t xml:space="preserve">ask </w:t>
      </w:r>
      <w:r>
        <w:t>c</w:t>
      </w:r>
      <w:r w:rsidRPr="00457B5F">
        <w:t xml:space="preserve">ompletion in </w:t>
      </w:r>
      <w:r>
        <w:t>p</w:t>
      </w:r>
      <w:r w:rsidRPr="00457B5F">
        <w:t xml:space="preserve">ediatric </w:t>
      </w:r>
      <w:r>
        <w:t>t</w:t>
      </w:r>
      <w:r w:rsidRPr="00457B5F">
        <w:t xml:space="preserve">rauma </w:t>
      </w:r>
      <w:r>
        <w:t>r</w:t>
      </w:r>
      <w:r w:rsidRPr="00457B5F">
        <w:t xml:space="preserve">esuscitation. </w:t>
      </w:r>
      <w:r w:rsidRPr="00EB3FAA">
        <w:rPr>
          <w:i/>
          <w:iCs/>
        </w:rPr>
        <w:t xml:space="preserve">J Surg Educ </w:t>
      </w:r>
      <w:r w:rsidRPr="00C92105">
        <w:t>75</w:t>
      </w:r>
      <w:r w:rsidRPr="00457B5F">
        <w:t>(1)</w:t>
      </w:r>
      <w:r>
        <w:t>:</w:t>
      </w:r>
      <w:r w:rsidRPr="00457B5F">
        <w:t xml:space="preserve"> 58</w:t>
      </w:r>
      <w:r>
        <w:t>–</w:t>
      </w:r>
      <w:r w:rsidRPr="00457B5F">
        <w:t>64. DOI:</w:t>
      </w:r>
      <w:r>
        <w:t> </w:t>
      </w:r>
      <w:r w:rsidRPr="00457B5F">
        <w:t>10.1016/j.jsurg.2017.06.025</w:t>
      </w:r>
      <w:r>
        <w:t xml:space="preserve"> (accessed 17 June 2021).</w:t>
      </w:r>
    </w:p>
    <w:p w14:paraId="7C734473" w14:textId="77777777" w:rsidR="00391C18" w:rsidRDefault="00391C18" w:rsidP="00391C18">
      <w:r w:rsidRPr="00EF4731">
        <w:t xml:space="preserve">von Dossow V, Zwissler B. 2016. Recommendations of the German Association of Anesthesiology and Intensive Care Medicine (DGAI) on structured patient handover in the perioperative setting: The SBAR concept. </w:t>
      </w:r>
      <w:r w:rsidRPr="00EB3FAA">
        <w:rPr>
          <w:i/>
          <w:iCs/>
        </w:rPr>
        <w:t xml:space="preserve">Anaesthesist </w:t>
      </w:r>
      <w:r w:rsidRPr="004D44F2">
        <w:t>65</w:t>
      </w:r>
      <w:r w:rsidRPr="00EF4731">
        <w:t>(Suppl 1)</w:t>
      </w:r>
      <w:r>
        <w:t>:</w:t>
      </w:r>
      <w:r w:rsidRPr="00EF4731">
        <w:t xml:space="preserve"> 1</w:t>
      </w:r>
      <w:r>
        <w:t>–</w:t>
      </w:r>
      <w:r w:rsidRPr="00EF4731">
        <w:t>4. DOI:</w:t>
      </w:r>
      <w:r>
        <w:t> </w:t>
      </w:r>
      <w:r w:rsidRPr="00EF4731">
        <w:t>10.1007/s00101-016-0237-5</w:t>
      </w:r>
      <w:r>
        <w:t xml:space="preserve"> (accessed 17 June 2021).</w:t>
      </w:r>
    </w:p>
    <w:p w14:paraId="7ACA22C7" w14:textId="77777777" w:rsidR="00391C18" w:rsidRPr="001F3DC6" w:rsidRDefault="00391C18" w:rsidP="00391C18">
      <w:r w:rsidRPr="001F3DC6">
        <w:t xml:space="preserve">Pucher PH, Johnston MJ, Aggarwal R, </w:t>
      </w:r>
      <w:r>
        <w:t xml:space="preserve">et al. </w:t>
      </w:r>
      <w:r w:rsidRPr="001F3DC6">
        <w:t xml:space="preserve">2015. Effectiveness of interventions to improve patient handover in surgery: A systematic review. </w:t>
      </w:r>
      <w:r w:rsidRPr="00EB3FAA">
        <w:rPr>
          <w:i/>
          <w:iCs/>
        </w:rPr>
        <w:t xml:space="preserve">Surgery </w:t>
      </w:r>
      <w:r w:rsidRPr="00C92105">
        <w:t>158</w:t>
      </w:r>
      <w:r w:rsidRPr="001F3DC6">
        <w:t>(1)</w:t>
      </w:r>
      <w:r>
        <w:t>:</w:t>
      </w:r>
      <w:r w:rsidRPr="001F3DC6">
        <w:t xml:space="preserve"> 85</w:t>
      </w:r>
      <w:r>
        <w:t>–</w:t>
      </w:r>
      <w:r w:rsidRPr="001F3DC6">
        <w:t>95. DOI:</w:t>
      </w:r>
      <w:r>
        <w:t> </w:t>
      </w:r>
      <w:r w:rsidRPr="001F3DC6">
        <w:t>10.1016/j.surg.2015.02.017</w:t>
      </w:r>
      <w:r>
        <w:t xml:space="preserve"> (accessed 17 June 2021).</w:t>
      </w:r>
    </w:p>
    <w:p w14:paraId="5389B9D6" w14:textId="77777777" w:rsidR="00391C18" w:rsidRPr="00534E1F" w:rsidRDefault="00391C18" w:rsidP="00391C18">
      <w:r w:rsidRPr="00534E1F">
        <w:lastRenderedPageBreak/>
        <w:t xml:space="preserve">Gillespie BM, Chaboyer W, Murray P. 2010. Enhancing communication in surgery through team training interventions: </w:t>
      </w:r>
      <w:r>
        <w:t>A</w:t>
      </w:r>
      <w:r w:rsidRPr="00534E1F">
        <w:t xml:space="preserve"> systematic literature review. </w:t>
      </w:r>
      <w:r w:rsidRPr="00EB3FAA">
        <w:rPr>
          <w:i/>
          <w:iCs/>
        </w:rPr>
        <w:t xml:space="preserve">AORN J </w:t>
      </w:r>
      <w:r w:rsidRPr="00C92105">
        <w:t>92</w:t>
      </w:r>
      <w:r w:rsidRPr="00534E1F">
        <w:t>(6)</w:t>
      </w:r>
      <w:r>
        <w:t>:</w:t>
      </w:r>
      <w:r w:rsidRPr="00534E1F">
        <w:t xml:space="preserve"> 642</w:t>
      </w:r>
      <w:r>
        <w:t>–</w:t>
      </w:r>
      <w:r w:rsidRPr="00534E1F">
        <w:t>57. DOI:</w:t>
      </w:r>
      <w:r>
        <w:t> </w:t>
      </w:r>
      <w:r w:rsidRPr="00534E1F">
        <w:t>10.1016/j.aorn.2010.02.015</w:t>
      </w:r>
      <w:r>
        <w:t xml:space="preserve"> (accessed 17 June 2021).</w:t>
      </w:r>
    </w:p>
    <w:p w14:paraId="713EA399" w14:textId="77777777" w:rsidR="00391C18" w:rsidRPr="001F3DC6" w:rsidRDefault="00391C18" w:rsidP="00391C18">
      <w:r w:rsidRPr="001F3DC6">
        <w:t>Nagpal K, Vats A, Lamb B,</w:t>
      </w:r>
      <w:r>
        <w:t xml:space="preserve"> et al. </w:t>
      </w:r>
      <w:r w:rsidRPr="001F3DC6">
        <w:t xml:space="preserve">2010. Information transfer and communication in surgery: </w:t>
      </w:r>
      <w:r>
        <w:t>A</w:t>
      </w:r>
      <w:r w:rsidRPr="001F3DC6">
        <w:t xml:space="preserve"> systematic review. </w:t>
      </w:r>
      <w:r w:rsidRPr="00EB3FAA">
        <w:rPr>
          <w:i/>
          <w:iCs/>
        </w:rPr>
        <w:t xml:space="preserve">Ann Surg </w:t>
      </w:r>
      <w:r w:rsidRPr="00C92105">
        <w:t>252</w:t>
      </w:r>
      <w:r w:rsidRPr="001F3DC6">
        <w:t>(2)</w:t>
      </w:r>
      <w:r>
        <w:t>:</w:t>
      </w:r>
      <w:r w:rsidRPr="001F3DC6">
        <w:t xml:space="preserve"> 225-239. DOI:</w:t>
      </w:r>
      <w:r>
        <w:t> </w:t>
      </w:r>
      <w:r w:rsidRPr="001F3DC6">
        <w:t>10.1097/SLA.0b013e3181e495c2</w:t>
      </w:r>
      <w:r>
        <w:t xml:space="preserve"> (accessed 17 June 2021).</w:t>
      </w:r>
    </w:p>
    <w:p w14:paraId="12D99A1C" w14:textId="77777777" w:rsidR="00391C18" w:rsidRPr="004101E9" w:rsidRDefault="00391C18" w:rsidP="00391C18">
      <w:pPr>
        <w:pStyle w:val="H1evidencesummary"/>
      </w:pPr>
      <w:bookmarkStart w:id="14" w:name="_Toc74818421"/>
      <w:bookmarkStart w:id="15" w:name="_Toc79066229"/>
      <w:r w:rsidRPr="004101E9">
        <w:t>Simulation team training and safer surgery</w:t>
      </w:r>
      <w:bookmarkEnd w:id="14"/>
      <w:bookmarkEnd w:id="15"/>
    </w:p>
    <w:p w14:paraId="40F9E85B" w14:textId="77777777" w:rsidR="00391C18" w:rsidRDefault="00391C18" w:rsidP="00391C18">
      <w:pPr>
        <w:keepNext/>
      </w:pPr>
      <w:r w:rsidRPr="00256436">
        <w:t>Armenia S, Thangamathesvaran L, Caine AD,</w:t>
      </w:r>
      <w:r>
        <w:t xml:space="preserve"> et al. </w:t>
      </w:r>
      <w:r w:rsidRPr="00256436">
        <w:t xml:space="preserve">2018. The </w:t>
      </w:r>
      <w:r>
        <w:t>r</w:t>
      </w:r>
      <w:r w:rsidRPr="00256436">
        <w:t xml:space="preserve">ole of </w:t>
      </w:r>
      <w:r>
        <w:t>h</w:t>
      </w:r>
      <w:r w:rsidRPr="00256436">
        <w:t>igh-</w:t>
      </w:r>
      <w:r>
        <w:t>f</w:t>
      </w:r>
      <w:r w:rsidRPr="00256436">
        <w:t xml:space="preserve">idelity </w:t>
      </w:r>
      <w:r>
        <w:t>t</w:t>
      </w:r>
      <w:r w:rsidRPr="00256436">
        <w:t>eam-</w:t>
      </w:r>
      <w:r>
        <w:t>b</w:t>
      </w:r>
      <w:r w:rsidRPr="00256436">
        <w:t xml:space="preserve">ased </w:t>
      </w:r>
      <w:r>
        <w:t>s</w:t>
      </w:r>
      <w:r w:rsidRPr="00256436">
        <w:t xml:space="preserve">imulation in </w:t>
      </w:r>
      <w:r>
        <w:t>a</w:t>
      </w:r>
      <w:r w:rsidRPr="00256436">
        <w:t xml:space="preserve">cute </w:t>
      </w:r>
      <w:r>
        <w:t>c</w:t>
      </w:r>
      <w:r w:rsidRPr="00256436">
        <w:t xml:space="preserve">are </w:t>
      </w:r>
      <w:r>
        <w:t>s</w:t>
      </w:r>
      <w:r w:rsidRPr="00256436">
        <w:t xml:space="preserve">ettings: A </w:t>
      </w:r>
      <w:r>
        <w:t>s</w:t>
      </w:r>
      <w:r w:rsidRPr="00256436">
        <w:t xml:space="preserve">ystematic </w:t>
      </w:r>
      <w:r>
        <w:t>r</w:t>
      </w:r>
      <w:r w:rsidRPr="00256436">
        <w:t xml:space="preserve">eview. </w:t>
      </w:r>
      <w:r w:rsidRPr="00EB3FAA">
        <w:rPr>
          <w:i/>
          <w:iCs/>
        </w:rPr>
        <w:t xml:space="preserve">Surg J (N Y) </w:t>
      </w:r>
      <w:r w:rsidRPr="00365100">
        <w:t>4</w:t>
      </w:r>
      <w:r w:rsidRPr="00256436">
        <w:t>(3)</w:t>
      </w:r>
      <w:r>
        <w:t>:</w:t>
      </w:r>
      <w:r w:rsidRPr="00256436">
        <w:t xml:space="preserve"> e136</w:t>
      </w:r>
      <w:r>
        <w:t>–</w:t>
      </w:r>
      <w:r w:rsidRPr="00256436">
        <w:t>e151. DOI:</w:t>
      </w:r>
      <w:r>
        <w:t> </w:t>
      </w:r>
      <w:r w:rsidRPr="00256436">
        <w:t>10.1055/s-0038-1667315</w:t>
      </w:r>
      <w:r>
        <w:t xml:space="preserve"> (accessed 17 June 2021).</w:t>
      </w:r>
    </w:p>
    <w:p w14:paraId="0064A9D5" w14:textId="77777777" w:rsidR="00391C18" w:rsidRDefault="00391C18" w:rsidP="00391C18">
      <w:r w:rsidRPr="00256436">
        <w:t>Weller JM, Cumin D, Civil ID,</w:t>
      </w:r>
      <w:r>
        <w:t xml:space="preserve"> et al. </w:t>
      </w:r>
      <w:r w:rsidRPr="00256436">
        <w:t xml:space="preserve">2016. Improved scores for observed teamwork in the clinical environment following a multidisciplinary operating room simulation intervention. </w:t>
      </w:r>
      <w:r w:rsidRPr="00EB3FAA">
        <w:rPr>
          <w:i/>
          <w:iCs/>
        </w:rPr>
        <w:t xml:space="preserve">NZ Med J </w:t>
      </w:r>
      <w:r w:rsidRPr="00365100">
        <w:t>129</w:t>
      </w:r>
      <w:r w:rsidRPr="00256436">
        <w:t>(1439)</w:t>
      </w:r>
      <w:r>
        <w:t>:</w:t>
      </w:r>
      <w:r w:rsidRPr="00256436">
        <w:t xml:space="preserve"> 59</w:t>
      </w:r>
      <w:r>
        <w:t>–</w:t>
      </w:r>
      <w:r w:rsidRPr="00256436">
        <w:t>67.</w:t>
      </w:r>
    </w:p>
    <w:p w14:paraId="4FECC282" w14:textId="77777777" w:rsidR="00391C18" w:rsidRDefault="00391C18" w:rsidP="00391C18">
      <w:r w:rsidRPr="00615931">
        <w:t xml:space="preserve">Weller J, Civil I, Torrie J, </w:t>
      </w:r>
      <w:r>
        <w:t>et al</w:t>
      </w:r>
      <w:r w:rsidRPr="00615931">
        <w:t xml:space="preserve">. 2016. Can team training make surgery safer? Lessons for national implementation of a simulation-based programme. </w:t>
      </w:r>
      <w:r w:rsidRPr="00EB3FAA">
        <w:rPr>
          <w:i/>
          <w:iCs/>
        </w:rPr>
        <w:t xml:space="preserve">NZ Med J </w:t>
      </w:r>
      <w:r w:rsidRPr="00365100">
        <w:t>129</w:t>
      </w:r>
      <w:r w:rsidRPr="00615931">
        <w:t>(1</w:t>
      </w:r>
      <w:r>
        <w:t>,</w:t>
      </w:r>
      <w:r w:rsidRPr="00615931">
        <w:t>443)</w:t>
      </w:r>
      <w:r>
        <w:t>:</w:t>
      </w:r>
      <w:r w:rsidRPr="00615931">
        <w:t xml:space="preserve"> 9</w:t>
      </w:r>
      <w:r>
        <w:t>–</w:t>
      </w:r>
      <w:r w:rsidRPr="00615931">
        <w:t>17.</w:t>
      </w:r>
    </w:p>
    <w:p w14:paraId="0DE94113" w14:textId="77777777" w:rsidR="00391C18" w:rsidRDefault="00391C18" w:rsidP="00391C18">
      <w:r w:rsidRPr="00256436">
        <w:t>Fung</w:t>
      </w:r>
      <w:r>
        <w:t xml:space="preserve"> </w:t>
      </w:r>
      <w:r w:rsidRPr="00256436">
        <w:t>L, Boet S, Bould MD,</w:t>
      </w:r>
      <w:r>
        <w:t xml:space="preserve"> et al. </w:t>
      </w:r>
      <w:r w:rsidRPr="00256436">
        <w:t xml:space="preserve">2015. Impact of crisis resource management simulation-based training for interprofessional and interdisciplinary teams: A systematic review. </w:t>
      </w:r>
      <w:r w:rsidRPr="00EB3FAA">
        <w:rPr>
          <w:i/>
          <w:iCs/>
        </w:rPr>
        <w:t xml:space="preserve">J Interprof Care </w:t>
      </w:r>
      <w:r w:rsidRPr="00365100">
        <w:t>29</w:t>
      </w:r>
      <w:r w:rsidRPr="00256436">
        <w:t>(5)</w:t>
      </w:r>
      <w:r>
        <w:t xml:space="preserve">: </w:t>
      </w:r>
      <w:r w:rsidRPr="00256436">
        <w:t>433</w:t>
      </w:r>
      <w:r>
        <w:t>–</w:t>
      </w:r>
      <w:r w:rsidRPr="00256436">
        <w:t>44. DOI:</w:t>
      </w:r>
      <w:r>
        <w:t> </w:t>
      </w:r>
      <w:r w:rsidRPr="00256436">
        <w:t>10.3109/13561820.2015.1017555</w:t>
      </w:r>
      <w:r>
        <w:t xml:space="preserve"> (accessed 17 June 2021).</w:t>
      </w:r>
    </w:p>
    <w:p w14:paraId="5DFDC7AB" w14:textId="77777777" w:rsidR="00391C18" w:rsidRDefault="00391C18" w:rsidP="00391C18">
      <w:r w:rsidRPr="00256436">
        <w:t>Boet S, Bould MD, Fung L,</w:t>
      </w:r>
      <w:r>
        <w:t xml:space="preserve"> et al. </w:t>
      </w:r>
      <w:r w:rsidRPr="00256436">
        <w:t xml:space="preserve">2014. Transfer of learning and patient outcome in simulated crisis resource management: </w:t>
      </w:r>
      <w:r>
        <w:t>A</w:t>
      </w:r>
      <w:r w:rsidRPr="00256436">
        <w:t xml:space="preserve"> systematic review. </w:t>
      </w:r>
      <w:r w:rsidRPr="00EB3FAA">
        <w:rPr>
          <w:i/>
          <w:iCs/>
        </w:rPr>
        <w:t xml:space="preserve">Can J Anaesth </w:t>
      </w:r>
      <w:r w:rsidRPr="00365100">
        <w:t>61</w:t>
      </w:r>
      <w:r w:rsidRPr="00256436">
        <w:t>(6)</w:t>
      </w:r>
      <w:r>
        <w:t>:</w:t>
      </w:r>
      <w:r w:rsidRPr="00256436">
        <w:t xml:space="preserve"> 571</w:t>
      </w:r>
      <w:r>
        <w:t>–</w:t>
      </w:r>
      <w:r w:rsidRPr="00256436">
        <w:t>82. DOI:</w:t>
      </w:r>
      <w:r>
        <w:t> </w:t>
      </w:r>
      <w:r w:rsidRPr="00256436">
        <w:t>10.1007/s12630-014-0143-8</w:t>
      </w:r>
      <w:r>
        <w:t xml:space="preserve"> (accessed 17 June 2021).</w:t>
      </w:r>
    </w:p>
    <w:p w14:paraId="51CC0654" w14:textId="77777777" w:rsidR="00391C18" w:rsidRDefault="00391C18" w:rsidP="00391C18">
      <w:r w:rsidRPr="00256436">
        <w:t>Paull</w:t>
      </w:r>
      <w:r>
        <w:t xml:space="preserve"> </w:t>
      </w:r>
      <w:r w:rsidRPr="00256436">
        <w:t>DE, Deleeuw LD, Wolk S,</w:t>
      </w:r>
      <w:r>
        <w:t xml:space="preserve"> et al. </w:t>
      </w:r>
      <w:r w:rsidRPr="00256436">
        <w:t xml:space="preserve">2013. The effect of simulation-based crew resource management training on measurable teamwork and communication among interprofessional teams caring for postoperative patients. </w:t>
      </w:r>
      <w:r w:rsidRPr="00EB3FAA">
        <w:rPr>
          <w:i/>
          <w:iCs/>
        </w:rPr>
        <w:t xml:space="preserve">J Contin Educ Nurs </w:t>
      </w:r>
      <w:r w:rsidRPr="00365100">
        <w:t>44</w:t>
      </w:r>
      <w:r w:rsidRPr="00256436">
        <w:t>(11)</w:t>
      </w:r>
      <w:r>
        <w:t>:</w:t>
      </w:r>
      <w:r w:rsidRPr="00256436">
        <w:t xml:space="preserve"> 516</w:t>
      </w:r>
      <w:r>
        <w:t>–</w:t>
      </w:r>
      <w:r w:rsidRPr="00256436">
        <w:t>24. DOI:</w:t>
      </w:r>
      <w:r>
        <w:t> </w:t>
      </w:r>
      <w:r w:rsidRPr="00256436">
        <w:t>10.3928/00220124-20130903-38</w:t>
      </w:r>
      <w:r>
        <w:t xml:space="preserve"> (accessed 17 June 2021).</w:t>
      </w:r>
    </w:p>
    <w:p w14:paraId="0E65D16C" w14:textId="77777777" w:rsidR="00391C18" w:rsidRPr="001A72EF" w:rsidRDefault="00391C18" w:rsidP="00391C18">
      <w:r w:rsidRPr="001A72EF">
        <w:t>Weller J, Long JA, Beaver P,</w:t>
      </w:r>
      <w:r>
        <w:t xml:space="preserve"> et al. </w:t>
      </w:r>
      <w:r w:rsidRPr="001A72EF">
        <w:t xml:space="preserve">(2020). Evaluation of the effect of multidisciplinary simulation-based team training on patients, staff and organisations: </w:t>
      </w:r>
      <w:r>
        <w:t>P</w:t>
      </w:r>
      <w:r w:rsidRPr="001A72EF">
        <w:t xml:space="preserve">rotocol for a stepped-wedge cluster-mixed methods study of a national, insurer-funded initiative for surgical teams in New Zealand public hospitals. </w:t>
      </w:r>
      <w:r w:rsidRPr="00EB3FAA">
        <w:rPr>
          <w:i/>
          <w:iCs/>
        </w:rPr>
        <w:t xml:space="preserve">BMJ Open </w:t>
      </w:r>
      <w:r w:rsidRPr="009B3829">
        <w:t>10</w:t>
      </w:r>
      <w:r w:rsidRPr="001A72EF">
        <w:t>(2)</w:t>
      </w:r>
      <w:r>
        <w:t>:</w:t>
      </w:r>
      <w:r w:rsidRPr="001A72EF">
        <w:t xml:space="preserve"> e032997. DOI:</w:t>
      </w:r>
      <w:r>
        <w:t> </w:t>
      </w:r>
      <w:r w:rsidRPr="001A72EF">
        <w:t>10.1136/bmjopen-2019-032997</w:t>
      </w:r>
      <w:r>
        <w:t xml:space="preserve"> (accessed 17 June 2021).</w:t>
      </w:r>
    </w:p>
    <w:p w14:paraId="27E5F9FA" w14:textId="77777777" w:rsidR="00391C18" w:rsidRDefault="00391C18" w:rsidP="00391C18">
      <w:r w:rsidRPr="00256436">
        <w:t>Long</w:t>
      </w:r>
      <w:r>
        <w:t xml:space="preserve"> </w:t>
      </w:r>
      <w:r w:rsidRPr="00256436">
        <w:t>JA, Jowsey T, Henderson KM,</w:t>
      </w:r>
      <w:r>
        <w:t xml:space="preserve"> et al. </w:t>
      </w:r>
      <w:r w:rsidRPr="00256436">
        <w:t xml:space="preserve">2020. Sustaining multidisciplinary team training in New Zealand hospitals: </w:t>
      </w:r>
      <w:r>
        <w:t>A</w:t>
      </w:r>
      <w:r w:rsidRPr="00256436">
        <w:t xml:space="preserve"> qualitative study of a national simulation-based initiative. </w:t>
      </w:r>
      <w:r w:rsidRPr="00EB3FAA">
        <w:rPr>
          <w:i/>
          <w:iCs/>
        </w:rPr>
        <w:t xml:space="preserve">NZ Med J </w:t>
      </w:r>
      <w:r w:rsidRPr="009B3829">
        <w:t>133</w:t>
      </w:r>
      <w:r w:rsidRPr="00256436">
        <w:t>(1516)</w:t>
      </w:r>
      <w:r>
        <w:t>:</w:t>
      </w:r>
      <w:r w:rsidRPr="00256436">
        <w:t xml:space="preserve"> 10</w:t>
      </w:r>
      <w:r>
        <w:t>–</w:t>
      </w:r>
      <w:r w:rsidRPr="00256436">
        <w:t>21.</w:t>
      </w:r>
    </w:p>
    <w:p w14:paraId="57D53483" w14:textId="77777777" w:rsidR="00391C18" w:rsidRDefault="00391C18" w:rsidP="00391C18">
      <w:r w:rsidRPr="00256436">
        <w:t>Arriaga AF, Gawande AA, Raemer DB,</w:t>
      </w:r>
      <w:r>
        <w:t xml:space="preserve"> et al.</w:t>
      </w:r>
      <w:r w:rsidRPr="00256436">
        <w:t xml:space="preserve"> 2014. Pilot testing of a model for insurer-driven, large-scale multicenter simulation training for operating room teams. </w:t>
      </w:r>
      <w:r w:rsidRPr="00EB3FAA">
        <w:rPr>
          <w:i/>
          <w:iCs/>
        </w:rPr>
        <w:t xml:space="preserve">Ann Surg </w:t>
      </w:r>
      <w:r w:rsidRPr="009B3829">
        <w:t>259</w:t>
      </w:r>
      <w:r w:rsidRPr="00256436">
        <w:t>(3)</w:t>
      </w:r>
      <w:r>
        <w:t>:</w:t>
      </w:r>
      <w:r w:rsidRPr="00256436">
        <w:t xml:space="preserve"> 403</w:t>
      </w:r>
      <w:r>
        <w:t>–</w:t>
      </w:r>
      <w:r w:rsidRPr="00256436">
        <w:t>10. DOI:</w:t>
      </w:r>
      <w:r>
        <w:t> </w:t>
      </w:r>
      <w:r w:rsidRPr="00256436">
        <w:t>10.1097/sla.0000000000000342</w:t>
      </w:r>
      <w:r>
        <w:t>. (accessed 17 June 2021).</w:t>
      </w:r>
    </w:p>
    <w:sectPr w:rsidR="00391C18" w:rsidSect="00394CE8">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FD2DD" w14:textId="77777777" w:rsidR="00080362" w:rsidRDefault="00080362" w:rsidP="005C14FF">
      <w:pPr>
        <w:spacing w:after="0" w:line="240" w:lineRule="auto"/>
      </w:pPr>
      <w:r>
        <w:separator/>
      </w:r>
    </w:p>
  </w:endnote>
  <w:endnote w:type="continuationSeparator" w:id="0">
    <w:p w14:paraId="3A3D608A" w14:textId="77777777" w:rsidR="00080362" w:rsidRDefault="00080362" w:rsidP="005C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DD14" w14:textId="77777777" w:rsidR="001E3C07" w:rsidRDefault="001E3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szCs w:val="20"/>
      </w:rPr>
      <w:id w:val="-1817795173"/>
      <w:docPartObj>
        <w:docPartGallery w:val="Page Numbers (Bottom of Page)"/>
        <w:docPartUnique/>
      </w:docPartObj>
    </w:sdtPr>
    <w:sdtEndPr>
      <w:rPr>
        <w:noProof/>
      </w:rPr>
    </w:sdtEndPr>
    <w:sdtContent>
      <w:p w14:paraId="798D67DC" w14:textId="56D0E6AF" w:rsidR="00080362" w:rsidRPr="000A0B95" w:rsidRDefault="00391C18" w:rsidP="00391C18">
        <w:pPr>
          <w:pStyle w:val="Footer"/>
          <w:jc w:val="right"/>
          <w:rPr>
            <w:rFonts w:cs="Arial"/>
            <w:sz w:val="20"/>
            <w:szCs w:val="20"/>
          </w:rPr>
        </w:pPr>
        <w:r w:rsidRPr="00391C18">
          <w:rPr>
            <w:rFonts w:cs="Arial"/>
            <w:sz w:val="20"/>
            <w:szCs w:val="20"/>
          </w:rPr>
          <w:t>Safer surgery journal articles (short version</w:t>
        </w:r>
        <w:r w:rsidR="001E3C07">
          <w:rPr>
            <w:rFonts w:cs="Arial"/>
            <w:sz w:val="20"/>
            <w:szCs w:val="20"/>
          </w:rPr>
          <w:t>, updated August 2021</w:t>
        </w:r>
        <w:r w:rsidRPr="00391C18">
          <w:rPr>
            <w:rFonts w:cs="Arial"/>
            <w:sz w:val="20"/>
            <w:szCs w:val="20"/>
          </w:rPr>
          <w:t>)</w:t>
        </w:r>
        <w:r>
          <w:rPr>
            <w:rFonts w:cs="Arial"/>
            <w:sz w:val="20"/>
            <w:szCs w:val="20"/>
          </w:rPr>
          <w:tab/>
        </w:r>
        <w:r w:rsidR="00080362" w:rsidRPr="007A69BE">
          <w:rPr>
            <w:rFonts w:cs="Arial"/>
            <w:sz w:val="20"/>
            <w:szCs w:val="20"/>
          </w:rPr>
          <w:fldChar w:fldCharType="begin"/>
        </w:r>
        <w:r w:rsidR="00080362" w:rsidRPr="007A69BE">
          <w:rPr>
            <w:rFonts w:cs="Arial"/>
            <w:sz w:val="20"/>
            <w:szCs w:val="20"/>
          </w:rPr>
          <w:instrText xml:space="preserve"> PAGE   \* MERGEFORMAT </w:instrText>
        </w:r>
        <w:r w:rsidR="00080362" w:rsidRPr="007A69BE">
          <w:rPr>
            <w:rFonts w:cs="Arial"/>
            <w:sz w:val="20"/>
            <w:szCs w:val="20"/>
          </w:rPr>
          <w:fldChar w:fldCharType="separate"/>
        </w:r>
        <w:r w:rsidR="00080362">
          <w:rPr>
            <w:rFonts w:cs="Arial"/>
            <w:noProof/>
            <w:sz w:val="20"/>
            <w:szCs w:val="20"/>
          </w:rPr>
          <w:t>17</w:t>
        </w:r>
        <w:r w:rsidR="00080362" w:rsidRPr="007A69BE">
          <w:rPr>
            <w:rFonts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987D2" w14:textId="77777777" w:rsidR="001E3C07" w:rsidRDefault="001E3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8674" w14:textId="77777777" w:rsidR="00080362" w:rsidRDefault="00080362" w:rsidP="005C14FF">
      <w:pPr>
        <w:spacing w:after="0" w:line="240" w:lineRule="auto"/>
      </w:pPr>
      <w:r>
        <w:separator/>
      </w:r>
    </w:p>
  </w:footnote>
  <w:footnote w:type="continuationSeparator" w:id="0">
    <w:p w14:paraId="4670B589" w14:textId="77777777" w:rsidR="00080362" w:rsidRDefault="00080362" w:rsidP="005C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E1DA" w14:textId="77777777" w:rsidR="001E3C07" w:rsidRDefault="001E3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186A" w14:textId="77777777" w:rsidR="001E3C07" w:rsidRDefault="001E3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AE92" w14:textId="77777777" w:rsidR="001E3C07" w:rsidRDefault="001E3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78E"/>
    <w:multiLevelType w:val="hybridMultilevel"/>
    <w:tmpl w:val="BC2EBC18"/>
    <w:lvl w:ilvl="0" w:tplc="1409000F">
      <w:start w:val="1"/>
      <w:numFmt w:val="decimal"/>
      <w:lvlText w:val="%1."/>
      <w:lvlJc w:val="left"/>
      <w:pPr>
        <w:ind w:left="643" w:hanging="360"/>
      </w:pPr>
    </w:lvl>
    <w:lvl w:ilvl="1" w:tplc="14090019">
      <w:start w:val="1"/>
      <w:numFmt w:val="lowerLetter"/>
      <w:lvlText w:val="%2."/>
      <w:lvlJc w:val="left"/>
      <w:pPr>
        <w:ind w:left="1363" w:hanging="360"/>
      </w:pPr>
    </w:lvl>
    <w:lvl w:ilvl="2" w:tplc="1409001B">
      <w:start w:val="1"/>
      <w:numFmt w:val="lowerRoman"/>
      <w:lvlText w:val="%3."/>
      <w:lvlJc w:val="right"/>
      <w:pPr>
        <w:ind w:left="2083" w:hanging="180"/>
      </w:pPr>
    </w:lvl>
    <w:lvl w:ilvl="3" w:tplc="1409000F">
      <w:start w:val="1"/>
      <w:numFmt w:val="decimal"/>
      <w:lvlText w:val="%4."/>
      <w:lvlJc w:val="left"/>
      <w:pPr>
        <w:ind w:left="2803" w:hanging="360"/>
      </w:pPr>
    </w:lvl>
    <w:lvl w:ilvl="4" w:tplc="14090019">
      <w:start w:val="1"/>
      <w:numFmt w:val="lowerLetter"/>
      <w:lvlText w:val="%5."/>
      <w:lvlJc w:val="left"/>
      <w:pPr>
        <w:ind w:left="3523" w:hanging="360"/>
      </w:pPr>
    </w:lvl>
    <w:lvl w:ilvl="5" w:tplc="1409001B">
      <w:start w:val="1"/>
      <w:numFmt w:val="lowerRoman"/>
      <w:lvlText w:val="%6."/>
      <w:lvlJc w:val="right"/>
      <w:pPr>
        <w:ind w:left="4243" w:hanging="180"/>
      </w:pPr>
    </w:lvl>
    <w:lvl w:ilvl="6" w:tplc="1409000F">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 w15:restartNumberingAfterBreak="0">
    <w:nsid w:val="00C5256A"/>
    <w:multiLevelType w:val="hybridMultilevel"/>
    <w:tmpl w:val="8D2C4C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25495A"/>
    <w:multiLevelType w:val="hybridMultilevel"/>
    <w:tmpl w:val="67D03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76E02"/>
    <w:multiLevelType w:val="hybridMultilevel"/>
    <w:tmpl w:val="548CD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712BE"/>
    <w:multiLevelType w:val="hybridMultilevel"/>
    <w:tmpl w:val="92CE7744"/>
    <w:lvl w:ilvl="0" w:tplc="F8EE65DE">
      <w:start w:val="1"/>
      <w:numFmt w:val="decimal"/>
      <w:lvlText w:val="%1."/>
      <w:lvlJc w:val="left"/>
      <w:pPr>
        <w:ind w:left="841" w:hanging="284"/>
      </w:pPr>
      <w:rPr>
        <w:rFonts w:ascii="Calibri" w:eastAsia="Calibri" w:hAnsi="Calibri" w:cs="Calibri" w:hint="default"/>
        <w:b/>
        <w:bCs/>
        <w:color w:val="4A4A49"/>
        <w:w w:val="90"/>
        <w:sz w:val="20"/>
        <w:szCs w:val="20"/>
      </w:rPr>
    </w:lvl>
    <w:lvl w:ilvl="1" w:tplc="6D46B52A">
      <w:numFmt w:val="bullet"/>
      <w:lvlText w:val="•"/>
      <w:lvlJc w:val="left"/>
      <w:pPr>
        <w:ind w:left="1659" w:hanging="284"/>
      </w:pPr>
      <w:rPr>
        <w:rFonts w:hint="default"/>
      </w:rPr>
    </w:lvl>
    <w:lvl w:ilvl="2" w:tplc="828487C8">
      <w:numFmt w:val="bullet"/>
      <w:lvlText w:val="•"/>
      <w:lvlJc w:val="left"/>
      <w:pPr>
        <w:ind w:left="2478" w:hanging="284"/>
      </w:pPr>
      <w:rPr>
        <w:rFonts w:hint="default"/>
      </w:rPr>
    </w:lvl>
    <w:lvl w:ilvl="3" w:tplc="957E6A20">
      <w:numFmt w:val="bullet"/>
      <w:lvlText w:val="•"/>
      <w:lvlJc w:val="left"/>
      <w:pPr>
        <w:ind w:left="3297" w:hanging="284"/>
      </w:pPr>
      <w:rPr>
        <w:rFonts w:hint="default"/>
      </w:rPr>
    </w:lvl>
    <w:lvl w:ilvl="4" w:tplc="C64E2630">
      <w:numFmt w:val="bullet"/>
      <w:lvlText w:val="•"/>
      <w:lvlJc w:val="left"/>
      <w:pPr>
        <w:ind w:left="4117" w:hanging="284"/>
      </w:pPr>
      <w:rPr>
        <w:rFonts w:hint="default"/>
      </w:rPr>
    </w:lvl>
    <w:lvl w:ilvl="5" w:tplc="62EED2EA">
      <w:numFmt w:val="bullet"/>
      <w:lvlText w:val="•"/>
      <w:lvlJc w:val="left"/>
      <w:pPr>
        <w:ind w:left="4936" w:hanging="284"/>
      </w:pPr>
      <w:rPr>
        <w:rFonts w:hint="default"/>
      </w:rPr>
    </w:lvl>
    <w:lvl w:ilvl="6" w:tplc="E4EA93AA">
      <w:numFmt w:val="bullet"/>
      <w:lvlText w:val="•"/>
      <w:lvlJc w:val="left"/>
      <w:pPr>
        <w:ind w:left="5755" w:hanging="284"/>
      </w:pPr>
      <w:rPr>
        <w:rFonts w:hint="default"/>
      </w:rPr>
    </w:lvl>
    <w:lvl w:ilvl="7" w:tplc="823000A4">
      <w:numFmt w:val="bullet"/>
      <w:lvlText w:val="•"/>
      <w:lvlJc w:val="left"/>
      <w:pPr>
        <w:ind w:left="6575" w:hanging="284"/>
      </w:pPr>
      <w:rPr>
        <w:rFonts w:hint="default"/>
      </w:rPr>
    </w:lvl>
    <w:lvl w:ilvl="8" w:tplc="033436E4">
      <w:numFmt w:val="bullet"/>
      <w:lvlText w:val="•"/>
      <w:lvlJc w:val="left"/>
      <w:pPr>
        <w:ind w:left="7394" w:hanging="284"/>
      </w:pPr>
      <w:rPr>
        <w:rFonts w:hint="default"/>
      </w:rPr>
    </w:lvl>
  </w:abstractNum>
  <w:abstractNum w:abstractNumId="5" w15:restartNumberingAfterBreak="0">
    <w:nsid w:val="12AC0947"/>
    <w:multiLevelType w:val="hybridMultilevel"/>
    <w:tmpl w:val="541E6C06"/>
    <w:lvl w:ilvl="0" w:tplc="B2A28EE4">
      <w:start w:val="1"/>
      <w:numFmt w:val="decimal"/>
      <w:lvlText w:val="%1."/>
      <w:lvlJc w:val="left"/>
      <w:pPr>
        <w:ind w:left="841" w:hanging="284"/>
      </w:pPr>
      <w:rPr>
        <w:rFonts w:ascii="Calibri" w:eastAsia="Calibri" w:hAnsi="Calibri" w:cs="Calibri" w:hint="default"/>
        <w:b/>
        <w:bCs/>
        <w:color w:val="4A4A49"/>
        <w:w w:val="90"/>
        <w:sz w:val="20"/>
        <w:szCs w:val="20"/>
      </w:rPr>
    </w:lvl>
    <w:lvl w:ilvl="1" w:tplc="44B44134">
      <w:numFmt w:val="bullet"/>
      <w:lvlText w:val="•"/>
      <w:lvlJc w:val="left"/>
      <w:pPr>
        <w:ind w:left="1659" w:hanging="284"/>
      </w:pPr>
      <w:rPr>
        <w:rFonts w:hint="default"/>
      </w:rPr>
    </w:lvl>
    <w:lvl w:ilvl="2" w:tplc="DEEA66F8">
      <w:numFmt w:val="bullet"/>
      <w:lvlText w:val="•"/>
      <w:lvlJc w:val="left"/>
      <w:pPr>
        <w:ind w:left="2478" w:hanging="284"/>
      </w:pPr>
      <w:rPr>
        <w:rFonts w:hint="default"/>
      </w:rPr>
    </w:lvl>
    <w:lvl w:ilvl="3" w:tplc="CC3463D4">
      <w:numFmt w:val="bullet"/>
      <w:lvlText w:val="•"/>
      <w:lvlJc w:val="left"/>
      <w:pPr>
        <w:ind w:left="3297" w:hanging="284"/>
      </w:pPr>
      <w:rPr>
        <w:rFonts w:hint="default"/>
      </w:rPr>
    </w:lvl>
    <w:lvl w:ilvl="4" w:tplc="47DC2F74">
      <w:numFmt w:val="bullet"/>
      <w:lvlText w:val="•"/>
      <w:lvlJc w:val="left"/>
      <w:pPr>
        <w:ind w:left="4117" w:hanging="284"/>
      </w:pPr>
      <w:rPr>
        <w:rFonts w:hint="default"/>
      </w:rPr>
    </w:lvl>
    <w:lvl w:ilvl="5" w:tplc="C54EE23A">
      <w:numFmt w:val="bullet"/>
      <w:lvlText w:val="•"/>
      <w:lvlJc w:val="left"/>
      <w:pPr>
        <w:ind w:left="4936" w:hanging="284"/>
      </w:pPr>
      <w:rPr>
        <w:rFonts w:hint="default"/>
      </w:rPr>
    </w:lvl>
    <w:lvl w:ilvl="6" w:tplc="8A80D4BC">
      <w:numFmt w:val="bullet"/>
      <w:lvlText w:val="•"/>
      <w:lvlJc w:val="left"/>
      <w:pPr>
        <w:ind w:left="5755" w:hanging="284"/>
      </w:pPr>
      <w:rPr>
        <w:rFonts w:hint="default"/>
      </w:rPr>
    </w:lvl>
    <w:lvl w:ilvl="7" w:tplc="DE0E4148">
      <w:numFmt w:val="bullet"/>
      <w:lvlText w:val="•"/>
      <w:lvlJc w:val="left"/>
      <w:pPr>
        <w:ind w:left="6575" w:hanging="284"/>
      </w:pPr>
      <w:rPr>
        <w:rFonts w:hint="default"/>
      </w:rPr>
    </w:lvl>
    <w:lvl w:ilvl="8" w:tplc="E4BC9AF4">
      <w:numFmt w:val="bullet"/>
      <w:lvlText w:val="•"/>
      <w:lvlJc w:val="left"/>
      <w:pPr>
        <w:ind w:left="7394" w:hanging="284"/>
      </w:pPr>
      <w:rPr>
        <w:rFonts w:hint="default"/>
      </w:rPr>
    </w:lvl>
  </w:abstractNum>
  <w:abstractNum w:abstractNumId="6" w15:restartNumberingAfterBreak="0">
    <w:nsid w:val="137D5B03"/>
    <w:multiLevelType w:val="hybridMultilevel"/>
    <w:tmpl w:val="85EE98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4AC4120"/>
    <w:multiLevelType w:val="hybridMultilevel"/>
    <w:tmpl w:val="56F6B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4314BD"/>
    <w:multiLevelType w:val="hybridMultilevel"/>
    <w:tmpl w:val="81A04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522991"/>
    <w:multiLevelType w:val="hybridMultilevel"/>
    <w:tmpl w:val="DA2C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54D51"/>
    <w:multiLevelType w:val="hybridMultilevel"/>
    <w:tmpl w:val="99805A46"/>
    <w:lvl w:ilvl="0" w:tplc="14090001">
      <w:start w:val="1"/>
      <w:numFmt w:val="bullet"/>
      <w:lvlText w:val=""/>
      <w:lvlJc w:val="left"/>
      <w:pPr>
        <w:ind w:left="360" w:hanging="360"/>
      </w:pPr>
      <w:rPr>
        <w:rFonts w:ascii="Symbol" w:hAnsi="Symbol" w:hint="default"/>
      </w:rPr>
    </w:lvl>
    <w:lvl w:ilvl="1" w:tplc="D1600650">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EB07932"/>
    <w:multiLevelType w:val="hybridMultilevel"/>
    <w:tmpl w:val="7B7EF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233F1"/>
    <w:multiLevelType w:val="hybridMultilevel"/>
    <w:tmpl w:val="ACA84EF6"/>
    <w:lvl w:ilvl="0" w:tplc="14090001">
      <w:start w:val="1"/>
      <w:numFmt w:val="bullet"/>
      <w:lvlText w:val=""/>
      <w:lvlJc w:val="left"/>
      <w:pPr>
        <w:ind w:left="-268" w:hanging="360"/>
      </w:pPr>
      <w:rPr>
        <w:rFonts w:ascii="Symbol" w:hAnsi="Symbol" w:hint="default"/>
      </w:rPr>
    </w:lvl>
    <w:lvl w:ilvl="1" w:tplc="14090003">
      <w:start w:val="1"/>
      <w:numFmt w:val="bullet"/>
      <w:lvlText w:val="o"/>
      <w:lvlJc w:val="left"/>
      <w:pPr>
        <w:ind w:left="452" w:hanging="360"/>
      </w:pPr>
      <w:rPr>
        <w:rFonts w:ascii="Courier New" w:hAnsi="Courier New" w:cs="Courier New" w:hint="default"/>
      </w:rPr>
    </w:lvl>
    <w:lvl w:ilvl="2" w:tplc="14090005" w:tentative="1">
      <w:start w:val="1"/>
      <w:numFmt w:val="bullet"/>
      <w:lvlText w:val=""/>
      <w:lvlJc w:val="left"/>
      <w:pPr>
        <w:ind w:left="1172" w:hanging="360"/>
      </w:pPr>
      <w:rPr>
        <w:rFonts w:ascii="Wingdings" w:hAnsi="Wingdings" w:hint="default"/>
      </w:rPr>
    </w:lvl>
    <w:lvl w:ilvl="3" w:tplc="14090001" w:tentative="1">
      <w:start w:val="1"/>
      <w:numFmt w:val="bullet"/>
      <w:lvlText w:val=""/>
      <w:lvlJc w:val="left"/>
      <w:pPr>
        <w:ind w:left="1892" w:hanging="360"/>
      </w:pPr>
      <w:rPr>
        <w:rFonts w:ascii="Symbol" w:hAnsi="Symbol" w:hint="default"/>
      </w:rPr>
    </w:lvl>
    <w:lvl w:ilvl="4" w:tplc="14090003" w:tentative="1">
      <w:start w:val="1"/>
      <w:numFmt w:val="bullet"/>
      <w:lvlText w:val="o"/>
      <w:lvlJc w:val="left"/>
      <w:pPr>
        <w:ind w:left="2612" w:hanging="360"/>
      </w:pPr>
      <w:rPr>
        <w:rFonts w:ascii="Courier New" w:hAnsi="Courier New" w:cs="Courier New" w:hint="default"/>
      </w:rPr>
    </w:lvl>
    <w:lvl w:ilvl="5" w:tplc="14090005" w:tentative="1">
      <w:start w:val="1"/>
      <w:numFmt w:val="bullet"/>
      <w:lvlText w:val=""/>
      <w:lvlJc w:val="left"/>
      <w:pPr>
        <w:ind w:left="3332" w:hanging="360"/>
      </w:pPr>
      <w:rPr>
        <w:rFonts w:ascii="Wingdings" w:hAnsi="Wingdings" w:hint="default"/>
      </w:rPr>
    </w:lvl>
    <w:lvl w:ilvl="6" w:tplc="14090001" w:tentative="1">
      <w:start w:val="1"/>
      <w:numFmt w:val="bullet"/>
      <w:lvlText w:val=""/>
      <w:lvlJc w:val="left"/>
      <w:pPr>
        <w:ind w:left="4052" w:hanging="360"/>
      </w:pPr>
      <w:rPr>
        <w:rFonts w:ascii="Symbol" w:hAnsi="Symbol" w:hint="default"/>
      </w:rPr>
    </w:lvl>
    <w:lvl w:ilvl="7" w:tplc="14090003" w:tentative="1">
      <w:start w:val="1"/>
      <w:numFmt w:val="bullet"/>
      <w:lvlText w:val="o"/>
      <w:lvlJc w:val="left"/>
      <w:pPr>
        <w:ind w:left="4772" w:hanging="360"/>
      </w:pPr>
      <w:rPr>
        <w:rFonts w:ascii="Courier New" w:hAnsi="Courier New" w:cs="Courier New" w:hint="default"/>
      </w:rPr>
    </w:lvl>
    <w:lvl w:ilvl="8" w:tplc="14090005" w:tentative="1">
      <w:start w:val="1"/>
      <w:numFmt w:val="bullet"/>
      <w:lvlText w:val=""/>
      <w:lvlJc w:val="left"/>
      <w:pPr>
        <w:ind w:left="5492" w:hanging="360"/>
      </w:pPr>
      <w:rPr>
        <w:rFonts w:ascii="Wingdings" w:hAnsi="Wingdings" w:hint="default"/>
      </w:rPr>
    </w:lvl>
  </w:abstractNum>
  <w:abstractNum w:abstractNumId="13" w15:restartNumberingAfterBreak="0">
    <w:nsid w:val="20756627"/>
    <w:multiLevelType w:val="hybridMultilevel"/>
    <w:tmpl w:val="1114A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0504A"/>
    <w:multiLevelType w:val="hybridMultilevel"/>
    <w:tmpl w:val="F270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E5527"/>
    <w:multiLevelType w:val="hybridMultilevel"/>
    <w:tmpl w:val="8D4E95AE"/>
    <w:lvl w:ilvl="0" w:tplc="14090001">
      <w:start w:val="1"/>
      <w:numFmt w:val="bullet"/>
      <w:lvlText w:val=""/>
      <w:lvlJc w:val="left"/>
      <w:pPr>
        <w:ind w:left="720" w:hanging="360"/>
      </w:pPr>
      <w:rPr>
        <w:rFonts w:ascii="Symbol" w:hAnsi="Symbol" w:hint="default"/>
        <w:b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C1F580F"/>
    <w:multiLevelType w:val="hybridMultilevel"/>
    <w:tmpl w:val="E1BEE8E8"/>
    <w:lvl w:ilvl="0" w:tplc="B1048818">
      <w:start w:val="1"/>
      <w:numFmt w:val="decimal"/>
      <w:lvlText w:val="%1."/>
      <w:lvlJc w:val="left"/>
      <w:pPr>
        <w:ind w:left="841" w:hanging="284"/>
      </w:pPr>
      <w:rPr>
        <w:rFonts w:ascii="Calibri" w:eastAsia="Calibri" w:hAnsi="Calibri" w:cs="Calibri" w:hint="default"/>
        <w:b/>
        <w:bCs/>
        <w:color w:val="4A4A49"/>
        <w:w w:val="90"/>
        <w:sz w:val="20"/>
        <w:szCs w:val="20"/>
      </w:rPr>
    </w:lvl>
    <w:lvl w:ilvl="1" w:tplc="A03E0D3C">
      <w:numFmt w:val="bullet"/>
      <w:lvlText w:val="•"/>
      <w:lvlJc w:val="left"/>
      <w:pPr>
        <w:ind w:left="1659" w:hanging="284"/>
      </w:pPr>
      <w:rPr>
        <w:rFonts w:hint="default"/>
      </w:rPr>
    </w:lvl>
    <w:lvl w:ilvl="2" w:tplc="23A85AE4">
      <w:numFmt w:val="bullet"/>
      <w:lvlText w:val="•"/>
      <w:lvlJc w:val="left"/>
      <w:pPr>
        <w:ind w:left="2478" w:hanging="284"/>
      </w:pPr>
      <w:rPr>
        <w:rFonts w:hint="default"/>
      </w:rPr>
    </w:lvl>
    <w:lvl w:ilvl="3" w:tplc="3B9419B2">
      <w:numFmt w:val="bullet"/>
      <w:lvlText w:val="•"/>
      <w:lvlJc w:val="left"/>
      <w:pPr>
        <w:ind w:left="3297" w:hanging="284"/>
      </w:pPr>
      <w:rPr>
        <w:rFonts w:hint="default"/>
      </w:rPr>
    </w:lvl>
    <w:lvl w:ilvl="4" w:tplc="0E14971C">
      <w:numFmt w:val="bullet"/>
      <w:lvlText w:val="•"/>
      <w:lvlJc w:val="left"/>
      <w:pPr>
        <w:ind w:left="4117" w:hanging="284"/>
      </w:pPr>
      <w:rPr>
        <w:rFonts w:hint="default"/>
      </w:rPr>
    </w:lvl>
    <w:lvl w:ilvl="5" w:tplc="83D04FD8">
      <w:numFmt w:val="bullet"/>
      <w:lvlText w:val="•"/>
      <w:lvlJc w:val="left"/>
      <w:pPr>
        <w:ind w:left="4936" w:hanging="284"/>
      </w:pPr>
      <w:rPr>
        <w:rFonts w:hint="default"/>
      </w:rPr>
    </w:lvl>
    <w:lvl w:ilvl="6" w:tplc="60D66DDC">
      <w:numFmt w:val="bullet"/>
      <w:lvlText w:val="•"/>
      <w:lvlJc w:val="left"/>
      <w:pPr>
        <w:ind w:left="5755" w:hanging="284"/>
      </w:pPr>
      <w:rPr>
        <w:rFonts w:hint="default"/>
      </w:rPr>
    </w:lvl>
    <w:lvl w:ilvl="7" w:tplc="171CE51E">
      <w:numFmt w:val="bullet"/>
      <w:lvlText w:val="•"/>
      <w:lvlJc w:val="left"/>
      <w:pPr>
        <w:ind w:left="6575" w:hanging="284"/>
      </w:pPr>
      <w:rPr>
        <w:rFonts w:hint="default"/>
      </w:rPr>
    </w:lvl>
    <w:lvl w:ilvl="8" w:tplc="499C70F4">
      <w:numFmt w:val="bullet"/>
      <w:lvlText w:val="•"/>
      <w:lvlJc w:val="left"/>
      <w:pPr>
        <w:ind w:left="7394" w:hanging="284"/>
      </w:pPr>
      <w:rPr>
        <w:rFonts w:hint="default"/>
      </w:rPr>
    </w:lvl>
  </w:abstractNum>
  <w:abstractNum w:abstractNumId="17" w15:restartNumberingAfterBreak="0">
    <w:nsid w:val="2C7B1CF3"/>
    <w:multiLevelType w:val="hybridMultilevel"/>
    <w:tmpl w:val="D6CA8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96FEB"/>
    <w:multiLevelType w:val="multilevel"/>
    <w:tmpl w:val="326A99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0492C7C"/>
    <w:multiLevelType w:val="multilevel"/>
    <w:tmpl w:val="810AE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C0C9D"/>
    <w:multiLevelType w:val="hybridMultilevel"/>
    <w:tmpl w:val="57CEE28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61BE5"/>
    <w:multiLevelType w:val="hybridMultilevel"/>
    <w:tmpl w:val="4F42F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90906"/>
    <w:multiLevelType w:val="hybridMultilevel"/>
    <w:tmpl w:val="B8B0ACE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68B3A7D"/>
    <w:multiLevelType w:val="hybridMultilevel"/>
    <w:tmpl w:val="BC2EBC18"/>
    <w:lvl w:ilvl="0" w:tplc="1409000F">
      <w:start w:val="1"/>
      <w:numFmt w:val="decimal"/>
      <w:lvlText w:val="%1."/>
      <w:lvlJc w:val="left"/>
      <w:pPr>
        <w:ind w:left="643" w:hanging="360"/>
      </w:pPr>
    </w:lvl>
    <w:lvl w:ilvl="1" w:tplc="14090019">
      <w:start w:val="1"/>
      <w:numFmt w:val="lowerLetter"/>
      <w:lvlText w:val="%2."/>
      <w:lvlJc w:val="left"/>
      <w:pPr>
        <w:ind w:left="1363" w:hanging="360"/>
      </w:pPr>
    </w:lvl>
    <w:lvl w:ilvl="2" w:tplc="1409001B">
      <w:start w:val="1"/>
      <w:numFmt w:val="lowerRoman"/>
      <w:lvlText w:val="%3."/>
      <w:lvlJc w:val="right"/>
      <w:pPr>
        <w:ind w:left="2083" w:hanging="180"/>
      </w:pPr>
    </w:lvl>
    <w:lvl w:ilvl="3" w:tplc="1409000F">
      <w:start w:val="1"/>
      <w:numFmt w:val="decimal"/>
      <w:lvlText w:val="%4."/>
      <w:lvlJc w:val="left"/>
      <w:pPr>
        <w:ind w:left="2803" w:hanging="360"/>
      </w:pPr>
    </w:lvl>
    <w:lvl w:ilvl="4" w:tplc="14090019">
      <w:start w:val="1"/>
      <w:numFmt w:val="lowerLetter"/>
      <w:lvlText w:val="%5."/>
      <w:lvlJc w:val="left"/>
      <w:pPr>
        <w:ind w:left="3523" w:hanging="360"/>
      </w:pPr>
    </w:lvl>
    <w:lvl w:ilvl="5" w:tplc="1409001B">
      <w:start w:val="1"/>
      <w:numFmt w:val="lowerRoman"/>
      <w:lvlText w:val="%6."/>
      <w:lvlJc w:val="right"/>
      <w:pPr>
        <w:ind w:left="4243" w:hanging="180"/>
      </w:pPr>
    </w:lvl>
    <w:lvl w:ilvl="6" w:tplc="1409000F">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4" w15:restartNumberingAfterBreak="0">
    <w:nsid w:val="3AF51A60"/>
    <w:multiLevelType w:val="multilevel"/>
    <w:tmpl w:val="39F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32CB7"/>
    <w:multiLevelType w:val="hybridMultilevel"/>
    <w:tmpl w:val="BC2EBC18"/>
    <w:lvl w:ilvl="0" w:tplc="1409000F">
      <w:start w:val="1"/>
      <w:numFmt w:val="decimal"/>
      <w:lvlText w:val="%1."/>
      <w:lvlJc w:val="left"/>
      <w:pPr>
        <w:ind w:left="643" w:hanging="360"/>
      </w:pPr>
    </w:lvl>
    <w:lvl w:ilvl="1" w:tplc="14090019">
      <w:start w:val="1"/>
      <w:numFmt w:val="lowerLetter"/>
      <w:lvlText w:val="%2."/>
      <w:lvlJc w:val="left"/>
      <w:pPr>
        <w:ind w:left="1363" w:hanging="360"/>
      </w:pPr>
    </w:lvl>
    <w:lvl w:ilvl="2" w:tplc="1409001B">
      <w:start w:val="1"/>
      <w:numFmt w:val="lowerRoman"/>
      <w:lvlText w:val="%3."/>
      <w:lvlJc w:val="right"/>
      <w:pPr>
        <w:ind w:left="2083" w:hanging="180"/>
      </w:pPr>
    </w:lvl>
    <w:lvl w:ilvl="3" w:tplc="1409000F">
      <w:start w:val="1"/>
      <w:numFmt w:val="decimal"/>
      <w:lvlText w:val="%4."/>
      <w:lvlJc w:val="left"/>
      <w:pPr>
        <w:ind w:left="2803" w:hanging="360"/>
      </w:pPr>
    </w:lvl>
    <w:lvl w:ilvl="4" w:tplc="14090019">
      <w:start w:val="1"/>
      <w:numFmt w:val="lowerLetter"/>
      <w:lvlText w:val="%5."/>
      <w:lvlJc w:val="left"/>
      <w:pPr>
        <w:ind w:left="3523" w:hanging="360"/>
      </w:pPr>
    </w:lvl>
    <w:lvl w:ilvl="5" w:tplc="1409001B">
      <w:start w:val="1"/>
      <w:numFmt w:val="lowerRoman"/>
      <w:lvlText w:val="%6."/>
      <w:lvlJc w:val="right"/>
      <w:pPr>
        <w:ind w:left="4243" w:hanging="180"/>
      </w:pPr>
    </w:lvl>
    <w:lvl w:ilvl="6" w:tplc="1409000F">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6" w15:restartNumberingAfterBreak="0">
    <w:nsid w:val="43997EBE"/>
    <w:multiLevelType w:val="multilevel"/>
    <w:tmpl w:val="A4BAE4AA"/>
    <w:lvl w:ilvl="0">
      <w:start w:val="1"/>
      <w:numFmt w:val="decimal"/>
      <w:lvlText w:val="%1."/>
      <w:lvlJc w:val="left"/>
      <w:pPr>
        <w:tabs>
          <w:tab w:val="num" w:pos="363"/>
        </w:tabs>
        <w:ind w:left="363" w:hanging="360"/>
      </w:pPr>
      <w:rPr>
        <w:rFonts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27" w15:restartNumberingAfterBreak="0">
    <w:nsid w:val="49FA361E"/>
    <w:multiLevelType w:val="multilevel"/>
    <w:tmpl w:val="5CCC82FE"/>
    <w:lvl w:ilvl="0">
      <w:start w:val="1"/>
      <w:numFmt w:val="bullet"/>
      <w:pStyle w:val="Bullet2"/>
      <w:lvlText w:val=""/>
      <w:lvlJc w:val="left"/>
      <w:pPr>
        <w:tabs>
          <w:tab w:val="num" w:pos="850"/>
        </w:tabs>
        <w:ind w:left="850" w:hanging="425"/>
      </w:pPr>
      <w:rPr>
        <w:rFonts w:ascii="Symbol" w:hAnsi="Symbol" w:hint="default"/>
      </w:rPr>
    </w:lvl>
    <w:lvl w:ilvl="1">
      <w:start w:val="1"/>
      <w:numFmt w:val="bullet"/>
      <w:lvlText w:val="–"/>
      <w:lvlJc w:val="left"/>
      <w:pPr>
        <w:tabs>
          <w:tab w:val="num" w:pos="1276"/>
        </w:tabs>
        <w:ind w:left="1276" w:hanging="426"/>
      </w:pPr>
      <w:rPr>
        <w:rFonts w:ascii="Times New Roman" w:hAnsi="Times New Roman" w:cs="Times New Roman" w:hint="default"/>
      </w:rPr>
    </w:lvl>
    <w:lvl w:ilvl="2">
      <w:start w:val="1"/>
      <w:numFmt w:val="decimal"/>
      <w:lvlText w:val="%1.%2.%3."/>
      <w:lvlJc w:val="left"/>
      <w:pPr>
        <w:tabs>
          <w:tab w:val="num" w:pos="2225"/>
        </w:tabs>
        <w:ind w:left="1649" w:hanging="504"/>
      </w:pPr>
      <w:rPr>
        <w:rFonts w:hint="default"/>
      </w:rPr>
    </w:lvl>
    <w:lvl w:ilvl="3">
      <w:start w:val="1"/>
      <w:numFmt w:val="decimal"/>
      <w:lvlText w:val="%1.%2.%3.%4."/>
      <w:lvlJc w:val="left"/>
      <w:pPr>
        <w:tabs>
          <w:tab w:val="num" w:pos="2945"/>
        </w:tabs>
        <w:ind w:left="2153" w:hanging="648"/>
      </w:pPr>
      <w:rPr>
        <w:rFonts w:hint="default"/>
      </w:rPr>
    </w:lvl>
    <w:lvl w:ilvl="4">
      <w:start w:val="1"/>
      <w:numFmt w:val="decimal"/>
      <w:lvlText w:val="%1.%2.%3.%4.%5."/>
      <w:lvlJc w:val="left"/>
      <w:pPr>
        <w:tabs>
          <w:tab w:val="num" w:pos="3665"/>
        </w:tabs>
        <w:ind w:left="2657" w:hanging="792"/>
      </w:pPr>
      <w:rPr>
        <w:rFonts w:hint="default"/>
      </w:rPr>
    </w:lvl>
    <w:lvl w:ilvl="5">
      <w:start w:val="1"/>
      <w:numFmt w:val="decimal"/>
      <w:lvlText w:val="%1.%2.%3.%4.%5.%6."/>
      <w:lvlJc w:val="left"/>
      <w:pPr>
        <w:tabs>
          <w:tab w:val="num" w:pos="4385"/>
        </w:tabs>
        <w:ind w:left="3161" w:hanging="936"/>
      </w:pPr>
      <w:rPr>
        <w:rFonts w:hint="default"/>
      </w:rPr>
    </w:lvl>
    <w:lvl w:ilvl="6">
      <w:start w:val="1"/>
      <w:numFmt w:val="decimal"/>
      <w:lvlText w:val="%1.%2.%3.%4.%5.%6.%7."/>
      <w:lvlJc w:val="left"/>
      <w:pPr>
        <w:tabs>
          <w:tab w:val="num" w:pos="5105"/>
        </w:tabs>
        <w:ind w:left="3665" w:hanging="1080"/>
      </w:pPr>
      <w:rPr>
        <w:rFonts w:hint="default"/>
      </w:rPr>
    </w:lvl>
    <w:lvl w:ilvl="7">
      <w:start w:val="1"/>
      <w:numFmt w:val="decimal"/>
      <w:lvlText w:val="%1.%2.%3.%4.%5.%6.%7.%8."/>
      <w:lvlJc w:val="left"/>
      <w:pPr>
        <w:tabs>
          <w:tab w:val="num" w:pos="5825"/>
        </w:tabs>
        <w:ind w:left="4169" w:hanging="1224"/>
      </w:pPr>
      <w:rPr>
        <w:rFonts w:hint="default"/>
      </w:rPr>
    </w:lvl>
    <w:lvl w:ilvl="8">
      <w:start w:val="1"/>
      <w:numFmt w:val="decimal"/>
      <w:lvlText w:val="%1.%2.%3.%4.%5.%6.%7.%8.%9."/>
      <w:lvlJc w:val="left"/>
      <w:pPr>
        <w:tabs>
          <w:tab w:val="num" w:pos="6545"/>
        </w:tabs>
        <w:ind w:left="4745" w:hanging="1440"/>
      </w:pPr>
      <w:rPr>
        <w:rFonts w:hint="default"/>
      </w:rPr>
    </w:lvl>
  </w:abstractNum>
  <w:abstractNum w:abstractNumId="28" w15:restartNumberingAfterBreak="0">
    <w:nsid w:val="4D1D1637"/>
    <w:multiLevelType w:val="hybridMultilevel"/>
    <w:tmpl w:val="EA7C2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63F8E"/>
    <w:multiLevelType w:val="hybridMultilevel"/>
    <w:tmpl w:val="BA34E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675F0"/>
    <w:multiLevelType w:val="hybridMultilevel"/>
    <w:tmpl w:val="A9B4D696"/>
    <w:lvl w:ilvl="0" w:tplc="DE6A18E6">
      <w:start w:val="1"/>
      <w:numFmt w:val="decimal"/>
      <w:lvlText w:val="%1."/>
      <w:lvlJc w:val="left"/>
      <w:pPr>
        <w:ind w:left="841" w:hanging="284"/>
      </w:pPr>
      <w:rPr>
        <w:rFonts w:ascii="Calibri" w:eastAsia="Calibri" w:hAnsi="Calibri" w:cs="Calibri" w:hint="default"/>
        <w:b/>
        <w:bCs/>
        <w:color w:val="4A4A49"/>
        <w:w w:val="90"/>
        <w:sz w:val="20"/>
        <w:szCs w:val="20"/>
      </w:rPr>
    </w:lvl>
    <w:lvl w:ilvl="1" w:tplc="B528421A">
      <w:start w:val="1"/>
      <w:numFmt w:val="lowerLetter"/>
      <w:lvlText w:val="%2."/>
      <w:lvlJc w:val="left"/>
      <w:pPr>
        <w:ind w:left="1124" w:hanging="295"/>
      </w:pPr>
      <w:rPr>
        <w:rFonts w:ascii="Calibri" w:eastAsia="Calibri" w:hAnsi="Calibri" w:cs="Calibri" w:hint="default"/>
        <w:b/>
        <w:bCs/>
        <w:color w:val="4A4A49"/>
        <w:w w:val="102"/>
        <w:sz w:val="20"/>
        <w:szCs w:val="20"/>
      </w:rPr>
    </w:lvl>
    <w:lvl w:ilvl="2" w:tplc="6EDC7F0C">
      <w:numFmt w:val="bullet"/>
      <w:lvlText w:val="•"/>
      <w:lvlJc w:val="left"/>
      <w:pPr>
        <w:ind w:left="1999" w:hanging="295"/>
      </w:pPr>
      <w:rPr>
        <w:rFonts w:hint="default"/>
      </w:rPr>
    </w:lvl>
    <w:lvl w:ilvl="3" w:tplc="5DFACDC2">
      <w:numFmt w:val="bullet"/>
      <w:lvlText w:val="•"/>
      <w:lvlJc w:val="left"/>
      <w:pPr>
        <w:ind w:left="2878" w:hanging="295"/>
      </w:pPr>
      <w:rPr>
        <w:rFonts w:hint="default"/>
      </w:rPr>
    </w:lvl>
    <w:lvl w:ilvl="4" w:tplc="244CB95A">
      <w:numFmt w:val="bullet"/>
      <w:lvlText w:val="•"/>
      <w:lvlJc w:val="left"/>
      <w:pPr>
        <w:ind w:left="3757" w:hanging="295"/>
      </w:pPr>
      <w:rPr>
        <w:rFonts w:hint="default"/>
      </w:rPr>
    </w:lvl>
    <w:lvl w:ilvl="5" w:tplc="2EB0A508">
      <w:numFmt w:val="bullet"/>
      <w:lvlText w:val="•"/>
      <w:lvlJc w:val="left"/>
      <w:pPr>
        <w:ind w:left="4636" w:hanging="295"/>
      </w:pPr>
      <w:rPr>
        <w:rFonts w:hint="default"/>
      </w:rPr>
    </w:lvl>
    <w:lvl w:ilvl="6" w:tplc="A14EA270">
      <w:numFmt w:val="bullet"/>
      <w:lvlText w:val="•"/>
      <w:lvlJc w:val="left"/>
      <w:pPr>
        <w:ind w:left="5516" w:hanging="295"/>
      </w:pPr>
      <w:rPr>
        <w:rFonts w:hint="default"/>
      </w:rPr>
    </w:lvl>
    <w:lvl w:ilvl="7" w:tplc="4CCEF9F2">
      <w:numFmt w:val="bullet"/>
      <w:lvlText w:val="•"/>
      <w:lvlJc w:val="left"/>
      <w:pPr>
        <w:ind w:left="6395" w:hanging="295"/>
      </w:pPr>
      <w:rPr>
        <w:rFonts w:hint="default"/>
      </w:rPr>
    </w:lvl>
    <w:lvl w:ilvl="8" w:tplc="5D7CD38E">
      <w:numFmt w:val="bullet"/>
      <w:lvlText w:val="•"/>
      <w:lvlJc w:val="left"/>
      <w:pPr>
        <w:ind w:left="7274" w:hanging="295"/>
      </w:pPr>
      <w:rPr>
        <w:rFonts w:hint="default"/>
      </w:rPr>
    </w:lvl>
  </w:abstractNum>
  <w:abstractNum w:abstractNumId="31" w15:restartNumberingAfterBreak="0">
    <w:nsid w:val="54644A5C"/>
    <w:multiLevelType w:val="hybridMultilevel"/>
    <w:tmpl w:val="D536F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35578D"/>
    <w:multiLevelType w:val="hybridMultilevel"/>
    <w:tmpl w:val="1D22F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D433D"/>
    <w:multiLevelType w:val="hybridMultilevel"/>
    <w:tmpl w:val="7FA4410A"/>
    <w:lvl w:ilvl="0" w:tplc="14090001">
      <w:start w:val="1"/>
      <w:numFmt w:val="bullet"/>
      <w:lvlText w:val=""/>
      <w:lvlJc w:val="left"/>
      <w:pPr>
        <w:ind w:left="360" w:hanging="360"/>
      </w:pPr>
      <w:rPr>
        <w:rFonts w:ascii="Symbol" w:hAnsi="Symbol" w:hint="default"/>
        <w:b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63741A0D"/>
    <w:multiLevelType w:val="hybridMultilevel"/>
    <w:tmpl w:val="41E2D9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53C6B87"/>
    <w:multiLevelType w:val="hybridMultilevel"/>
    <w:tmpl w:val="BC2EBC1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5B23246"/>
    <w:multiLevelType w:val="hybridMultilevel"/>
    <w:tmpl w:val="B7CE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92B07"/>
    <w:multiLevelType w:val="hybridMultilevel"/>
    <w:tmpl w:val="BD643612"/>
    <w:lvl w:ilvl="0" w:tplc="CE30A774">
      <w:start w:val="1"/>
      <w:numFmt w:val="decimal"/>
      <w:lvlText w:val="%1"/>
      <w:lvlJc w:val="left"/>
      <w:pPr>
        <w:ind w:left="484" w:hanging="227"/>
      </w:pPr>
      <w:rPr>
        <w:rFonts w:ascii="Calibri" w:eastAsia="Calibri" w:hAnsi="Calibri" w:cs="Calibri" w:hint="default"/>
        <w:b/>
        <w:bCs/>
        <w:color w:val="4A4A49"/>
        <w:w w:val="80"/>
        <w:sz w:val="16"/>
        <w:szCs w:val="16"/>
      </w:rPr>
    </w:lvl>
    <w:lvl w:ilvl="1" w:tplc="94F2B752">
      <w:numFmt w:val="bullet"/>
      <w:lvlText w:val="•"/>
      <w:lvlJc w:val="left"/>
      <w:pPr>
        <w:ind w:left="1432" w:hanging="227"/>
      </w:pPr>
      <w:rPr>
        <w:rFonts w:hint="default"/>
      </w:rPr>
    </w:lvl>
    <w:lvl w:ilvl="2" w:tplc="7B62E6A2">
      <w:numFmt w:val="bullet"/>
      <w:lvlText w:val="•"/>
      <w:lvlJc w:val="left"/>
      <w:pPr>
        <w:ind w:left="2385" w:hanging="227"/>
      </w:pPr>
      <w:rPr>
        <w:rFonts w:hint="default"/>
      </w:rPr>
    </w:lvl>
    <w:lvl w:ilvl="3" w:tplc="7094823E">
      <w:numFmt w:val="bullet"/>
      <w:lvlText w:val="•"/>
      <w:lvlJc w:val="left"/>
      <w:pPr>
        <w:ind w:left="3337" w:hanging="227"/>
      </w:pPr>
      <w:rPr>
        <w:rFonts w:hint="default"/>
      </w:rPr>
    </w:lvl>
    <w:lvl w:ilvl="4" w:tplc="118CAE2C">
      <w:numFmt w:val="bullet"/>
      <w:lvlText w:val="•"/>
      <w:lvlJc w:val="left"/>
      <w:pPr>
        <w:ind w:left="4290" w:hanging="227"/>
      </w:pPr>
      <w:rPr>
        <w:rFonts w:hint="default"/>
      </w:rPr>
    </w:lvl>
    <w:lvl w:ilvl="5" w:tplc="64B601BA">
      <w:numFmt w:val="bullet"/>
      <w:lvlText w:val="•"/>
      <w:lvlJc w:val="left"/>
      <w:pPr>
        <w:ind w:left="5242" w:hanging="227"/>
      </w:pPr>
      <w:rPr>
        <w:rFonts w:hint="default"/>
      </w:rPr>
    </w:lvl>
    <w:lvl w:ilvl="6" w:tplc="73C0F906">
      <w:numFmt w:val="bullet"/>
      <w:lvlText w:val="•"/>
      <w:lvlJc w:val="left"/>
      <w:pPr>
        <w:ind w:left="6195" w:hanging="227"/>
      </w:pPr>
      <w:rPr>
        <w:rFonts w:hint="default"/>
      </w:rPr>
    </w:lvl>
    <w:lvl w:ilvl="7" w:tplc="0AA23BD0">
      <w:numFmt w:val="bullet"/>
      <w:lvlText w:val="•"/>
      <w:lvlJc w:val="left"/>
      <w:pPr>
        <w:ind w:left="7147" w:hanging="227"/>
      </w:pPr>
      <w:rPr>
        <w:rFonts w:hint="default"/>
      </w:rPr>
    </w:lvl>
    <w:lvl w:ilvl="8" w:tplc="236AF02E">
      <w:numFmt w:val="bullet"/>
      <w:lvlText w:val="•"/>
      <w:lvlJc w:val="left"/>
      <w:pPr>
        <w:ind w:left="8100" w:hanging="227"/>
      </w:pPr>
      <w:rPr>
        <w:rFonts w:hint="default"/>
      </w:rPr>
    </w:lvl>
  </w:abstractNum>
  <w:abstractNum w:abstractNumId="38" w15:restartNumberingAfterBreak="0">
    <w:nsid w:val="6E032DB7"/>
    <w:multiLevelType w:val="hybridMultilevel"/>
    <w:tmpl w:val="1136A44C"/>
    <w:lvl w:ilvl="0" w:tplc="14090001">
      <w:start w:val="1"/>
      <w:numFmt w:val="bullet"/>
      <w:lvlText w:val=""/>
      <w:lvlJc w:val="left"/>
      <w:pPr>
        <w:ind w:left="720" w:hanging="360"/>
      </w:pPr>
      <w:rPr>
        <w:rFonts w:ascii="Symbol" w:hAnsi="Symbol" w:hint="default"/>
        <w:b w:val="0"/>
      </w:rPr>
    </w:lvl>
    <w:lvl w:ilvl="1" w:tplc="D1600650">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45536AB"/>
    <w:multiLevelType w:val="hybridMultilevel"/>
    <w:tmpl w:val="636220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7106425"/>
    <w:multiLevelType w:val="hybridMultilevel"/>
    <w:tmpl w:val="669CD2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C5069E8"/>
    <w:multiLevelType w:val="hybridMultilevel"/>
    <w:tmpl w:val="713436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C3CBA"/>
    <w:multiLevelType w:val="multilevel"/>
    <w:tmpl w:val="B22A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7"/>
  </w:num>
  <w:num w:numId="5">
    <w:abstractNumId w:val="26"/>
  </w:num>
  <w:num w:numId="6">
    <w:abstractNumId w:val="24"/>
  </w:num>
  <w:num w:numId="7">
    <w:abstractNumId w:val="42"/>
  </w:num>
  <w:num w:numId="8">
    <w:abstractNumId w:val="10"/>
  </w:num>
  <w:num w:numId="9">
    <w:abstractNumId w:val="30"/>
  </w:num>
  <w:num w:numId="10">
    <w:abstractNumId w:val="16"/>
  </w:num>
  <w:num w:numId="11">
    <w:abstractNumId w:val="4"/>
  </w:num>
  <w:num w:numId="12">
    <w:abstractNumId w:val="5"/>
  </w:num>
  <w:num w:numId="13">
    <w:abstractNumId w:val="15"/>
  </w:num>
  <w:num w:numId="14">
    <w:abstractNumId w:val="37"/>
  </w:num>
  <w:num w:numId="15">
    <w:abstractNumId w:val="39"/>
  </w:num>
  <w:num w:numId="16">
    <w:abstractNumId w:val="6"/>
  </w:num>
  <w:num w:numId="17">
    <w:abstractNumId w:val="1"/>
  </w:num>
  <w:num w:numId="18">
    <w:abstractNumId w:val="38"/>
  </w:num>
  <w:num w:numId="19">
    <w:abstractNumId w:val="35"/>
  </w:num>
  <w:num w:numId="20">
    <w:abstractNumId w:val="0"/>
  </w:num>
  <w:num w:numId="21">
    <w:abstractNumId w:val="25"/>
  </w:num>
  <w:num w:numId="22">
    <w:abstractNumId w:val="23"/>
  </w:num>
  <w:num w:numId="23">
    <w:abstractNumId w:val="40"/>
  </w:num>
  <w:num w:numId="24">
    <w:abstractNumId w:val="33"/>
  </w:num>
  <w:num w:numId="25">
    <w:abstractNumId w:val="31"/>
  </w:num>
  <w:num w:numId="26">
    <w:abstractNumId w:val="22"/>
  </w:num>
  <w:num w:numId="27">
    <w:abstractNumId w:val="20"/>
  </w:num>
  <w:num w:numId="28">
    <w:abstractNumId w:val="19"/>
  </w:num>
  <w:num w:numId="29">
    <w:abstractNumId w:val="21"/>
  </w:num>
  <w:num w:numId="30">
    <w:abstractNumId w:val="11"/>
  </w:num>
  <w:num w:numId="31">
    <w:abstractNumId w:val="3"/>
  </w:num>
  <w:num w:numId="32">
    <w:abstractNumId w:val="32"/>
  </w:num>
  <w:num w:numId="33">
    <w:abstractNumId w:val="9"/>
  </w:num>
  <w:num w:numId="34">
    <w:abstractNumId w:val="2"/>
  </w:num>
  <w:num w:numId="35">
    <w:abstractNumId w:val="17"/>
  </w:num>
  <w:num w:numId="36">
    <w:abstractNumId w:val="36"/>
  </w:num>
  <w:num w:numId="37">
    <w:abstractNumId w:val="14"/>
  </w:num>
  <w:num w:numId="38">
    <w:abstractNumId w:val="13"/>
  </w:num>
  <w:num w:numId="39">
    <w:abstractNumId w:val="28"/>
  </w:num>
  <w:num w:numId="40">
    <w:abstractNumId w:val="41"/>
  </w:num>
  <w:num w:numId="41">
    <w:abstractNumId w:val="29"/>
  </w:num>
  <w:num w:numId="42">
    <w:abstractNumId w:val="7"/>
  </w:num>
  <w:num w:numId="4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7A"/>
    <w:rsid w:val="00002815"/>
    <w:rsid w:val="00004B82"/>
    <w:rsid w:val="00006E96"/>
    <w:rsid w:val="00011921"/>
    <w:rsid w:val="0001524A"/>
    <w:rsid w:val="00015893"/>
    <w:rsid w:val="00015F62"/>
    <w:rsid w:val="00017907"/>
    <w:rsid w:val="000208FE"/>
    <w:rsid w:val="00020EA7"/>
    <w:rsid w:val="00023B54"/>
    <w:rsid w:val="0002414A"/>
    <w:rsid w:val="000269E0"/>
    <w:rsid w:val="00026BFC"/>
    <w:rsid w:val="000314CA"/>
    <w:rsid w:val="00031ABA"/>
    <w:rsid w:val="00033108"/>
    <w:rsid w:val="000354D3"/>
    <w:rsid w:val="000357AD"/>
    <w:rsid w:val="0003607A"/>
    <w:rsid w:val="00040AEE"/>
    <w:rsid w:val="00040D7A"/>
    <w:rsid w:val="0004303F"/>
    <w:rsid w:val="000432BA"/>
    <w:rsid w:val="000436D1"/>
    <w:rsid w:val="00043906"/>
    <w:rsid w:val="00043AB9"/>
    <w:rsid w:val="00043DFE"/>
    <w:rsid w:val="000451B8"/>
    <w:rsid w:val="00046031"/>
    <w:rsid w:val="00046F62"/>
    <w:rsid w:val="00050462"/>
    <w:rsid w:val="00052296"/>
    <w:rsid w:val="0005502D"/>
    <w:rsid w:val="00057F72"/>
    <w:rsid w:val="00060585"/>
    <w:rsid w:val="00061CC1"/>
    <w:rsid w:val="000641A5"/>
    <w:rsid w:val="00064848"/>
    <w:rsid w:val="00066E5A"/>
    <w:rsid w:val="0006799A"/>
    <w:rsid w:val="00071E33"/>
    <w:rsid w:val="000724B6"/>
    <w:rsid w:val="000734CC"/>
    <w:rsid w:val="00073B2D"/>
    <w:rsid w:val="00073BB3"/>
    <w:rsid w:val="0007486C"/>
    <w:rsid w:val="00080362"/>
    <w:rsid w:val="00080AF3"/>
    <w:rsid w:val="00080F43"/>
    <w:rsid w:val="00081738"/>
    <w:rsid w:val="00083078"/>
    <w:rsid w:val="00083F8D"/>
    <w:rsid w:val="00084BFF"/>
    <w:rsid w:val="00084E7E"/>
    <w:rsid w:val="00085FF1"/>
    <w:rsid w:val="00094984"/>
    <w:rsid w:val="00095B87"/>
    <w:rsid w:val="0009644C"/>
    <w:rsid w:val="000A0B95"/>
    <w:rsid w:val="000A2A4C"/>
    <w:rsid w:val="000A3593"/>
    <w:rsid w:val="000A651F"/>
    <w:rsid w:val="000A692B"/>
    <w:rsid w:val="000A71E7"/>
    <w:rsid w:val="000B523A"/>
    <w:rsid w:val="000B5950"/>
    <w:rsid w:val="000C169B"/>
    <w:rsid w:val="000C2938"/>
    <w:rsid w:val="000C3F04"/>
    <w:rsid w:val="000C451C"/>
    <w:rsid w:val="000C45F8"/>
    <w:rsid w:val="000C478D"/>
    <w:rsid w:val="000C4A82"/>
    <w:rsid w:val="000C707D"/>
    <w:rsid w:val="000C71ED"/>
    <w:rsid w:val="000C761F"/>
    <w:rsid w:val="000C7BB7"/>
    <w:rsid w:val="000D0FA3"/>
    <w:rsid w:val="000D1751"/>
    <w:rsid w:val="000D3A1B"/>
    <w:rsid w:val="000D4A61"/>
    <w:rsid w:val="000D5B0A"/>
    <w:rsid w:val="000D7705"/>
    <w:rsid w:val="000E1DDB"/>
    <w:rsid w:val="000E1E4D"/>
    <w:rsid w:val="000E5001"/>
    <w:rsid w:val="000E5070"/>
    <w:rsid w:val="000E6EB1"/>
    <w:rsid w:val="000F0341"/>
    <w:rsid w:val="000F2572"/>
    <w:rsid w:val="000F28A8"/>
    <w:rsid w:val="000F4B37"/>
    <w:rsid w:val="000F755B"/>
    <w:rsid w:val="0010065B"/>
    <w:rsid w:val="0010171A"/>
    <w:rsid w:val="0010263E"/>
    <w:rsid w:val="00102672"/>
    <w:rsid w:val="00103C3B"/>
    <w:rsid w:val="00103EA5"/>
    <w:rsid w:val="00106A44"/>
    <w:rsid w:val="001101E6"/>
    <w:rsid w:val="00111090"/>
    <w:rsid w:val="00112A47"/>
    <w:rsid w:val="00114BB9"/>
    <w:rsid w:val="00122AFF"/>
    <w:rsid w:val="00125CE2"/>
    <w:rsid w:val="00127DFA"/>
    <w:rsid w:val="00131971"/>
    <w:rsid w:val="00133E18"/>
    <w:rsid w:val="00134632"/>
    <w:rsid w:val="0013500D"/>
    <w:rsid w:val="00136706"/>
    <w:rsid w:val="00136D92"/>
    <w:rsid w:val="00136FCD"/>
    <w:rsid w:val="00137A5B"/>
    <w:rsid w:val="00141DBB"/>
    <w:rsid w:val="00141EB2"/>
    <w:rsid w:val="00145097"/>
    <w:rsid w:val="001516A3"/>
    <w:rsid w:val="001527B2"/>
    <w:rsid w:val="00155705"/>
    <w:rsid w:val="00162ACA"/>
    <w:rsid w:val="001643EE"/>
    <w:rsid w:val="0016603F"/>
    <w:rsid w:val="00166C55"/>
    <w:rsid w:val="00170B35"/>
    <w:rsid w:val="0017128A"/>
    <w:rsid w:val="00172996"/>
    <w:rsid w:val="001734AF"/>
    <w:rsid w:val="0017359E"/>
    <w:rsid w:val="00173A13"/>
    <w:rsid w:val="001848E0"/>
    <w:rsid w:val="001849AF"/>
    <w:rsid w:val="00185921"/>
    <w:rsid w:val="00186B72"/>
    <w:rsid w:val="0019065C"/>
    <w:rsid w:val="00191DF7"/>
    <w:rsid w:val="001937EF"/>
    <w:rsid w:val="00193C38"/>
    <w:rsid w:val="00194CD5"/>
    <w:rsid w:val="00195D3D"/>
    <w:rsid w:val="00195EDA"/>
    <w:rsid w:val="001970FC"/>
    <w:rsid w:val="001A0EC8"/>
    <w:rsid w:val="001A116F"/>
    <w:rsid w:val="001A1281"/>
    <w:rsid w:val="001A2504"/>
    <w:rsid w:val="001A4554"/>
    <w:rsid w:val="001A4AC6"/>
    <w:rsid w:val="001A4FAD"/>
    <w:rsid w:val="001A5521"/>
    <w:rsid w:val="001A608C"/>
    <w:rsid w:val="001B2AFA"/>
    <w:rsid w:val="001B5704"/>
    <w:rsid w:val="001C38A4"/>
    <w:rsid w:val="001C4EE3"/>
    <w:rsid w:val="001D0646"/>
    <w:rsid w:val="001D222D"/>
    <w:rsid w:val="001D2C98"/>
    <w:rsid w:val="001D5177"/>
    <w:rsid w:val="001D61B1"/>
    <w:rsid w:val="001E3C07"/>
    <w:rsid w:val="001E5A46"/>
    <w:rsid w:val="001E789D"/>
    <w:rsid w:val="001F2399"/>
    <w:rsid w:val="001F3085"/>
    <w:rsid w:val="001F3A1F"/>
    <w:rsid w:val="001F3F6A"/>
    <w:rsid w:val="001F7F2A"/>
    <w:rsid w:val="0020022B"/>
    <w:rsid w:val="002008EF"/>
    <w:rsid w:val="00200D8D"/>
    <w:rsid w:val="00202B8E"/>
    <w:rsid w:val="00204C93"/>
    <w:rsid w:val="002051D7"/>
    <w:rsid w:val="00205A6B"/>
    <w:rsid w:val="00205F20"/>
    <w:rsid w:val="002117A8"/>
    <w:rsid w:val="0021250E"/>
    <w:rsid w:val="00216A60"/>
    <w:rsid w:val="002218DD"/>
    <w:rsid w:val="00221B6C"/>
    <w:rsid w:val="00222AB3"/>
    <w:rsid w:val="00225A1A"/>
    <w:rsid w:val="00227D44"/>
    <w:rsid w:val="00227FD3"/>
    <w:rsid w:val="0023285B"/>
    <w:rsid w:val="00232E21"/>
    <w:rsid w:val="002334F3"/>
    <w:rsid w:val="00233A7E"/>
    <w:rsid w:val="00233F39"/>
    <w:rsid w:val="002348F9"/>
    <w:rsid w:val="002365E2"/>
    <w:rsid w:val="002366CB"/>
    <w:rsid w:val="0024036B"/>
    <w:rsid w:val="00242295"/>
    <w:rsid w:val="00244501"/>
    <w:rsid w:val="00245458"/>
    <w:rsid w:val="002514D5"/>
    <w:rsid w:val="00251BBC"/>
    <w:rsid w:val="00252ACC"/>
    <w:rsid w:val="0025387E"/>
    <w:rsid w:val="0025620F"/>
    <w:rsid w:val="00261621"/>
    <w:rsid w:val="0026344F"/>
    <w:rsid w:val="00263A39"/>
    <w:rsid w:val="00263E7D"/>
    <w:rsid w:val="00264474"/>
    <w:rsid w:val="00264B9A"/>
    <w:rsid w:val="00264EA8"/>
    <w:rsid w:val="00265619"/>
    <w:rsid w:val="002657EF"/>
    <w:rsid w:val="00267A5E"/>
    <w:rsid w:val="002702FF"/>
    <w:rsid w:val="0027259E"/>
    <w:rsid w:val="002726F2"/>
    <w:rsid w:val="002746BF"/>
    <w:rsid w:val="00275D30"/>
    <w:rsid w:val="00280147"/>
    <w:rsid w:val="002807FA"/>
    <w:rsid w:val="0028402E"/>
    <w:rsid w:val="002840D2"/>
    <w:rsid w:val="00285AD8"/>
    <w:rsid w:val="00286D26"/>
    <w:rsid w:val="00291196"/>
    <w:rsid w:val="002929D9"/>
    <w:rsid w:val="00292FA6"/>
    <w:rsid w:val="002941B3"/>
    <w:rsid w:val="00295965"/>
    <w:rsid w:val="002A244B"/>
    <w:rsid w:val="002A42E2"/>
    <w:rsid w:val="002B1B1D"/>
    <w:rsid w:val="002B3BF1"/>
    <w:rsid w:val="002B420C"/>
    <w:rsid w:val="002B562C"/>
    <w:rsid w:val="002B68DA"/>
    <w:rsid w:val="002C060E"/>
    <w:rsid w:val="002C07F1"/>
    <w:rsid w:val="002C2012"/>
    <w:rsid w:val="002C26E8"/>
    <w:rsid w:val="002C37D0"/>
    <w:rsid w:val="002D0025"/>
    <w:rsid w:val="002D0CF7"/>
    <w:rsid w:val="002D32B8"/>
    <w:rsid w:val="002D3BFF"/>
    <w:rsid w:val="002D3C95"/>
    <w:rsid w:val="002D40A7"/>
    <w:rsid w:val="002D5638"/>
    <w:rsid w:val="002D6AB6"/>
    <w:rsid w:val="002D6E63"/>
    <w:rsid w:val="002D71DD"/>
    <w:rsid w:val="002D7D90"/>
    <w:rsid w:val="002D7E58"/>
    <w:rsid w:val="002E243B"/>
    <w:rsid w:val="002E49DB"/>
    <w:rsid w:val="002E5383"/>
    <w:rsid w:val="002E665A"/>
    <w:rsid w:val="002E6DD5"/>
    <w:rsid w:val="002E781E"/>
    <w:rsid w:val="002F0283"/>
    <w:rsid w:val="002F1B27"/>
    <w:rsid w:val="002F38EA"/>
    <w:rsid w:val="002F3922"/>
    <w:rsid w:val="002F4A0A"/>
    <w:rsid w:val="002F4ACF"/>
    <w:rsid w:val="002F535A"/>
    <w:rsid w:val="00300F5F"/>
    <w:rsid w:val="00301199"/>
    <w:rsid w:val="00301683"/>
    <w:rsid w:val="003024C3"/>
    <w:rsid w:val="003032DE"/>
    <w:rsid w:val="003035F5"/>
    <w:rsid w:val="00304F25"/>
    <w:rsid w:val="00305CDE"/>
    <w:rsid w:val="003062F6"/>
    <w:rsid w:val="00315574"/>
    <w:rsid w:val="00316157"/>
    <w:rsid w:val="00317FB1"/>
    <w:rsid w:val="0032042E"/>
    <w:rsid w:val="00325AC0"/>
    <w:rsid w:val="00327752"/>
    <w:rsid w:val="003307B5"/>
    <w:rsid w:val="00330A3E"/>
    <w:rsid w:val="00330F4D"/>
    <w:rsid w:val="00333307"/>
    <w:rsid w:val="0033476A"/>
    <w:rsid w:val="00334F70"/>
    <w:rsid w:val="00344342"/>
    <w:rsid w:val="00344726"/>
    <w:rsid w:val="003451FB"/>
    <w:rsid w:val="003473B4"/>
    <w:rsid w:val="00352F25"/>
    <w:rsid w:val="00353501"/>
    <w:rsid w:val="003566DA"/>
    <w:rsid w:val="00357879"/>
    <w:rsid w:val="00357C8B"/>
    <w:rsid w:val="00360CF5"/>
    <w:rsid w:val="003613FC"/>
    <w:rsid w:val="00363CC6"/>
    <w:rsid w:val="00364E94"/>
    <w:rsid w:val="00365274"/>
    <w:rsid w:val="00366618"/>
    <w:rsid w:val="00367103"/>
    <w:rsid w:val="00370633"/>
    <w:rsid w:val="003707B5"/>
    <w:rsid w:val="00377EE9"/>
    <w:rsid w:val="00377F1A"/>
    <w:rsid w:val="00380DFE"/>
    <w:rsid w:val="00381A83"/>
    <w:rsid w:val="00382503"/>
    <w:rsid w:val="00382D82"/>
    <w:rsid w:val="003836EB"/>
    <w:rsid w:val="00390C73"/>
    <w:rsid w:val="00391C18"/>
    <w:rsid w:val="003920D2"/>
    <w:rsid w:val="00394CE8"/>
    <w:rsid w:val="003A028F"/>
    <w:rsid w:val="003A0C99"/>
    <w:rsid w:val="003A12E3"/>
    <w:rsid w:val="003A250C"/>
    <w:rsid w:val="003A4483"/>
    <w:rsid w:val="003A5E4C"/>
    <w:rsid w:val="003A7466"/>
    <w:rsid w:val="003A7C4F"/>
    <w:rsid w:val="003B17FC"/>
    <w:rsid w:val="003B21AA"/>
    <w:rsid w:val="003B22F5"/>
    <w:rsid w:val="003B28DB"/>
    <w:rsid w:val="003B5177"/>
    <w:rsid w:val="003B56B7"/>
    <w:rsid w:val="003B651B"/>
    <w:rsid w:val="003B75BC"/>
    <w:rsid w:val="003C1001"/>
    <w:rsid w:val="003C105C"/>
    <w:rsid w:val="003C240D"/>
    <w:rsid w:val="003C34A7"/>
    <w:rsid w:val="003C3E5F"/>
    <w:rsid w:val="003C5997"/>
    <w:rsid w:val="003D20F5"/>
    <w:rsid w:val="003D308A"/>
    <w:rsid w:val="003D7BC2"/>
    <w:rsid w:val="003E0130"/>
    <w:rsid w:val="003E1125"/>
    <w:rsid w:val="003E2B3F"/>
    <w:rsid w:val="003E5FEC"/>
    <w:rsid w:val="003E757A"/>
    <w:rsid w:val="003F7556"/>
    <w:rsid w:val="003F79FD"/>
    <w:rsid w:val="00401CF1"/>
    <w:rsid w:val="00404F12"/>
    <w:rsid w:val="00411562"/>
    <w:rsid w:val="00413388"/>
    <w:rsid w:val="0041398D"/>
    <w:rsid w:val="0041747A"/>
    <w:rsid w:val="00417792"/>
    <w:rsid w:val="004201BF"/>
    <w:rsid w:val="00422848"/>
    <w:rsid w:val="00423F6B"/>
    <w:rsid w:val="00424236"/>
    <w:rsid w:val="00430937"/>
    <w:rsid w:val="00431A0F"/>
    <w:rsid w:val="0043355C"/>
    <w:rsid w:val="004356C6"/>
    <w:rsid w:val="004420BF"/>
    <w:rsid w:val="00442FA6"/>
    <w:rsid w:val="00443079"/>
    <w:rsid w:val="0044766D"/>
    <w:rsid w:val="004602F4"/>
    <w:rsid w:val="00461484"/>
    <w:rsid w:val="00461FBC"/>
    <w:rsid w:val="004646F3"/>
    <w:rsid w:val="00467D24"/>
    <w:rsid w:val="00471351"/>
    <w:rsid w:val="004719B2"/>
    <w:rsid w:val="00472827"/>
    <w:rsid w:val="004761AA"/>
    <w:rsid w:val="0048167A"/>
    <w:rsid w:val="00481E9F"/>
    <w:rsid w:val="004834AF"/>
    <w:rsid w:val="00486904"/>
    <w:rsid w:val="004874FE"/>
    <w:rsid w:val="00487C46"/>
    <w:rsid w:val="0049121D"/>
    <w:rsid w:val="00492094"/>
    <w:rsid w:val="00492AAB"/>
    <w:rsid w:val="0049338A"/>
    <w:rsid w:val="00493881"/>
    <w:rsid w:val="00493CCD"/>
    <w:rsid w:val="00494194"/>
    <w:rsid w:val="00494ACF"/>
    <w:rsid w:val="004958E0"/>
    <w:rsid w:val="004973A4"/>
    <w:rsid w:val="00497FC5"/>
    <w:rsid w:val="004A5FEF"/>
    <w:rsid w:val="004A643F"/>
    <w:rsid w:val="004A6506"/>
    <w:rsid w:val="004A66A4"/>
    <w:rsid w:val="004B23B9"/>
    <w:rsid w:val="004B5C0C"/>
    <w:rsid w:val="004B69E5"/>
    <w:rsid w:val="004B6AE7"/>
    <w:rsid w:val="004C233D"/>
    <w:rsid w:val="004C6865"/>
    <w:rsid w:val="004D01C2"/>
    <w:rsid w:val="004D0DE2"/>
    <w:rsid w:val="004D1986"/>
    <w:rsid w:val="004D44EA"/>
    <w:rsid w:val="004D4FD9"/>
    <w:rsid w:val="004D5F09"/>
    <w:rsid w:val="004D6A37"/>
    <w:rsid w:val="004E0B71"/>
    <w:rsid w:val="004E2A40"/>
    <w:rsid w:val="004E4284"/>
    <w:rsid w:val="004E45B6"/>
    <w:rsid w:val="004E45B9"/>
    <w:rsid w:val="004E5644"/>
    <w:rsid w:val="004E7383"/>
    <w:rsid w:val="004F17E0"/>
    <w:rsid w:val="004F180F"/>
    <w:rsid w:val="004F23DC"/>
    <w:rsid w:val="004F38F9"/>
    <w:rsid w:val="004F396D"/>
    <w:rsid w:val="004F4D93"/>
    <w:rsid w:val="004F6238"/>
    <w:rsid w:val="004F7391"/>
    <w:rsid w:val="004F7977"/>
    <w:rsid w:val="005047D1"/>
    <w:rsid w:val="0051298C"/>
    <w:rsid w:val="00514D88"/>
    <w:rsid w:val="005168C6"/>
    <w:rsid w:val="00520D9B"/>
    <w:rsid w:val="0052225C"/>
    <w:rsid w:val="005234AE"/>
    <w:rsid w:val="00531654"/>
    <w:rsid w:val="00532D1A"/>
    <w:rsid w:val="005346A0"/>
    <w:rsid w:val="005348D9"/>
    <w:rsid w:val="00535F58"/>
    <w:rsid w:val="005433E1"/>
    <w:rsid w:val="0054424D"/>
    <w:rsid w:val="005462BE"/>
    <w:rsid w:val="005464D7"/>
    <w:rsid w:val="00547AC3"/>
    <w:rsid w:val="00550B11"/>
    <w:rsid w:val="00550F2C"/>
    <w:rsid w:val="005536D7"/>
    <w:rsid w:val="00555A2D"/>
    <w:rsid w:val="0056278C"/>
    <w:rsid w:val="005627ED"/>
    <w:rsid w:val="00565B9A"/>
    <w:rsid w:val="0056652E"/>
    <w:rsid w:val="005668A5"/>
    <w:rsid w:val="005668D0"/>
    <w:rsid w:val="005676C9"/>
    <w:rsid w:val="005677B3"/>
    <w:rsid w:val="0057018D"/>
    <w:rsid w:val="0057021B"/>
    <w:rsid w:val="005706FA"/>
    <w:rsid w:val="0057178D"/>
    <w:rsid w:val="00574995"/>
    <w:rsid w:val="005756EB"/>
    <w:rsid w:val="00575888"/>
    <w:rsid w:val="00576BD2"/>
    <w:rsid w:val="005779A5"/>
    <w:rsid w:val="00580B8F"/>
    <w:rsid w:val="00580BB7"/>
    <w:rsid w:val="0058188D"/>
    <w:rsid w:val="005847F8"/>
    <w:rsid w:val="0058498B"/>
    <w:rsid w:val="0058527D"/>
    <w:rsid w:val="0059191B"/>
    <w:rsid w:val="00591DC2"/>
    <w:rsid w:val="00593614"/>
    <w:rsid w:val="00597906"/>
    <w:rsid w:val="00597DF9"/>
    <w:rsid w:val="005A5566"/>
    <w:rsid w:val="005A7859"/>
    <w:rsid w:val="005B2A09"/>
    <w:rsid w:val="005B4346"/>
    <w:rsid w:val="005B6473"/>
    <w:rsid w:val="005B699A"/>
    <w:rsid w:val="005C14FF"/>
    <w:rsid w:val="005C34C2"/>
    <w:rsid w:val="005C47D9"/>
    <w:rsid w:val="005C4AFE"/>
    <w:rsid w:val="005C4F86"/>
    <w:rsid w:val="005C63EE"/>
    <w:rsid w:val="005C6514"/>
    <w:rsid w:val="005C6FC8"/>
    <w:rsid w:val="005D076A"/>
    <w:rsid w:val="005D13D5"/>
    <w:rsid w:val="005D2AD1"/>
    <w:rsid w:val="005D72B6"/>
    <w:rsid w:val="005D7948"/>
    <w:rsid w:val="005E05DE"/>
    <w:rsid w:val="005E07E5"/>
    <w:rsid w:val="005E0EF7"/>
    <w:rsid w:val="005E3E10"/>
    <w:rsid w:val="005E545C"/>
    <w:rsid w:val="005E64D3"/>
    <w:rsid w:val="005F14B2"/>
    <w:rsid w:val="005F26F0"/>
    <w:rsid w:val="005F3E8E"/>
    <w:rsid w:val="005F494E"/>
    <w:rsid w:val="00602117"/>
    <w:rsid w:val="006034BC"/>
    <w:rsid w:val="006050AE"/>
    <w:rsid w:val="006056BE"/>
    <w:rsid w:val="00611798"/>
    <w:rsid w:val="00611FA3"/>
    <w:rsid w:val="006132C5"/>
    <w:rsid w:val="006142BF"/>
    <w:rsid w:val="006175F9"/>
    <w:rsid w:val="00621B22"/>
    <w:rsid w:val="006230B0"/>
    <w:rsid w:val="00623CD4"/>
    <w:rsid w:val="00624BFC"/>
    <w:rsid w:val="00626A48"/>
    <w:rsid w:val="006310A9"/>
    <w:rsid w:val="006311E8"/>
    <w:rsid w:val="00631B3A"/>
    <w:rsid w:val="006326BB"/>
    <w:rsid w:val="00633714"/>
    <w:rsid w:val="00635588"/>
    <w:rsid w:val="00637DBF"/>
    <w:rsid w:val="0064141B"/>
    <w:rsid w:val="00641485"/>
    <w:rsid w:val="00644C2C"/>
    <w:rsid w:val="00646CC7"/>
    <w:rsid w:val="00646E41"/>
    <w:rsid w:val="0065115E"/>
    <w:rsid w:val="00655E99"/>
    <w:rsid w:val="00661C0B"/>
    <w:rsid w:val="006638DF"/>
    <w:rsid w:val="006652A8"/>
    <w:rsid w:val="006663A7"/>
    <w:rsid w:val="00667595"/>
    <w:rsid w:val="0067119C"/>
    <w:rsid w:val="00676380"/>
    <w:rsid w:val="006776CD"/>
    <w:rsid w:val="00681EE6"/>
    <w:rsid w:val="0068260B"/>
    <w:rsid w:val="0068288A"/>
    <w:rsid w:val="0068586D"/>
    <w:rsid w:val="00686B72"/>
    <w:rsid w:val="00691208"/>
    <w:rsid w:val="00692695"/>
    <w:rsid w:val="00693C36"/>
    <w:rsid w:val="00696C1E"/>
    <w:rsid w:val="0069775E"/>
    <w:rsid w:val="006979CE"/>
    <w:rsid w:val="006A0F77"/>
    <w:rsid w:val="006A2820"/>
    <w:rsid w:val="006A3AE5"/>
    <w:rsid w:val="006A3DA4"/>
    <w:rsid w:val="006A4D22"/>
    <w:rsid w:val="006A5117"/>
    <w:rsid w:val="006A6298"/>
    <w:rsid w:val="006A69CE"/>
    <w:rsid w:val="006B2C8A"/>
    <w:rsid w:val="006B386F"/>
    <w:rsid w:val="006C0555"/>
    <w:rsid w:val="006C1D43"/>
    <w:rsid w:val="006C1E75"/>
    <w:rsid w:val="006C38FF"/>
    <w:rsid w:val="006C6D42"/>
    <w:rsid w:val="006D042B"/>
    <w:rsid w:val="006D35E0"/>
    <w:rsid w:val="006D4A73"/>
    <w:rsid w:val="006D5951"/>
    <w:rsid w:val="006D69E4"/>
    <w:rsid w:val="006D781B"/>
    <w:rsid w:val="006E157A"/>
    <w:rsid w:val="006E2320"/>
    <w:rsid w:val="006E3533"/>
    <w:rsid w:val="006E3CC7"/>
    <w:rsid w:val="006E3DFD"/>
    <w:rsid w:val="006E4C94"/>
    <w:rsid w:val="006E64D6"/>
    <w:rsid w:val="006E7BFC"/>
    <w:rsid w:val="006F003E"/>
    <w:rsid w:val="006F119E"/>
    <w:rsid w:val="006F503C"/>
    <w:rsid w:val="006F623C"/>
    <w:rsid w:val="00700B07"/>
    <w:rsid w:val="00703495"/>
    <w:rsid w:val="00703810"/>
    <w:rsid w:val="00703D2F"/>
    <w:rsid w:val="007064CE"/>
    <w:rsid w:val="00706688"/>
    <w:rsid w:val="00710287"/>
    <w:rsid w:val="00712B01"/>
    <w:rsid w:val="00716002"/>
    <w:rsid w:val="00717291"/>
    <w:rsid w:val="00717FE7"/>
    <w:rsid w:val="0072149C"/>
    <w:rsid w:val="00726046"/>
    <w:rsid w:val="00726475"/>
    <w:rsid w:val="00733383"/>
    <w:rsid w:val="007333E2"/>
    <w:rsid w:val="0073584B"/>
    <w:rsid w:val="007363DE"/>
    <w:rsid w:val="00737B8A"/>
    <w:rsid w:val="00743BD2"/>
    <w:rsid w:val="00743DDF"/>
    <w:rsid w:val="00744850"/>
    <w:rsid w:val="007449E3"/>
    <w:rsid w:val="00745540"/>
    <w:rsid w:val="00747624"/>
    <w:rsid w:val="007504F0"/>
    <w:rsid w:val="00750C82"/>
    <w:rsid w:val="0075261F"/>
    <w:rsid w:val="00753268"/>
    <w:rsid w:val="007532AD"/>
    <w:rsid w:val="00754A56"/>
    <w:rsid w:val="00756910"/>
    <w:rsid w:val="00761990"/>
    <w:rsid w:val="00763D29"/>
    <w:rsid w:val="00763EE5"/>
    <w:rsid w:val="00766F9C"/>
    <w:rsid w:val="00767F99"/>
    <w:rsid w:val="00770A9C"/>
    <w:rsid w:val="0077206A"/>
    <w:rsid w:val="007746D2"/>
    <w:rsid w:val="007763B9"/>
    <w:rsid w:val="0077697F"/>
    <w:rsid w:val="00776F88"/>
    <w:rsid w:val="00785007"/>
    <w:rsid w:val="00787A71"/>
    <w:rsid w:val="0079164E"/>
    <w:rsid w:val="00793DB0"/>
    <w:rsid w:val="00794239"/>
    <w:rsid w:val="007949B5"/>
    <w:rsid w:val="00794EF2"/>
    <w:rsid w:val="00796794"/>
    <w:rsid w:val="00797C05"/>
    <w:rsid w:val="007A028D"/>
    <w:rsid w:val="007A16EC"/>
    <w:rsid w:val="007A1B6A"/>
    <w:rsid w:val="007A6A6A"/>
    <w:rsid w:val="007A779C"/>
    <w:rsid w:val="007B1712"/>
    <w:rsid w:val="007B2E43"/>
    <w:rsid w:val="007B4AB9"/>
    <w:rsid w:val="007B4F28"/>
    <w:rsid w:val="007B76CD"/>
    <w:rsid w:val="007C012B"/>
    <w:rsid w:val="007C0552"/>
    <w:rsid w:val="007C2AB6"/>
    <w:rsid w:val="007C2C89"/>
    <w:rsid w:val="007C57D4"/>
    <w:rsid w:val="007C5EB1"/>
    <w:rsid w:val="007C63EA"/>
    <w:rsid w:val="007C6EE4"/>
    <w:rsid w:val="007D085D"/>
    <w:rsid w:val="007E0817"/>
    <w:rsid w:val="007E7287"/>
    <w:rsid w:val="007F1840"/>
    <w:rsid w:val="007F3D1A"/>
    <w:rsid w:val="007F405D"/>
    <w:rsid w:val="007F70F5"/>
    <w:rsid w:val="007F7570"/>
    <w:rsid w:val="00800A50"/>
    <w:rsid w:val="008032E5"/>
    <w:rsid w:val="00804AE1"/>
    <w:rsid w:val="008051DF"/>
    <w:rsid w:val="00806B00"/>
    <w:rsid w:val="008115AA"/>
    <w:rsid w:val="008140C4"/>
    <w:rsid w:val="00815BAF"/>
    <w:rsid w:val="00816B59"/>
    <w:rsid w:val="008172EE"/>
    <w:rsid w:val="00820202"/>
    <w:rsid w:val="00820731"/>
    <w:rsid w:val="008228DB"/>
    <w:rsid w:val="008320CE"/>
    <w:rsid w:val="008345EA"/>
    <w:rsid w:val="008410D2"/>
    <w:rsid w:val="00843514"/>
    <w:rsid w:val="008452F4"/>
    <w:rsid w:val="00847922"/>
    <w:rsid w:val="00854148"/>
    <w:rsid w:val="00854612"/>
    <w:rsid w:val="008548FD"/>
    <w:rsid w:val="00854EE4"/>
    <w:rsid w:val="008602F3"/>
    <w:rsid w:val="00860BDA"/>
    <w:rsid w:val="008634D6"/>
    <w:rsid w:val="008642DA"/>
    <w:rsid w:val="0086442A"/>
    <w:rsid w:val="00864C84"/>
    <w:rsid w:val="00865137"/>
    <w:rsid w:val="008654C1"/>
    <w:rsid w:val="0086707D"/>
    <w:rsid w:val="008706BD"/>
    <w:rsid w:val="00873E21"/>
    <w:rsid w:val="008748C7"/>
    <w:rsid w:val="0088568C"/>
    <w:rsid w:val="00886A90"/>
    <w:rsid w:val="0088786B"/>
    <w:rsid w:val="00891118"/>
    <w:rsid w:val="0089659B"/>
    <w:rsid w:val="00896E71"/>
    <w:rsid w:val="00897512"/>
    <w:rsid w:val="008A6B89"/>
    <w:rsid w:val="008A72A9"/>
    <w:rsid w:val="008A7891"/>
    <w:rsid w:val="008B17E7"/>
    <w:rsid w:val="008B2E02"/>
    <w:rsid w:val="008B3786"/>
    <w:rsid w:val="008B42F3"/>
    <w:rsid w:val="008C0FD0"/>
    <w:rsid w:val="008C16B8"/>
    <w:rsid w:val="008C1B01"/>
    <w:rsid w:val="008C4F0A"/>
    <w:rsid w:val="008C7861"/>
    <w:rsid w:val="008D177C"/>
    <w:rsid w:val="008D24FF"/>
    <w:rsid w:val="008D55A3"/>
    <w:rsid w:val="008D59EC"/>
    <w:rsid w:val="008D728B"/>
    <w:rsid w:val="008D7E57"/>
    <w:rsid w:val="008E07A3"/>
    <w:rsid w:val="008E2F1B"/>
    <w:rsid w:val="008E563F"/>
    <w:rsid w:val="008E6725"/>
    <w:rsid w:val="008F4569"/>
    <w:rsid w:val="008F507A"/>
    <w:rsid w:val="008F6C3D"/>
    <w:rsid w:val="009002C7"/>
    <w:rsid w:val="0090061E"/>
    <w:rsid w:val="00902565"/>
    <w:rsid w:val="009025E2"/>
    <w:rsid w:val="009033BD"/>
    <w:rsid w:val="00904F0C"/>
    <w:rsid w:val="0090576C"/>
    <w:rsid w:val="00906C27"/>
    <w:rsid w:val="00907065"/>
    <w:rsid w:val="0091059F"/>
    <w:rsid w:val="009114D3"/>
    <w:rsid w:val="00911BC2"/>
    <w:rsid w:val="009124EC"/>
    <w:rsid w:val="00915816"/>
    <w:rsid w:val="00916373"/>
    <w:rsid w:val="00917883"/>
    <w:rsid w:val="00921988"/>
    <w:rsid w:val="00923556"/>
    <w:rsid w:val="00925CE8"/>
    <w:rsid w:val="00927186"/>
    <w:rsid w:val="009279FA"/>
    <w:rsid w:val="0093117D"/>
    <w:rsid w:val="009324FB"/>
    <w:rsid w:val="00937F0C"/>
    <w:rsid w:val="00940550"/>
    <w:rsid w:val="00941419"/>
    <w:rsid w:val="00943534"/>
    <w:rsid w:val="0094376E"/>
    <w:rsid w:val="00951830"/>
    <w:rsid w:val="00953A00"/>
    <w:rsid w:val="00954AF4"/>
    <w:rsid w:val="00955A12"/>
    <w:rsid w:val="009571D6"/>
    <w:rsid w:val="00962C3E"/>
    <w:rsid w:val="0096416B"/>
    <w:rsid w:val="00970909"/>
    <w:rsid w:val="00970D8A"/>
    <w:rsid w:val="00971F9E"/>
    <w:rsid w:val="00972CD8"/>
    <w:rsid w:val="00975137"/>
    <w:rsid w:val="009756EE"/>
    <w:rsid w:val="00976117"/>
    <w:rsid w:val="00976F5D"/>
    <w:rsid w:val="00976F87"/>
    <w:rsid w:val="00977315"/>
    <w:rsid w:val="009811CD"/>
    <w:rsid w:val="00981EA0"/>
    <w:rsid w:val="00982B93"/>
    <w:rsid w:val="00983934"/>
    <w:rsid w:val="00987DFA"/>
    <w:rsid w:val="009913E8"/>
    <w:rsid w:val="00995463"/>
    <w:rsid w:val="00996272"/>
    <w:rsid w:val="00996BB0"/>
    <w:rsid w:val="00997580"/>
    <w:rsid w:val="009A08DE"/>
    <w:rsid w:val="009A09C4"/>
    <w:rsid w:val="009A1708"/>
    <w:rsid w:val="009A3712"/>
    <w:rsid w:val="009A380E"/>
    <w:rsid w:val="009A3D6A"/>
    <w:rsid w:val="009A4F19"/>
    <w:rsid w:val="009A60D1"/>
    <w:rsid w:val="009A6C57"/>
    <w:rsid w:val="009B32E8"/>
    <w:rsid w:val="009B36A2"/>
    <w:rsid w:val="009B7BF7"/>
    <w:rsid w:val="009C1F4E"/>
    <w:rsid w:val="009C30B1"/>
    <w:rsid w:val="009C3ED8"/>
    <w:rsid w:val="009C4F92"/>
    <w:rsid w:val="009C6B97"/>
    <w:rsid w:val="009D1A11"/>
    <w:rsid w:val="009D22B2"/>
    <w:rsid w:val="009D3ACF"/>
    <w:rsid w:val="009D3E30"/>
    <w:rsid w:val="009D53CD"/>
    <w:rsid w:val="009D5427"/>
    <w:rsid w:val="009D5A9D"/>
    <w:rsid w:val="009D64E9"/>
    <w:rsid w:val="009E1CFB"/>
    <w:rsid w:val="009E2853"/>
    <w:rsid w:val="009E367D"/>
    <w:rsid w:val="009E4108"/>
    <w:rsid w:val="009E5B54"/>
    <w:rsid w:val="009E716B"/>
    <w:rsid w:val="009F1301"/>
    <w:rsid w:val="009F3C95"/>
    <w:rsid w:val="00A02E88"/>
    <w:rsid w:val="00A04038"/>
    <w:rsid w:val="00A0411D"/>
    <w:rsid w:val="00A05EAD"/>
    <w:rsid w:val="00A07F2F"/>
    <w:rsid w:val="00A107F4"/>
    <w:rsid w:val="00A11067"/>
    <w:rsid w:val="00A116F2"/>
    <w:rsid w:val="00A152F4"/>
    <w:rsid w:val="00A15B5E"/>
    <w:rsid w:val="00A2093A"/>
    <w:rsid w:val="00A21C6D"/>
    <w:rsid w:val="00A2201C"/>
    <w:rsid w:val="00A22390"/>
    <w:rsid w:val="00A2333B"/>
    <w:rsid w:val="00A241E6"/>
    <w:rsid w:val="00A265A2"/>
    <w:rsid w:val="00A27027"/>
    <w:rsid w:val="00A274EF"/>
    <w:rsid w:val="00A276D3"/>
    <w:rsid w:val="00A301CE"/>
    <w:rsid w:val="00A32310"/>
    <w:rsid w:val="00A32E57"/>
    <w:rsid w:val="00A364D2"/>
    <w:rsid w:val="00A36554"/>
    <w:rsid w:val="00A37262"/>
    <w:rsid w:val="00A37547"/>
    <w:rsid w:val="00A40FDC"/>
    <w:rsid w:val="00A411D3"/>
    <w:rsid w:val="00A41DBF"/>
    <w:rsid w:val="00A44472"/>
    <w:rsid w:val="00A447A1"/>
    <w:rsid w:val="00A4729E"/>
    <w:rsid w:val="00A47C8E"/>
    <w:rsid w:val="00A510B9"/>
    <w:rsid w:val="00A51830"/>
    <w:rsid w:val="00A5221D"/>
    <w:rsid w:val="00A525B7"/>
    <w:rsid w:val="00A53039"/>
    <w:rsid w:val="00A5514D"/>
    <w:rsid w:val="00A56857"/>
    <w:rsid w:val="00A61FE2"/>
    <w:rsid w:val="00A64339"/>
    <w:rsid w:val="00A64843"/>
    <w:rsid w:val="00A70759"/>
    <w:rsid w:val="00A74931"/>
    <w:rsid w:val="00A749DB"/>
    <w:rsid w:val="00A7665D"/>
    <w:rsid w:val="00A76F4F"/>
    <w:rsid w:val="00A81C2E"/>
    <w:rsid w:val="00A82243"/>
    <w:rsid w:val="00A823F0"/>
    <w:rsid w:val="00A8336A"/>
    <w:rsid w:val="00A8547F"/>
    <w:rsid w:val="00A85507"/>
    <w:rsid w:val="00A86468"/>
    <w:rsid w:val="00A865AD"/>
    <w:rsid w:val="00A866D1"/>
    <w:rsid w:val="00A8734F"/>
    <w:rsid w:val="00A94943"/>
    <w:rsid w:val="00AA19E3"/>
    <w:rsid w:val="00AA213C"/>
    <w:rsid w:val="00AA2ADF"/>
    <w:rsid w:val="00AA2BA1"/>
    <w:rsid w:val="00AA2C94"/>
    <w:rsid w:val="00AA7BA5"/>
    <w:rsid w:val="00AB1AC9"/>
    <w:rsid w:val="00AB456E"/>
    <w:rsid w:val="00AC0BDD"/>
    <w:rsid w:val="00AC1CFA"/>
    <w:rsid w:val="00AC323E"/>
    <w:rsid w:val="00AC4F9A"/>
    <w:rsid w:val="00AC5B80"/>
    <w:rsid w:val="00AC5D4E"/>
    <w:rsid w:val="00AD233A"/>
    <w:rsid w:val="00AE12DC"/>
    <w:rsid w:val="00AE2A78"/>
    <w:rsid w:val="00AE3169"/>
    <w:rsid w:val="00AE37F6"/>
    <w:rsid w:val="00AF15E4"/>
    <w:rsid w:val="00AF1728"/>
    <w:rsid w:val="00AF2919"/>
    <w:rsid w:val="00AF4258"/>
    <w:rsid w:val="00AF62F1"/>
    <w:rsid w:val="00AF6E45"/>
    <w:rsid w:val="00B01595"/>
    <w:rsid w:val="00B01B95"/>
    <w:rsid w:val="00B037D7"/>
    <w:rsid w:val="00B06138"/>
    <w:rsid w:val="00B127DB"/>
    <w:rsid w:val="00B205E5"/>
    <w:rsid w:val="00B20ED5"/>
    <w:rsid w:val="00B21CC1"/>
    <w:rsid w:val="00B246F1"/>
    <w:rsid w:val="00B2718D"/>
    <w:rsid w:val="00B3291F"/>
    <w:rsid w:val="00B33919"/>
    <w:rsid w:val="00B3458F"/>
    <w:rsid w:val="00B35034"/>
    <w:rsid w:val="00B35784"/>
    <w:rsid w:val="00B36037"/>
    <w:rsid w:val="00B3694A"/>
    <w:rsid w:val="00B43142"/>
    <w:rsid w:val="00B43817"/>
    <w:rsid w:val="00B44601"/>
    <w:rsid w:val="00B457AF"/>
    <w:rsid w:val="00B45C56"/>
    <w:rsid w:val="00B46379"/>
    <w:rsid w:val="00B50A31"/>
    <w:rsid w:val="00B536AB"/>
    <w:rsid w:val="00B53F9D"/>
    <w:rsid w:val="00B55595"/>
    <w:rsid w:val="00B558A8"/>
    <w:rsid w:val="00B560F1"/>
    <w:rsid w:val="00B56E73"/>
    <w:rsid w:val="00B60285"/>
    <w:rsid w:val="00B613ED"/>
    <w:rsid w:val="00B623DC"/>
    <w:rsid w:val="00B6290C"/>
    <w:rsid w:val="00B6499C"/>
    <w:rsid w:val="00B651B4"/>
    <w:rsid w:val="00B66CDD"/>
    <w:rsid w:val="00B66D97"/>
    <w:rsid w:val="00B66F51"/>
    <w:rsid w:val="00B710CB"/>
    <w:rsid w:val="00B71554"/>
    <w:rsid w:val="00B734D3"/>
    <w:rsid w:val="00B73759"/>
    <w:rsid w:val="00B74408"/>
    <w:rsid w:val="00B7457F"/>
    <w:rsid w:val="00B7533F"/>
    <w:rsid w:val="00B75DA1"/>
    <w:rsid w:val="00B76104"/>
    <w:rsid w:val="00B808F1"/>
    <w:rsid w:val="00B817B2"/>
    <w:rsid w:val="00B84780"/>
    <w:rsid w:val="00B852C7"/>
    <w:rsid w:val="00B853D8"/>
    <w:rsid w:val="00B92B26"/>
    <w:rsid w:val="00B94062"/>
    <w:rsid w:val="00B97602"/>
    <w:rsid w:val="00BA0016"/>
    <w:rsid w:val="00BA14D6"/>
    <w:rsid w:val="00BA1EF1"/>
    <w:rsid w:val="00BB192C"/>
    <w:rsid w:val="00BB2B9E"/>
    <w:rsid w:val="00BB342F"/>
    <w:rsid w:val="00BB3B18"/>
    <w:rsid w:val="00BB4EDC"/>
    <w:rsid w:val="00BB5515"/>
    <w:rsid w:val="00BB596F"/>
    <w:rsid w:val="00BB5EEB"/>
    <w:rsid w:val="00BC04E0"/>
    <w:rsid w:val="00BC08A8"/>
    <w:rsid w:val="00BC1B9B"/>
    <w:rsid w:val="00BC26F6"/>
    <w:rsid w:val="00BC321E"/>
    <w:rsid w:val="00BC3D3C"/>
    <w:rsid w:val="00BC42C0"/>
    <w:rsid w:val="00BC4E3F"/>
    <w:rsid w:val="00BD2176"/>
    <w:rsid w:val="00BD5E2C"/>
    <w:rsid w:val="00BD6160"/>
    <w:rsid w:val="00BD6AFB"/>
    <w:rsid w:val="00BE1238"/>
    <w:rsid w:val="00BE252F"/>
    <w:rsid w:val="00BE29EE"/>
    <w:rsid w:val="00BE2C40"/>
    <w:rsid w:val="00BE3A8D"/>
    <w:rsid w:val="00BE46C8"/>
    <w:rsid w:val="00BE5345"/>
    <w:rsid w:val="00BE5519"/>
    <w:rsid w:val="00BE56D4"/>
    <w:rsid w:val="00BE7687"/>
    <w:rsid w:val="00BE7951"/>
    <w:rsid w:val="00BF0B65"/>
    <w:rsid w:val="00BF261C"/>
    <w:rsid w:val="00BF31FF"/>
    <w:rsid w:val="00BF432D"/>
    <w:rsid w:val="00BF56EF"/>
    <w:rsid w:val="00C00F8A"/>
    <w:rsid w:val="00C034F1"/>
    <w:rsid w:val="00C0384D"/>
    <w:rsid w:val="00C03880"/>
    <w:rsid w:val="00C074CB"/>
    <w:rsid w:val="00C10F38"/>
    <w:rsid w:val="00C11800"/>
    <w:rsid w:val="00C12251"/>
    <w:rsid w:val="00C123B6"/>
    <w:rsid w:val="00C13935"/>
    <w:rsid w:val="00C13997"/>
    <w:rsid w:val="00C139B1"/>
    <w:rsid w:val="00C147EF"/>
    <w:rsid w:val="00C16BDC"/>
    <w:rsid w:val="00C21F63"/>
    <w:rsid w:val="00C2339A"/>
    <w:rsid w:val="00C2484E"/>
    <w:rsid w:val="00C24F6F"/>
    <w:rsid w:val="00C253AE"/>
    <w:rsid w:val="00C30579"/>
    <w:rsid w:val="00C31A80"/>
    <w:rsid w:val="00C32955"/>
    <w:rsid w:val="00C32CE3"/>
    <w:rsid w:val="00C32FF9"/>
    <w:rsid w:val="00C3417C"/>
    <w:rsid w:val="00C343E3"/>
    <w:rsid w:val="00C35323"/>
    <w:rsid w:val="00C357BF"/>
    <w:rsid w:val="00C35CED"/>
    <w:rsid w:val="00C40A2D"/>
    <w:rsid w:val="00C44E46"/>
    <w:rsid w:val="00C468C3"/>
    <w:rsid w:val="00C519FB"/>
    <w:rsid w:val="00C53820"/>
    <w:rsid w:val="00C539A6"/>
    <w:rsid w:val="00C557AF"/>
    <w:rsid w:val="00C56536"/>
    <w:rsid w:val="00C56938"/>
    <w:rsid w:val="00C577F1"/>
    <w:rsid w:val="00C628B6"/>
    <w:rsid w:val="00C62DE6"/>
    <w:rsid w:val="00C654A6"/>
    <w:rsid w:val="00C65A62"/>
    <w:rsid w:val="00C66FC6"/>
    <w:rsid w:val="00C674D7"/>
    <w:rsid w:val="00C71533"/>
    <w:rsid w:val="00C71959"/>
    <w:rsid w:val="00C71B57"/>
    <w:rsid w:val="00C72411"/>
    <w:rsid w:val="00C73B5B"/>
    <w:rsid w:val="00C763AD"/>
    <w:rsid w:val="00C76D63"/>
    <w:rsid w:val="00C76FB6"/>
    <w:rsid w:val="00C77474"/>
    <w:rsid w:val="00C82124"/>
    <w:rsid w:val="00C917C8"/>
    <w:rsid w:val="00C91B1F"/>
    <w:rsid w:val="00C92602"/>
    <w:rsid w:val="00C92FE7"/>
    <w:rsid w:val="00C93B0D"/>
    <w:rsid w:val="00C96CB0"/>
    <w:rsid w:val="00C97207"/>
    <w:rsid w:val="00C97B74"/>
    <w:rsid w:val="00CA06F8"/>
    <w:rsid w:val="00CA3526"/>
    <w:rsid w:val="00CB0E62"/>
    <w:rsid w:val="00CB0EA1"/>
    <w:rsid w:val="00CB0F39"/>
    <w:rsid w:val="00CB1D1E"/>
    <w:rsid w:val="00CB2B45"/>
    <w:rsid w:val="00CB469C"/>
    <w:rsid w:val="00CB6094"/>
    <w:rsid w:val="00CB63B4"/>
    <w:rsid w:val="00CB6B25"/>
    <w:rsid w:val="00CB6FF9"/>
    <w:rsid w:val="00CB79E7"/>
    <w:rsid w:val="00CB7EEA"/>
    <w:rsid w:val="00CC553D"/>
    <w:rsid w:val="00CC7B55"/>
    <w:rsid w:val="00CC7BF4"/>
    <w:rsid w:val="00CD0DA4"/>
    <w:rsid w:val="00CD1735"/>
    <w:rsid w:val="00CD1D3C"/>
    <w:rsid w:val="00CD3CCF"/>
    <w:rsid w:val="00CD55A3"/>
    <w:rsid w:val="00CD591A"/>
    <w:rsid w:val="00CD5CDB"/>
    <w:rsid w:val="00CD7337"/>
    <w:rsid w:val="00CD7578"/>
    <w:rsid w:val="00CE00C8"/>
    <w:rsid w:val="00CE06F7"/>
    <w:rsid w:val="00CE11D8"/>
    <w:rsid w:val="00CF10DA"/>
    <w:rsid w:val="00CF1B93"/>
    <w:rsid w:val="00CF3D6D"/>
    <w:rsid w:val="00D035F3"/>
    <w:rsid w:val="00D03822"/>
    <w:rsid w:val="00D0442F"/>
    <w:rsid w:val="00D04759"/>
    <w:rsid w:val="00D07FC1"/>
    <w:rsid w:val="00D141B3"/>
    <w:rsid w:val="00D14423"/>
    <w:rsid w:val="00D149BC"/>
    <w:rsid w:val="00D156D4"/>
    <w:rsid w:val="00D15E23"/>
    <w:rsid w:val="00D16321"/>
    <w:rsid w:val="00D1690D"/>
    <w:rsid w:val="00D16DF6"/>
    <w:rsid w:val="00D20BD7"/>
    <w:rsid w:val="00D24727"/>
    <w:rsid w:val="00D24D33"/>
    <w:rsid w:val="00D27C98"/>
    <w:rsid w:val="00D306C3"/>
    <w:rsid w:val="00D31256"/>
    <w:rsid w:val="00D3211C"/>
    <w:rsid w:val="00D3234E"/>
    <w:rsid w:val="00D3258F"/>
    <w:rsid w:val="00D32DF6"/>
    <w:rsid w:val="00D33474"/>
    <w:rsid w:val="00D34314"/>
    <w:rsid w:val="00D34B3E"/>
    <w:rsid w:val="00D35BA4"/>
    <w:rsid w:val="00D376D3"/>
    <w:rsid w:val="00D40A96"/>
    <w:rsid w:val="00D52834"/>
    <w:rsid w:val="00D557A4"/>
    <w:rsid w:val="00D55F6E"/>
    <w:rsid w:val="00D57CBA"/>
    <w:rsid w:val="00D61863"/>
    <w:rsid w:val="00D627D2"/>
    <w:rsid w:val="00D647D0"/>
    <w:rsid w:val="00D64FE9"/>
    <w:rsid w:val="00D66D9B"/>
    <w:rsid w:val="00D66EC9"/>
    <w:rsid w:val="00D70CFA"/>
    <w:rsid w:val="00D71D83"/>
    <w:rsid w:val="00D72949"/>
    <w:rsid w:val="00D736E9"/>
    <w:rsid w:val="00D77C77"/>
    <w:rsid w:val="00D81E2B"/>
    <w:rsid w:val="00D82E4A"/>
    <w:rsid w:val="00D838B4"/>
    <w:rsid w:val="00D83C93"/>
    <w:rsid w:val="00D83E1E"/>
    <w:rsid w:val="00D8762D"/>
    <w:rsid w:val="00D90A15"/>
    <w:rsid w:val="00D95E8C"/>
    <w:rsid w:val="00D97000"/>
    <w:rsid w:val="00DA0423"/>
    <w:rsid w:val="00DA2670"/>
    <w:rsid w:val="00DA4AEC"/>
    <w:rsid w:val="00DA503E"/>
    <w:rsid w:val="00DA7AF0"/>
    <w:rsid w:val="00DA7D51"/>
    <w:rsid w:val="00DB0740"/>
    <w:rsid w:val="00DB0A79"/>
    <w:rsid w:val="00DB138B"/>
    <w:rsid w:val="00DB1A11"/>
    <w:rsid w:val="00DB1E5E"/>
    <w:rsid w:val="00DB30DD"/>
    <w:rsid w:val="00DB66A9"/>
    <w:rsid w:val="00DB7058"/>
    <w:rsid w:val="00DC14BF"/>
    <w:rsid w:val="00DC1767"/>
    <w:rsid w:val="00DC1B84"/>
    <w:rsid w:val="00DC5748"/>
    <w:rsid w:val="00DC6F4F"/>
    <w:rsid w:val="00DD08F7"/>
    <w:rsid w:val="00DD3DC0"/>
    <w:rsid w:val="00DD533A"/>
    <w:rsid w:val="00DD6737"/>
    <w:rsid w:val="00DE0811"/>
    <w:rsid w:val="00DE36FE"/>
    <w:rsid w:val="00DE4911"/>
    <w:rsid w:val="00DE5CBD"/>
    <w:rsid w:val="00DF02FC"/>
    <w:rsid w:val="00DF5640"/>
    <w:rsid w:val="00E0127F"/>
    <w:rsid w:val="00E026F1"/>
    <w:rsid w:val="00E02D30"/>
    <w:rsid w:val="00E044D5"/>
    <w:rsid w:val="00E0522E"/>
    <w:rsid w:val="00E05600"/>
    <w:rsid w:val="00E11439"/>
    <w:rsid w:val="00E12054"/>
    <w:rsid w:val="00E12C46"/>
    <w:rsid w:val="00E177B4"/>
    <w:rsid w:val="00E237DC"/>
    <w:rsid w:val="00E26B5F"/>
    <w:rsid w:val="00E304D1"/>
    <w:rsid w:val="00E30BD0"/>
    <w:rsid w:val="00E33D09"/>
    <w:rsid w:val="00E42234"/>
    <w:rsid w:val="00E42F35"/>
    <w:rsid w:val="00E50D2F"/>
    <w:rsid w:val="00E50E88"/>
    <w:rsid w:val="00E52467"/>
    <w:rsid w:val="00E52777"/>
    <w:rsid w:val="00E548B9"/>
    <w:rsid w:val="00E627C9"/>
    <w:rsid w:val="00E65C5E"/>
    <w:rsid w:val="00E67392"/>
    <w:rsid w:val="00E70D4B"/>
    <w:rsid w:val="00E712E4"/>
    <w:rsid w:val="00E71557"/>
    <w:rsid w:val="00E76672"/>
    <w:rsid w:val="00E778E7"/>
    <w:rsid w:val="00E81009"/>
    <w:rsid w:val="00E826B4"/>
    <w:rsid w:val="00E82D64"/>
    <w:rsid w:val="00E82EF5"/>
    <w:rsid w:val="00E840EF"/>
    <w:rsid w:val="00E84C31"/>
    <w:rsid w:val="00E84EEA"/>
    <w:rsid w:val="00E86A54"/>
    <w:rsid w:val="00E87D6E"/>
    <w:rsid w:val="00E9086A"/>
    <w:rsid w:val="00E911F4"/>
    <w:rsid w:val="00E92A3A"/>
    <w:rsid w:val="00E932A8"/>
    <w:rsid w:val="00E9344C"/>
    <w:rsid w:val="00E9449C"/>
    <w:rsid w:val="00E94C79"/>
    <w:rsid w:val="00E96432"/>
    <w:rsid w:val="00EA5189"/>
    <w:rsid w:val="00EA68CF"/>
    <w:rsid w:val="00EB1AB6"/>
    <w:rsid w:val="00EB1E89"/>
    <w:rsid w:val="00EB6F58"/>
    <w:rsid w:val="00EC0DFA"/>
    <w:rsid w:val="00EC1BDC"/>
    <w:rsid w:val="00EC29A3"/>
    <w:rsid w:val="00EC46F2"/>
    <w:rsid w:val="00EC4917"/>
    <w:rsid w:val="00EC5943"/>
    <w:rsid w:val="00EC6713"/>
    <w:rsid w:val="00ED0A2F"/>
    <w:rsid w:val="00ED2B0A"/>
    <w:rsid w:val="00ED3388"/>
    <w:rsid w:val="00ED4412"/>
    <w:rsid w:val="00ED634F"/>
    <w:rsid w:val="00ED7ADB"/>
    <w:rsid w:val="00EE008E"/>
    <w:rsid w:val="00EE19C4"/>
    <w:rsid w:val="00EE3AB0"/>
    <w:rsid w:val="00EE55CC"/>
    <w:rsid w:val="00EE67B5"/>
    <w:rsid w:val="00EF0C78"/>
    <w:rsid w:val="00EF0CD7"/>
    <w:rsid w:val="00EF0E44"/>
    <w:rsid w:val="00EF33A3"/>
    <w:rsid w:val="00EF468F"/>
    <w:rsid w:val="00EF53C3"/>
    <w:rsid w:val="00EF71E5"/>
    <w:rsid w:val="00EF7554"/>
    <w:rsid w:val="00F009F1"/>
    <w:rsid w:val="00F06349"/>
    <w:rsid w:val="00F07FB9"/>
    <w:rsid w:val="00F1056A"/>
    <w:rsid w:val="00F11EC8"/>
    <w:rsid w:val="00F154D3"/>
    <w:rsid w:val="00F16004"/>
    <w:rsid w:val="00F17016"/>
    <w:rsid w:val="00F20655"/>
    <w:rsid w:val="00F23466"/>
    <w:rsid w:val="00F248B1"/>
    <w:rsid w:val="00F24C46"/>
    <w:rsid w:val="00F254AE"/>
    <w:rsid w:val="00F258CC"/>
    <w:rsid w:val="00F31245"/>
    <w:rsid w:val="00F31CAC"/>
    <w:rsid w:val="00F3212B"/>
    <w:rsid w:val="00F32D63"/>
    <w:rsid w:val="00F33553"/>
    <w:rsid w:val="00F33F21"/>
    <w:rsid w:val="00F3471C"/>
    <w:rsid w:val="00F35C8E"/>
    <w:rsid w:val="00F363EA"/>
    <w:rsid w:val="00F36520"/>
    <w:rsid w:val="00F37C4A"/>
    <w:rsid w:val="00F4246E"/>
    <w:rsid w:val="00F4533F"/>
    <w:rsid w:val="00F45C92"/>
    <w:rsid w:val="00F45CFC"/>
    <w:rsid w:val="00F472D9"/>
    <w:rsid w:val="00F50747"/>
    <w:rsid w:val="00F53C6F"/>
    <w:rsid w:val="00F55049"/>
    <w:rsid w:val="00F620C4"/>
    <w:rsid w:val="00F633D5"/>
    <w:rsid w:val="00F64BA9"/>
    <w:rsid w:val="00F64EA6"/>
    <w:rsid w:val="00F66724"/>
    <w:rsid w:val="00F66E43"/>
    <w:rsid w:val="00F70DDA"/>
    <w:rsid w:val="00F71408"/>
    <w:rsid w:val="00F71D7B"/>
    <w:rsid w:val="00F73089"/>
    <w:rsid w:val="00F76C81"/>
    <w:rsid w:val="00F7722A"/>
    <w:rsid w:val="00F80532"/>
    <w:rsid w:val="00F815A4"/>
    <w:rsid w:val="00F86B39"/>
    <w:rsid w:val="00F87156"/>
    <w:rsid w:val="00F8719D"/>
    <w:rsid w:val="00F91DBE"/>
    <w:rsid w:val="00F9219E"/>
    <w:rsid w:val="00F953DA"/>
    <w:rsid w:val="00F95C10"/>
    <w:rsid w:val="00F96C07"/>
    <w:rsid w:val="00F97FC3"/>
    <w:rsid w:val="00FA492C"/>
    <w:rsid w:val="00FB009D"/>
    <w:rsid w:val="00FB0A47"/>
    <w:rsid w:val="00FB25F3"/>
    <w:rsid w:val="00FB25F7"/>
    <w:rsid w:val="00FB37C3"/>
    <w:rsid w:val="00FB458D"/>
    <w:rsid w:val="00FC3468"/>
    <w:rsid w:val="00FC521F"/>
    <w:rsid w:val="00FC58EC"/>
    <w:rsid w:val="00FD1C20"/>
    <w:rsid w:val="00FD2DA4"/>
    <w:rsid w:val="00FD3608"/>
    <w:rsid w:val="00FE50FC"/>
    <w:rsid w:val="00FE6155"/>
    <w:rsid w:val="00FE6972"/>
    <w:rsid w:val="00FF3D07"/>
    <w:rsid w:val="00FF4CD3"/>
    <w:rsid w:val="00FF5D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D1DFE9"/>
  <w15:docId w15:val="{DA2408DF-A8FD-46A9-8D1E-B0925A6A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449C"/>
    <w:pPr>
      <w:spacing w:after="120"/>
    </w:pPr>
    <w:rPr>
      <w:rFonts w:ascii="Arial" w:hAnsi="Arial"/>
    </w:rPr>
  </w:style>
  <w:style w:type="paragraph" w:styleId="Heading1">
    <w:name w:val="heading 1"/>
    <w:basedOn w:val="Normal"/>
    <w:next w:val="BodyText"/>
    <w:link w:val="Heading1Char"/>
    <w:uiPriority w:val="9"/>
    <w:qFormat/>
    <w:rsid w:val="005676C9"/>
    <w:pPr>
      <w:keepNext/>
      <w:spacing w:before="120" w:line="240" w:lineRule="auto"/>
      <w:outlineLvl w:val="0"/>
    </w:pPr>
    <w:rPr>
      <w:rFonts w:eastAsia="Times New Roman" w:cs="Arial"/>
      <w:b/>
      <w:bCs/>
      <w:sz w:val="24"/>
      <w:szCs w:val="28"/>
      <w:lang w:val="en-AU"/>
    </w:rPr>
  </w:style>
  <w:style w:type="paragraph" w:styleId="Heading2">
    <w:name w:val="heading 2"/>
    <w:basedOn w:val="Normal"/>
    <w:next w:val="Normal"/>
    <w:link w:val="Heading2Char"/>
    <w:uiPriority w:val="9"/>
    <w:unhideWhenUsed/>
    <w:qFormat/>
    <w:rsid w:val="009F3C95"/>
    <w:pPr>
      <w:keepNext/>
      <w:spacing w:before="240" w:after="60" w:line="240" w:lineRule="auto"/>
      <w:outlineLvl w:val="1"/>
    </w:pPr>
    <w:rPr>
      <w:rFonts w:eastAsia="Times New Roman" w:cs="Arial"/>
      <w:b/>
      <w:bCs/>
      <w:iCs/>
      <w:szCs w:val="28"/>
      <w:lang w:val="en-GB"/>
    </w:rPr>
  </w:style>
  <w:style w:type="paragraph" w:styleId="Heading3">
    <w:name w:val="heading 3"/>
    <w:basedOn w:val="Normal"/>
    <w:next w:val="Normal"/>
    <w:link w:val="Heading3Char"/>
    <w:autoRedefine/>
    <w:uiPriority w:val="9"/>
    <w:unhideWhenUsed/>
    <w:qFormat/>
    <w:rsid w:val="00DD3DC0"/>
    <w:pPr>
      <w:keepNext/>
      <w:spacing w:before="240" w:after="60" w:line="240" w:lineRule="auto"/>
      <w:outlineLvl w:val="2"/>
    </w:pPr>
    <w:rPr>
      <w:rFonts w:eastAsia="Times New Roman" w:cs="Arial"/>
      <w:b/>
      <w:bCs/>
      <w:color w:val="1F497D" w:themeColor="text2"/>
      <w:szCs w:val="26"/>
      <w:lang w:val="en-GB"/>
    </w:rPr>
  </w:style>
  <w:style w:type="paragraph" w:styleId="Heading4">
    <w:name w:val="heading 4"/>
    <w:basedOn w:val="Normal"/>
    <w:next w:val="Normal"/>
    <w:link w:val="Heading4Char"/>
    <w:semiHidden/>
    <w:unhideWhenUsed/>
    <w:rsid w:val="00A44472"/>
    <w:pPr>
      <w:keepNext/>
      <w:numPr>
        <w:ilvl w:val="3"/>
        <w:numId w:val="2"/>
      </w:numPr>
      <w:spacing w:after="0" w:line="240" w:lineRule="auto"/>
      <w:outlineLvl w:val="3"/>
    </w:pPr>
    <w:rPr>
      <w:rFonts w:eastAsia="Times New Roman" w:cs="Times New Roman"/>
      <w:b/>
      <w:sz w:val="20"/>
      <w:szCs w:val="20"/>
      <w:lang w:val="en-AU"/>
    </w:rPr>
  </w:style>
  <w:style w:type="paragraph" w:styleId="Heading5">
    <w:name w:val="heading 5"/>
    <w:basedOn w:val="Normal"/>
    <w:next w:val="Normal"/>
    <w:link w:val="Heading5Char"/>
    <w:semiHidden/>
    <w:unhideWhenUsed/>
    <w:rsid w:val="00A44472"/>
    <w:pPr>
      <w:numPr>
        <w:ilvl w:val="4"/>
        <w:numId w:val="2"/>
      </w:numPr>
      <w:spacing w:before="240" w:after="60" w:line="240" w:lineRule="auto"/>
      <w:outlineLvl w:val="4"/>
    </w:pPr>
    <w:rPr>
      <w:rFonts w:eastAsia="Times New Roman" w:cs="Times New Roman"/>
      <w:b/>
      <w:bCs/>
      <w:i/>
      <w:iCs/>
      <w:sz w:val="26"/>
      <w:szCs w:val="26"/>
      <w:lang w:val="en-GB"/>
    </w:rPr>
  </w:style>
  <w:style w:type="paragraph" w:styleId="Heading6">
    <w:name w:val="heading 6"/>
    <w:basedOn w:val="Normal"/>
    <w:next w:val="Normal"/>
    <w:link w:val="Heading6Char"/>
    <w:semiHidden/>
    <w:unhideWhenUsed/>
    <w:rsid w:val="00A44472"/>
    <w:pPr>
      <w:keepNext/>
      <w:numPr>
        <w:ilvl w:val="5"/>
        <w:numId w:val="2"/>
      </w:numPr>
      <w:snapToGrid w:val="0"/>
      <w:spacing w:after="0" w:line="240" w:lineRule="auto"/>
      <w:outlineLvl w:val="5"/>
    </w:pPr>
    <w:rPr>
      <w:rFonts w:ascii="Tahoma" w:eastAsia="Times New Roman" w:hAnsi="Tahoma" w:cs="Times New Roman"/>
      <w:sz w:val="20"/>
      <w:szCs w:val="20"/>
      <w:u w:val="single"/>
      <w:lang w:val="en-AU"/>
    </w:rPr>
  </w:style>
  <w:style w:type="paragraph" w:styleId="Heading7">
    <w:name w:val="heading 7"/>
    <w:basedOn w:val="Normal"/>
    <w:next w:val="Normal"/>
    <w:link w:val="Heading7Char"/>
    <w:uiPriority w:val="9"/>
    <w:semiHidden/>
    <w:unhideWhenUsed/>
    <w:qFormat/>
    <w:rsid w:val="00A4447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447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44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C14FF"/>
    <w:pPr>
      <w:spacing w:after="0" w:line="240" w:lineRule="auto"/>
    </w:pPr>
    <w:rPr>
      <w:sz w:val="20"/>
      <w:szCs w:val="20"/>
    </w:rPr>
  </w:style>
  <w:style w:type="character" w:customStyle="1" w:styleId="EndnoteTextChar">
    <w:name w:val="Endnote Text Char"/>
    <w:basedOn w:val="DefaultParagraphFont"/>
    <w:link w:val="EndnoteText"/>
    <w:uiPriority w:val="99"/>
    <w:rsid w:val="005C14FF"/>
    <w:rPr>
      <w:sz w:val="20"/>
      <w:szCs w:val="20"/>
    </w:rPr>
  </w:style>
  <w:style w:type="character" w:styleId="EndnoteReference">
    <w:name w:val="endnote reference"/>
    <w:basedOn w:val="DefaultParagraphFont"/>
    <w:uiPriority w:val="99"/>
    <w:semiHidden/>
    <w:unhideWhenUsed/>
    <w:rsid w:val="005C14FF"/>
    <w:rPr>
      <w:vertAlign w:val="superscript"/>
    </w:rPr>
  </w:style>
  <w:style w:type="paragraph" w:styleId="ListParagraph">
    <w:name w:val="List Paragraph"/>
    <w:basedOn w:val="Normal"/>
    <w:link w:val="ListParagraphChar"/>
    <w:uiPriority w:val="34"/>
    <w:qFormat/>
    <w:rsid w:val="001B2AFA"/>
    <w:pPr>
      <w:spacing w:line="240" w:lineRule="auto"/>
      <w:ind w:firstLine="357"/>
      <w:contextualSpacing/>
    </w:pPr>
  </w:style>
  <w:style w:type="paragraph" w:styleId="Header">
    <w:name w:val="header"/>
    <w:basedOn w:val="Normal"/>
    <w:link w:val="HeaderChar"/>
    <w:uiPriority w:val="99"/>
    <w:unhideWhenUsed/>
    <w:rsid w:val="0043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5C"/>
  </w:style>
  <w:style w:type="paragraph" w:styleId="Footer">
    <w:name w:val="footer"/>
    <w:basedOn w:val="Normal"/>
    <w:link w:val="FooterChar"/>
    <w:uiPriority w:val="99"/>
    <w:unhideWhenUsed/>
    <w:rsid w:val="0043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5C"/>
  </w:style>
  <w:style w:type="paragraph" w:styleId="BalloonText">
    <w:name w:val="Balloon Text"/>
    <w:basedOn w:val="Normal"/>
    <w:link w:val="BalloonTextChar"/>
    <w:uiPriority w:val="99"/>
    <w:semiHidden/>
    <w:unhideWhenUsed/>
    <w:rsid w:val="0043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5C"/>
    <w:rPr>
      <w:rFonts w:ascii="Tahoma" w:hAnsi="Tahoma" w:cs="Tahoma"/>
      <w:sz w:val="16"/>
      <w:szCs w:val="16"/>
    </w:rPr>
  </w:style>
  <w:style w:type="character" w:styleId="Hyperlink">
    <w:name w:val="Hyperlink"/>
    <w:uiPriority w:val="99"/>
    <w:rsid w:val="00BC08A8"/>
    <w:rPr>
      <w:color w:val="0000FF"/>
      <w:u w:val="single"/>
    </w:rPr>
  </w:style>
  <w:style w:type="paragraph" w:styleId="NoSpacing">
    <w:name w:val="No Spacing"/>
    <w:uiPriority w:val="1"/>
    <w:qFormat/>
    <w:rsid w:val="00BC08A8"/>
    <w:pPr>
      <w:spacing w:after="0" w:line="240" w:lineRule="auto"/>
    </w:pPr>
  </w:style>
  <w:style w:type="character" w:customStyle="1" w:styleId="Heading1Char">
    <w:name w:val="Heading 1 Char"/>
    <w:basedOn w:val="DefaultParagraphFont"/>
    <w:link w:val="Heading1"/>
    <w:uiPriority w:val="9"/>
    <w:rsid w:val="005676C9"/>
    <w:rPr>
      <w:rFonts w:ascii="Arial" w:eastAsia="Times New Roman" w:hAnsi="Arial" w:cs="Arial"/>
      <w:b/>
      <w:bCs/>
      <w:sz w:val="24"/>
      <w:szCs w:val="28"/>
      <w:lang w:val="en-AU"/>
    </w:rPr>
  </w:style>
  <w:style w:type="character" w:customStyle="1" w:styleId="Heading2Char">
    <w:name w:val="Heading 2 Char"/>
    <w:basedOn w:val="DefaultParagraphFont"/>
    <w:link w:val="Heading2"/>
    <w:uiPriority w:val="9"/>
    <w:rsid w:val="009F3C95"/>
    <w:rPr>
      <w:rFonts w:ascii="Arial" w:eastAsia="Times New Roman" w:hAnsi="Arial" w:cs="Arial"/>
      <w:b/>
      <w:bCs/>
      <w:iCs/>
      <w:szCs w:val="28"/>
      <w:lang w:val="en-GB"/>
    </w:rPr>
  </w:style>
  <w:style w:type="character" w:customStyle="1" w:styleId="Heading3Char">
    <w:name w:val="Heading 3 Char"/>
    <w:basedOn w:val="DefaultParagraphFont"/>
    <w:link w:val="Heading3"/>
    <w:uiPriority w:val="9"/>
    <w:rsid w:val="00DD3DC0"/>
    <w:rPr>
      <w:rFonts w:ascii="Arial" w:eastAsia="Times New Roman" w:hAnsi="Arial" w:cs="Arial"/>
      <w:b/>
      <w:bCs/>
      <w:color w:val="1F497D" w:themeColor="text2"/>
      <w:szCs w:val="26"/>
      <w:lang w:val="en-GB"/>
    </w:rPr>
  </w:style>
  <w:style w:type="character" w:customStyle="1" w:styleId="Heading4Char">
    <w:name w:val="Heading 4 Char"/>
    <w:basedOn w:val="DefaultParagraphFont"/>
    <w:link w:val="Heading4"/>
    <w:semiHidden/>
    <w:rsid w:val="00A44472"/>
    <w:rPr>
      <w:rFonts w:ascii="Arial" w:eastAsia="Times New Roman" w:hAnsi="Arial" w:cs="Times New Roman"/>
      <w:b/>
      <w:sz w:val="20"/>
      <w:szCs w:val="20"/>
      <w:lang w:val="en-AU"/>
    </w:rPr>
  </w:style>
  <w:style w:type="character" w:customStyle="1" w:styleId="Heading5Char">
    <w:name w:val="Heading 5 Char"/>
    <w:basedOn w:val="DefaultParagraphFont"/>
    <w:link w:val="Heading5"/>
    <w:semiHidden/>
    <w:rsid w:val="00A44472"/>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semiHidden/>
    <w:rsid w:val="00A44472"/>
    <w:rPr>
      <w:rFonts w:ascii="Tahoma" w:eastAsia="Times New Roman" w:hAnsi="Tahoma" w:cs="Times New Roman"/>
      <w:sz w:val="20"/>
      <w:szCs w:val="20"/>
      <w:u w:val="single"/>
      <w:lang w:val="en-AU"/>
    </w:rPr>
  </w:style>
  <w:style w:type="character" w:customStyle="1" w:styleId="Heading7Char">
    <w:name w:val="Heading 7 Char"/>
    <w:basedOn w:val="DefaultParagraphFont"/>
    <w:link w:val="Heading7"/>
    <w:uiPriority w:val="9"/>
    <w:semiHidden/>
    <w:rsid w:val="00A444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444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4472"/>
    <w:rPr>
      <w:rFonts w:asciiTheme="majorHAnsi" w:eastAsiaTheme="majorEastAsia" w:hAnsiTheme="majorHAnsi" w:cstheme="majorBidi"/>
      <w:i/>
      <w:iCs/>
      <w:color w:val="272727" w:themeColor="text1" w:themeTint="D8"/>
      <w:sz w:val="21"/>
      <w:szCs w:val="21"/>
    </w:rPr>
  </w:style>
  <w:style w:type="table" w:styleId="LightGrid-Accent4">
    <w:name w:val="Light Grid Accent 4"/>
    <w:basedOn w:val="TableNormal"/>
    <w:uiPriority w:val="62"/>
    <w:rsid w:val="00A44472"/>
    <w:pPr>
      <w:spacing w:after="0" w:line="240" w:lineRule="auto"/>
    </w:pPr>
    <w:rPr>
      <w:rFonts w:ascii="Times New Roman" w:eastAsia="Times New Roman" w:hAnsi="Times New Roman" w:cs="Times New Roman"/>
      <w:sz w:val="20"/>
      <w:szCs w:val="20"/>
      <w:lang w:eastAsia="en-NZ"/>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odyText">
    <w:name w:val="Body Text"/>
    <w:basedOn w:val="Normal"/>
    <w:link w:val="BodyTextChar"/>
    <w:uiPriority w:val="99"/>
    <w:unhideWhenUsed/>
    <w:rsid w:val="00A44472"/>
  </w:style>
  <w:style w:type="character" w:customStyle="1" w:styleId="BodyTextChar">
    <w:name w:val="Body Text Char"/>
    <w:basedOn w:val="DefaultParagraphFont"/>
    <w:link w:val="BodyText"/>
    <w:uiPriority w:val="99"/>
    <w:rsid w:val="00A44472"/>
  </w:style>
  <w:style w:type="table" w:styleId="MediumShading1-Accent1">
    <w:name w:val="Medium Shading 1 Accent 1"/>
    <w:basedOn w:val="TableNormal"/>
    <w:uiPriority w:val="63"/>
    <w:rsid w:val="007102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7102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uiPriority w:val="99"/>
    <w:unhideWhenUsed/>
    <w:rsid w:val="00710287"/>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710287"/>
    <w:rPr>
      <w:rFonts w:ascii="Arial" w:eastAsia="Times New Roman" w:hAnsi="Arial" w:cs="Times New Roman"/>
      <w:sz w:val="20"/>
      <w:szCs w:val="20"/>
      <w:lang w:val="en-GB"/>
    </w:rPr>
  </w:style>
  <w:style w:type="paragraph" w:styleId="CommentText">
    <w:name w:val="annotation text"/>
    <w:basedOn w:val="Normal"/>
    <w:link w:val="CommentTextChar"/>
    <w:uiPriority w:val="99"/>
    <w:semiHidden/>
    <w:unhideWhenUsed/>
    <w:rsid w:val="0071028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uiPriority w:val="99"/>
    <w:semiHidden/>
    <w:rsid w:val="00710287"/>
    <w:rPr>
      <w:rFonts w:ascii="Arial" w:eastAsia="Times New Roman" w:hAnsi="Arial" w:cs="Times New Roman"/>
      <w:sz w:val="20"/>
      <w:szCs w:val="20"/>
      <w:lang w:val="en-GB"/>
    </w:rPr>
  </w:style>
  <w:style w:type="paragraph" w:customStyle="1" w:styleId="BodySingle">
    <w:name w:val="Body Single"/>
    <w:basedOn w:val="Normal"/>
    <w:rsid w:val="00710287"/>
    <w:pPr>
      <w:spacing w:after="0"/>
    </w:pPr>
    <w:rPr>
      <w:rFonts w:eastAsia="Times New Roman" w:cs="Times New Roman"/>
      <w:lang w:val="en-US"/>
    </w:rPr>
  </w:style>
  <w:style w:type="character" w:styleId="FootnoteReference">
    <w:name w:val="footnote reference"/>
    <w:basedOn w:val="DefaultParagraphFont"/>
    <w:uiPriority w:val="99"/>
    <w:semiHidden/>
    <w:unhideWhenUsed/>
    <w:rsid w:val="00710287"/>
    <w:rPr>
      <w:vertAlign w:val="superscript"/>
    </w:rPr>
  </w:style>
  <w:style w:type="character" w:styleId="CommentReference">
    <w:name w:val="annotation reference"/>
    <w:basedOn w:val="DefaultParagraphFont"/>
    <w:uiPriority w:val="99"/>
    <w:semiHidden/>
    <w:unhideWhenUsed/>
    <w:rsid w:val="00710287"/>
    <w:rPr>
      <w:sz w:val="16"/>
      <w:szCs w:val="16"/>
    </w:rPr>
  </w:style>
  <w:style w:type="table" w:styleId="TableGrid">
    <w:name w:val="Table Grid"/>
    <w:basedOn w:val="TableNormal"/>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6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D6A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2D6AB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DarkList-Accent1">
    <w:name w:val="Dark List Accent 1"/>
    <w:basedOn w:val="TableNormal"/>
    <w:uiPriority w:val="70"/>
    <w:rsid w:val="002D6AB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List2-Accent1">
    <w:name w:val="Medium List 2 Accent 1"/>
    <w:basedOn w:val="TableNormal"/>
    <w:uiPriority w:val="66"/>
    <w:rsid w:val="002D6A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A472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rsid w:val="005F494E"/>
    <w:pPr>
      <w:keepNext/>
      <w:keepLines/>
      <w:spacing w:after="300" w:line="240" w:lineRule="auto"/>
      <w:jc w:val="center"/>
    </w:pPr>
    <w:rPr>
      <w:rFonts w:eastAsiaTheme="majorEastAsia" w:cstheme="majorBidi"/>
      <w:color w:val="000000" w:themeColor="text1"/>
      <w:spacing w:val="5"/>
      <w:kern w:val="28"/>
      <w:sz w:val="36"/>
      <w:szCs w:val="52"/>
    </w:rPr>
  </w:style>
  <w:style w:type="character" w:customStyle="1" w:styleId="TitleChar">
    <w:name w:val="Title Char"/>
    <w:basedOn w:val="DefaultParagraphFont"/>
    <w:link w:val="Title"/>
    <w:uiPriority w:val="10"/>
    <w:rsid w:val="005F494E"/>
    <w:rPr>
      <w:rFonts w:ascii="Arial" w:eastAsiaTheme="majorEastAsia" w:hAnsi="Arial" w:cstheme="majorBidi"/>
      <w:color w:val="000000" w:themeColor="text1"/>
      <w:spacing w:val="5"/>
      <w:kern w:val="28"/>
      <w:sz w:val="36"/>
      <w:szCs w:val="52"/>
    </w:rPr>
  </w:style>
  <w:style w:type="paragraph" w:styleId="Subtitle">
    <w:name w:val="Subtitle"/>
    <w:basedOn w:val="Normal"/>
    <w:next w:val="Normal"/>
    <w:link w:val="SubtitleChar"/>
    <w:uiPriority w:val="11"/>
    <w:rsid w:val="005F494E"/>
    <w:pPr>
      <w:numPr>
        <w:ilvl w:val="1"/>
      </w:numPr>
      <w:spacing w:line="240" w:lineRule="auto"/>
      <w:jc w:val="center"/>
    </w:pPr>
    <w:rPr>
      <w:rFonts w:eastAsiaTheme="majorEastAsia" w:cstheme="majorBidi"/>
      <w:iCs/>
      <w:color w:val="000000" w:themeColor="text1"/>
      <w:spacing w:val="15"/>
      <w:sz w:val="32"/>
      <w:szCs w:val="24"/>
    </w:rPr>
  </w:style>
  <w:style w:type="character" w:customStyle="1" w:styleId="SubtitleChar">
    <w:name w:val="Subtitle Char"/>
    <w:basedOn w:val="DefaultParagraphFont"/>
    <w:link w:val="Subtitle"/>
    <w:uiPriority w:val="11"/>
    <w:rsid w:val="005F494E"/>
    <w:rPr>
      <w:rFonts w:ascii="Arial" w:eastAsiaTheme="majorEastAsia" w:hAnsi="Arial" w:cstheme="majorBidi"/>
      <w:iCs/>
      <w:color w:val="000000" w:themeColor="text1"/>
      <w:spacing w:val="15"/>
      <w:sz w:val="32"/>
      <w:szCs w:val="24"/>
    </w:rPr>
  </w:style>
  <w:style w:type="paragraph" w:styleId="TOCHeading">
    <w:name w:val="TOC Heading"/>
    <w:basedOn w:val="Heading1"/>
    <w:next w:val="Normal"/>
    <w:uiPriority w:val="39"/>
    <w:unhideWhenUsed/>
    <w:qFormat/>
    <w:rsid w:val="00593614"/>
    <w:pPr>
      <w:keepLines/>
      <w:spacing w:before="240" w:after="0" w:line="259" w:lineRule="auto"/>
      <w:outlineLvl w:val="9"/>
    </w:pPr>
    <w:rPr>
      <w:rFonts w:eastAsiaTheme="majorEastAsia" w:cstheme="majorBidi"/>
      <w:bCs w:val="0"/>
      <w:color w:val="365F91" w:themeColor="accent1" w:themeShade="BF"/>
      <w:sz w:val="32"/>
      <w:szCs w:val="32"/>
      <w:lang w:val="en-NZ"/>
    </w:rPr>
  </w:style>
  <w:style w:type="paragraph" w:styleId="TOC1">
    <w:name w:val="toc 1"/>
    <w:basedOn w:val="Normal"/>
    <w:next w:val="Normal"/>
    <w:autoRedefine/>
    <w:uiPriority w:val="39"/>
    <w:unhideWhenUsed/>
    <w:rsid w:val="00C557AF"/>
    <w:pPr>
      <w:tabs>
        <w:tab w:val="right" w:leader="dot" w:pos="9016"/>
      </w:tabs>
      <w:spacing w:after="100"/>
    </w:pPr>
    <w:rPr>
      <w:noProof/>
    </w:rPr>
  </w:style>
  <w:style w:type="paragraph" w:styleId="TOC2">
    <w:name w:val="toc 2"/>
    <w:basedOn w:val="Normal"/>
    <w:next w:val="Normal"/>
    <w:autoRedefine/>
    <w:uiPriority w:val="39"/>
    <w:unhideWhenUsed/>
    <w:rsid w:val="009C3ED8"/>
    <w:pPr>
      <w:tabs>
        <w:tab w:val="right" w:leader="dot" w:pos="9016"/>
      </w:tabs>
      <w:spacing w:after="100"/>
      <w:ind w:left="220"/>
    </w:pPr>
    <w:rPr>
      <w:noProof/>
      <w14:textOutline w14:w="9525" w14:cap="rnd" w14:cmpd="sng" w14:algn="ctr">
        <w14:noFill/>
        <w14:prstDash w14:val="solid"/>
        <w14:bevel/>
      </w14:textOutline>
    </w:rPr>
  </w:style>
  <w:style w:type="paragraph" w:styleId="TOC3">
    <w:name w:val="toc 3"/>
    <w:basedOn w:val="Normal"/>
    <w:next w:val="Normal"/>
    <w:autoRedefine/>
    <w:uiPriority w:val="39"/>
    <w:unhideWhenUsed/>
    <w:rsid w:val="00D306C3"/>
    <w:pPr>
      <w:tabs>
        <w:tab w:val="right" w:leader="dot" w:pos="9016"/>
      </w:tabs>
      <w:spacing w:after="100"/>
      <w:ind w:left="440"/>
    </w:pPr>
    <w:rPr>
      <w:noProof/>
    </w:rPr>
  </w:style>
  <w:style w:type="paragraph" w:styleId="CommentSubject">
    <w:name w:val="annotation subject"/>
    <w:basedOn w:val="CommentText"/>
    <w:next w:val="CommentText"/>
    <w:link w:val="CommentSubjectChar"/>
    <w:uiPriority w:val="99"/>
    <w:semiHidden/>
    <w:unhideWhenUsed/>
    <w:rsid w:val="00C11800"/>
    <w:pPr>
      <w:spacing w:after="12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C11800"/>
    <w:rPr>
      <w:rFonts w:ascii="Arial" w:eastAsia="Times New Roman" w:hAnsi="Arial" w:cs="Times New Roman"/>
      <w:b/>
      <w:bCs/>
      <w:sz w:val="20"/>
      <w:szCs w:val="20"/>
      <w:lang w:val="en-GB"/>
    </w:rPr>
  </w:style>
  <w:style w:type="table" w:styleId="LightShading-Accent1">
    <w:name w:val="Light Shading Accent 1"/>
    <w:basedOn w:val="TableNormal"/>
    <w:uiPriority w:val="60"/>
    <w:rsid w:val="00B555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locked/>
    <w:rsid w:val="001B2AFA"/>
    <w:rPr>
      <w:rFonts w:ascii="Arial" w:hAnsi="Arial"/>
    </w:rPr>
  </w:style>
  <w:style w:type="paragraph" w:customStyle="1" w:styleId="Bullet2">
    <w:name w:val="Bullet 2"/>
    <w:basedOn w:val="Normal"/>
    <w:rsid w:val="009A3712"/>
    <w:pPr>
      <w:numPr>
        <w:numId w:val="4"/>
      </w:numPr>
      <w:spacing w:line="280" w:lineRule="atLeast"/>
    </w:pPr>
    <w:rPr>
      <w:rFonts w:eastAsia="Times New Roman" w:cs="Times New Roman"/>
      <w:sz w:val="20"/>
      <w:szCs w:val="24"/>
      <w:lang w:eastAsia="en-GB"/>
    </w:rPr>
  </w:style>
  <w:style w:type="paragraph" w:customStyle="1" w:styleId="H1evidencesummary">
    <w:name w:val="H1 evidence summary"/>
    <w:basedOn w:val="Normal"/>
    <w:link w:val="H1evidencesummaryChar"/>
    <w:qFormat/>
    <w:rsid w:val="00D035F3"/>
    <w:pPr>
      <w:spacing w:before="360" w:after="200"/>
    </w:pPr>
    <w:rPr>
      <w:rFonts w:eastAsia="Cambria" w:cs="Arial"/>
      <w:b/>
      <w:color w:val="00467F"/>
      <w:sz w:val="28"/>
      <w:szCs w:val="28"/>
      <w:lang w:val="en-AU"/>
    </w:rPr>
  </w:style>
  <w:style w:type="character" w:customStyle="1" w:styleId="H1evidencesummaryChar">
    <w:name w:val="H1 evidence summary Char"/>
    <w:basedOn w:val="DefaultParagraphFont"/>
    <w:link w:val="H1evidencesummary"/>
    <w:rsid w:val="00D035F3"/>
    <w:rPr>
      <w:rFonts w:ascii="Arial" w:eastAsia="Cambria" w:hAnsi="Arial" w:cs="Arial"/>
      <w:b/>
      <w:color w:val="00467F"/>
      <w:sz w:val="28"/>
      <w:szCs w:val="28"/>
      <w:lang w:val="en-AU"/>
    </w:rPr>
  </w:style>
  <w:style w:type="paragraph" w:customStyle="1" w:styleId="H2evidencesummary">
    <w:name w:val="H2 evidence summary"/>
    <w:basedOn w:val="Heading3"/>
    <w:link w:val="H2evidencesummaryChar"/>
    <w:qFormat/>
    <w:rsid w:val="00D035F3"/>
    <w:pPr>
      <w:keepLines/>
      <w:spacing w:before="360" w:after="240" w:line="276" w:lineRule="auto"/>
    </w:pPr>
    <w:rPr>
      <w:rFonts w:eastAsia="Cambria"/>
      <w:bCs w:val="0"/>
      <w:color w:val="auto"/>
      <w:sz w:val="24"/>
      <w:szCs w:val="22"/>
      <w:lang w:val="en-AU"/>
    </w:rPr>
  </w:style>
  <w:style w:type="character" w:customStyle="1" w:styleId="H2evidencesummaryChar">
    <w:name w:val="H2 evidence summary Char"/>
    <w:basedOn w:val="Heading3Char"/>
    <w:link w:val="H2evidencesummary"/>
    <w:rsid w:val="00D035F3"/>
    <w:rPr>
      <w:rFonts w:ascii="Arial" w:eastAsia="Cambria" w:hAnsi="Arial" w:cs="Arial"/>
      <w:b/>
      <w:bCs w:val="0"/>
      <w:color w:val="auto"/>
      <w:sz w:val="24"/>
      <w:szCs w:val="26"/>
      <w:lang w:val="en-AU"/>
    </w:rPr>
  </w:style>
  <w:style w:type="paragraph" w:customStyle="1" w:styleId="Bodyevidencesummary">
    <w:name w:val="Body evidence summary"/>
    <w:basedOn w:val="Normal"/>
    <w:link w:val="BodyevidencesummaryChar"/>
    <w:qFormat/>
    <w:rsid w:val="00D035F3"/>
    <w:pPr>
      <w:spacing w:after="200"/>
    </w:pPr>
    <w:rPr>
      <w:rFonts w:cs="Arial"/>
      <w:lang w:val="en-AU"/>
    </w:rPr>
  </w:style>
  <w:style w:type="character" w:customStyle="1" w:styleId="BodyevidencesummaryChar">
    <w:name w:val="Body evidence summary Char"/>
    <w:basedOn w:val="DefaultParagraphFont"/>
    <w:link w:val="Bodyevidencesummary"/>
    <w:rsid w:val="00D035F3"/>
    <w:rPr>
      <w:rFonts w:ascii="Arial" w:hAnsi="Arial" w:cs="Arial"/>
      <w:lang w:val="en-AU"/>
    </w:rPr>
  </w:style>
  <w:style w:type="paragraph" w:customStyle="1" w:styleId="Bulletsevidencesummary">
    <w:name w:val="Bullets evidence summary"/>
    <w:basedOn w:val="Normal"/>
    <w:link w:val="BulletsevidencesummaryChar"/>
    <w:qFormat/>
    <w:rsid w:val="00394CE8"/>
    <w:pPr>
      <w:tabs>
        <w:tab w:val="left" w:pos="720"/>
      </w:tabs>
      <w:spacing w:after="0"/>
      <w:contextualSpacing/>
    </w:pPr>
    <w:rPr>
      <w:rFonts w:cs="Arial"/>
      <w:lang w:val="en-AU"/>
    </w:rPr>
  </w:style>
  <w:style w:type="character" w:customStyle="1" w:styleId="BulletsevidencesummaryChar">
    <w:name w:val="Bullets evidence summary Char"/>
    <w:basedOn w:val="DefaultParagraphFont"/>
    <w:link w:val="Bulletsevidencesummary"/>
    <w:rsid w:val="00394CE8"/>
    <w:rPr>
      <w:rFonts w:ascii="Arial" w:hAnsi="Arial" w:cs="Arial"/>
      <w:lang w:val="en-AU"/>
    </w:rPr>
  </w:style>
  <w:style w:type="paragraph" w:customStyle="1" w:styleId="H3evidencesummary">
    <w:name w:val="H3 evidence summary"/>
    <w:basedOn w:val="H2evidencesummary"/>
    <w:link w:val="H3evidencesummaryChar"/>
    <w:qFormat/>
    <w:rsid w:val="00D035F3"/>
    <w:rPr>
      <w:i/>
    </w:rPr>
  </w:style>
  <w:style w:type="character" w:customStyle="1" w:styleId="H3evidencesummaryChar">
    <w:name w:val="H3 evidence summary Char"/>
    <w:basedOn w:val="H2evidencesummaryChar"/>
    <w:link w:val="H3evidencesummary"/>
    <w:rsid w:val="00D035F3"/>
    <w:rPr>
      <w:rFonts w:ascii="Arial" w:eastAsia="Cambria" w:hAnsi="Arial" w:cs="Arial"/>
      <w:b/>
      <w:bCs w:val="0"/>
      <w:i/>
      <w:color w:val="auto"/>
      <w:sz w:val="24"/>
      <w:szCs w:val="26"/>
      <w:lang w:val="en-AU"/>
    </w:rPr>
  </w:style>
  <w:style w:type="paragraph" w:customStyle="1" w:styleId="H4evidnecesummary">
    <w:name w:val="H4 evidnece summary"/>
    <w:basedOn w:val="Normal"/>
    <w:link w:val="H4evidnecesummaryChar"/>
    <w:qFormat/>
    <w:rsid w:val="00D035F3"/>
    <w:pPr>
      <w:spacing w:after="200"/>
    </w:pPr>
    <w:rPr>
      <w:rFonts w:cs="Arial"/>
      <w:i/>
      <w:color w:val="00467F"/>
      <w:lang w:val="en-AU"/>
    </w:rPr>
  </w:style>
  <w:style w:type="character" w:customStyle="1" w:styleId="H4evidnecesummaryChar">
    <w:name w:val="H4 evidnece summary Char"/>
    <w:basedOn w:val="DefaultParagraphFont"/>
    <w:link w:val="H4evidnecesummary"/>
    <w:rsid w:val="00D035F3"/>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D035F3"/>
    <w:pPr>
      <w:spacing w:after="240"/>
      <w:ind w:left="714" w:hanging="357"/>
    </w:pPr>
  </w:style>
  <w:style w:type="character" w:customStyle="1" w:styleId="BulletslastevidencesummaryChar">
    <w:name w:val="Bullets last evidence summary Char"/>
    <w:basedOn w:val="BulletsevidencesummaryChar"/>
    <w:link w:val="Bulletslastevidencesummary"/>
    <w:rsid w:val="00D035F3"/>
    <w:rPr>
      <w:rFonts w:ascii="Arial" w:hAnsi="Arial" w:cs="Arial"/>
      <w:lang w:val="en-AU"/>
    </w:rPr>
  </w:style>
  <w:style w:type="paragraph" w:customStyle="1" w:styleId="Body">
    <w:name w:val="Body"/>
    <w:basedOn w:val="Normal"/>
    <w:link w:val="BodyChar"/>
    <w:uiPriority w:val="99"/>
    <w:qFormat/>
    <w:rsid w:val="00D035F3"/>
    <w:pPr>
      <w:autoSpaceDE w:val="0"/>
      <w:autoSpaceDN w:val="0"/>
      <w:adjustRightInd w:val="0"/>
    </w:pPr>
    <w:rPr>
      <w:rFonts w:eastAsia="Avenir-Book" w:cs="Arial"/>
      <w:color w:val="auto"/>
      <w:lang w:val="en-GB"/>
    </w:rPr>
  </w:style>
  <w:style w:type="character" w:customStyle="1" w:styleId="BodyChar">
    <w:name w:val="Body Char"/>
    <w:basedOn w:val="DefaultParagraphFont"/>
    <w:link w:val="Body"/>
    <w:uiPriority w:val="99"/>
    <w:rsid w:val="00D035F3"/>
    <w:rPr>
      <w:rFonts w:ascii="Arial" w:eastAsia="Avenir-Book" w:hAnsi="Arial" w:cs="Arial"/>
      <w:color w:val="auto"/>
      <w:lang w:val="en-GB"/>
    </w:rPr>
  </w:style>
  <w:style w:type="paragraph" w:styleId="Caption">
    <w:name w:val="caption"/>
    <w:basedOn w:val="Normal"/>
    <w:next w:val="Normal"/>
    <w:uiPriority w:val="35"/>
    <w:unhideWhenUsed/>
    <w:qFormat/>
    <w:rsid w:val="00D035F3"/>
    <w:pPr>
      <w:spacing w:after="200" w:line="240" w:lineRule="auto"/>
    </w:pPr>
    <w:rPr>
      <w:rFonts w:ascii="Calibri" w:hAnsi="Calibri"/>
      <w:i/>
      <w:iCs/>
      <w:color w:val="1F497D" w:themeColor="text2"/>
      <w:sz w:val="18"/>
      <w:szCs w:val="18"/>
    </w:rPr>
  </w:style>
  <w:style w:type="character" w:styleId="UnresolvedMention">
    <w:name w:val="Unresolved Mention"/>
    <w:basedOn w:val="DefaultParagraphFont"/>
    <w:uiPriority w:val="99"/>
    <w:semiHidden/>
    <w:unhideWhenUsed/>
    <w:rsid w:val="00EA5189"/>
    <w:rPr>
      <w:color w:val="605E5C"/>
      <w:shd w:val="clear" w:color="auto" w:fill="E1DFDD"/>
    </w:rPr>
  </w:style>
  <w:style w:type="paragraph" w:styleId="Revision">
    <w:name w:val="Revision"/>
    <w:hidden/>
    <w:uiPriority w:val="99"/>
    <w:semiHidden/>
    <w:rsid w:val="00DB0740"/>
    <w:pPr>
      <w:spacing w:after="0" w:line="240" w:lineRule="auto"/>
    </w:pPr>
    <w:rPr>
      <w:rFonts w:ascii="Arial" w:hAnsi="Arial"/>
    </w:rPr>
  </w:style>
  <w:style w:type="table" w:styleId="GridTable5Dark-Accent1">
    <w:name w:val="Grid Table 5 Dark Accent 1"/>
    <w:basedOn w:val="TableNormal"/>
    <w:uiPriority w:val="50"/>
    <w:rsid w:val="00CB0E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344342"/>
    <w:rPr>
      <w:color w:val="800080" w:themeColor="followedHyperlink"/>
      <w:u w:val="single"/>
    </w:rPr>
  </w:style>
  <w:style w:type="paragraph" w:customStyle="1" w:styleId="TableParagraph">
    <w:name w:val="Table Paragraph"/>
    <w:basedOn w:val="Normal"/>
    <w:uiPriority w:val="1"/>
    <w:qFormat/>
    <w:rsid w:val="00A64843"/>
    <w:pPr>
      <w:widowControl w:val="0"/>
      <w:autoSpaceDE w:val="0"/>
      <w:autoSpaceDN w:val="0"/>
      <w:spacing w:after="0" w:line="240" w:lineRule="auto"/>
    </w:pPr>
    <w:rPr>
      <w:rFonts w:ascii="Calibri" w:hAnsi="Calibri"/>
      <w:color w:val="auto"/>
      <w:lang w:val="en-US"/>
    </w:rPr>
  </w:style>
  <w:style w:type="paragraph" w:customStyle="1" w:styleId="Figuretitle">
    <w:name w:val="Figure title"/>
    <w:basedOn w:val="Normal"/>
    <w:rsid w:val="00DA2670"/>
    <w:pPr>
      <w:spacing w:before="120"/>
    </w:pPr>
    <w:rPr>
      <w:rFonts w:eastAsia="Cambria" w:cs="Arial"/>
      <w:b/>
      <w:sz w:val="20"/>
      <w:lang w:val="en-GB"/>
    </w:rPr>
  </w:style>
  <w:style w:type="character" w:styleId="PageNumber">
    <w:name w:val="page number"/>
    <w:basedOn w:val="DefaultParagraphFont"/>
    <w:uiPriority w:val="99"/>
    <w:semiHidden/>
    <w:unhideWhenUsed/>
    <w:rsid w:val="0039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6137">
      <w:bodyDiv w:val="1"/>
      <w:marLeft w:val="0"/>
      <w:marRight w:val="0"/>
      <w:marTop w:val="0"/>
      <w:marBottom w:val="0"/>
      <w:divBdr>
        <w:top w:val="none" w:sz="0" w:space="0" w:color="auto"/>
        <w:left w:val="none" w:sz="0" w:space="0" w:color="auto"/>
        <w:bottom w:val="none" w:sz="0" w:space="0" w:color="auto"/>
        <w:right w:val="none" w:sz="0" w:space="0" w:color="auto"/>
      </w:divBdr>
    </w:div>
    <w:div w:id="197163565">
      <w:bodyDiv w:val="1"/>
      <w:marLeft w:val="0"/>
      <w:marRight w:val="0"/>
      <w:marTop w:val="0"/>
      <w:marBottom w:val="0"/>
      <w:divBdr>
        <w:top w:val="none" w:sz="0" w:space="0" w:color="auto"/>
        <w:left w:val="none" w:sz="0" w:space="0" w:color="auto"/>
        <w:bottom w:val="none" w:sz="0" w:space="0" w:color="auto"/>
        <w:right w:val="none" w:sz="0" w:space="0" w:color="auto"/>
      </w:divBdr>
    </w:div>
    <w:div w:id="372197552">
      <w:bodyDiv w:val="1"/>
      <w:marLeft w:val="0"/>
      <w:marRight w:val="0"/>
      <w:marTop w:val="0"/>
      <w:marBottom w:val="0"/>
      <w:divBdr>
        <w:top w:val="none" w:sz="0" w:space="0" w:color="auto"/>
        <w:left w:val="none" w:sz="0" w:space="0" w:color="auto"/>
        <w:bottom w:val="none" w:sz="0" w:space="0" w:color="auto"/>
        <w:right w:val="none" w:sz="0" w:space="0" w:color="auto"/>
      </w:divBdr>
    </w:div>
    <w:div w:id="913054472">
      <w:bodyDiv w:val="1"/>
      <w:marLeft w:val="0"/>
      <w:marRight w:val="0"/>
      <w:marTop w:val="0"/>
      <w:marBottom w:val="0"/>
      <w:divBdr>
        <w:top w:val="none" w:sz="0" w:space="0" w:color="auto"/>
        <w:left w:val="none" w:sz="0" w:space="0" w:color="auto"/>
        <w:bottom w:val="none" w:sz="0" w:space="0" w:color="auto"/>
        <w:right w:val="none" w:sz="0" w:space="0" w:color="auto"/>
      </w:divBdr>
    </w:div>
    <w:div w:id="1087845078">
      <w:bodyDiv w:val="1"/>
      <w:marLeft w:val="0"/>
      <w:marRight w:val="0"/>
      <w:marTop w:val="0"/>
      <w:marBottom w:val="0"/>
      <w:divBdr>
        <w:top w:val="none" w:sz="0" w:space="0" w:color="auto"/>
        <w:left w:val="none" w:sz="0" w:space="0" w:color="auto"/>
        <w:bottom w:val="none" w:sz="0" w:space="0" w:color="auto"/>
        <w:right w:val="none" w:sz="0" w:space="0" w:color="auto"/>
      </w:divBdr>
    </w:div>
    <w:div w:id="1228612350">
      <w:bodyDiv w:val="1"/>
      <w:marLeft w:val="0"/>
      <w:marRight w:val="0"/>
      <w:marTop w:val="0"/>
      <w:marBottom w:val="0"/>
      <w:divBdr>
        <w:top w:val="none" w:sz="0" w:space="0" w:color="auto"/>
        <w:left w:val="none" w:sz="0" w:space="0" w:color="auto"/>
        <w:bottom w:val="none" w:sz="0" w:space="0" w:color="auto"/>
        <w:right w:val="none" w:sz="0" w:space="0" w:color="auto"/>
      </w:divBdr>
    </w:div>
    <w:div w:id="1480803512">
      <w:bodyDiv w:val="1"/>
      <w:marLeft w:val="0"/>
      <w:marRight w:val="0"/>
      <w:marTop w:val="0"/>
      <w:marBottom w:val="0"/>
      <w:divBdr>
        <w:top w:val="none" w:sz="0" w:space="0" w:color="auto"/>
        <w:left w:val="none" w:sz="0" w:space="0" w:color="auto"/>
        <w:bottom w:val="none" w:sz="0" w:space="0" w:color="auto"/>
        <w:right w:val="none" w:sz="0" w:space="0" w:color="auto"/>
      </w:divBdr>
    </w:div>
    <w:div w:id="1819303020">
      <w:bodyDiv w:val="1"/>
      <w:marLeft w:val="0"/>
      <w:marRight w:val="0"/>
      <w:marTop w:val="0"/>
      <w:marBottom w:val="0"/>
      <w:divBdr>
        <w:top w:val="none" w:sz="0" w:space="0" w:color="auto"/>
        <w:left w:val="none" w:sz="0" w:space="0" w:color="auto"/>
        <w:bottom w:val="none" w:sz="0" w:space="0" w:color="auto"/>
        <w:right w:val="none" w:sz="0" w:space="0" w:color="auto"/>
      </w:divBdr>
    </w:div>
    <w:div w:id="1849519724">
      <w:bodyDiv w:val="1"/>
      <w:marLeft w:val="0"/>
      <w:marRight w:val="0"/>
      <w:marTop w:val="0"/>
      <w:marBottom w:val="0"/>
      <w:divBdr>
        <w:top w:val="none" w:sz="0" w:space="0" w:color="auto"/>
        <w:left w:val="none" w:sz="0" w:space="0" w:color="auto"/>
        <w:bottom w:val="none" w:sz="0" w:space="0" w:color="auto"/>
        <w:right w:val="none" w:sz="0" w:space="0" w:color="auto"/>
      </w:divBdr>
    </w:div>
    <w:div w:id="1903759057">
      <w:bodyDiv w:val="1"/>
      <w:marLeft w:val="0"/>
      <w:marRight w:val="0"/>
      <w:marTop w:val="0"/>
      <w:marBottom w:val="0"/>
      <w:divBdr>
        <w:top w:val="none" w:sz="0" w:space="0" w:color="auto"/>
        <w:left w:val="none" w:sz="0" w:space="0" w:color="auto"/>
        <w:bottom w:val="none" w:sz="0" w:space="0" w:color="auto"/>
        <w:right w:val="none" w:sz="0" w:space="0" w:color="auto"/>
      </w:divBdr>
    </w:div>
    <w:div w:id="1940528308">
      <w:bodyDiv w:val="1"/>
      <w:marLeft w:val="0"/>
      <w:marRight w:val="0"/>
      <w:marTop w:val="0"/>
      <w:marBottom w:val="0"/>
      <w:divBdr>
        <w:top w:val="none" w:sz="0" w:space="0" w:color="auto"/>
        <w:left w:val="none" w:sz="0" w:space="0" w:color="auto"/>
        <w:bottom w:val="none" w:sz="0" w:space="0" w:color="auto"/>
        <w:right w:val="none" w:sz="0" w:space="0" w:color="auto"/>
      </w:divBdr>
    </w:div>
    <w:div w:id="1954289699">
      <w:bodyDiv w:val="1"/>
      <w:marLeft w:val="0"/>
      <w:marRight w:val="0"/>
      <w:marTop w:val="0"/>
      <w:marBottom w:val="0"/>
      <w:divBdr>
        <w:top w:val="none" w:sz="0" w:space="0" w:color="auto"/>
        <w:left w:val="none" w:sz="0" w:space="0" w:color="auto"/>
        <w:bottom w:val="none" w:sz="0" w:space="0" w:color="auto"/>
        <w:right w:val="none" w:sz="0" w:space="0" w:color="auto"/>
      </w:divBdr>
    </w:div>
    <w:div w:id="20145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hqsc.govt.nz/our-programmes/safe-surgery-nz/publications-and-resources/publication/434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qsc.govt.n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reativecommons.org/licenses/by-nc/4.0/" TargetMode="External"/><Relationship Id="rId20" Type="http://schemas.openxmlformats.org/officeDocument/2006/relationships/hyperlink" Target="https://www.hqsc.govt.nz/our-programmes/safe-surgery-nz/projects/surgical-teamwork-and-communication/proof-of-concept-proje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reativecommons.org/licenses/by-nc/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qsc.govt.nz/our-programmes/safe-surgery-nz/publications-and-resources/publication/220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C7EF5-861B-48C3-AE2D-394565CAF6AD}">
  <ds:schemaRefs>
    <ds:schemaRef ds:uri="Microsoft.SharePoint.Taxonomy.ContentTypeSync"/>
  </ds:schemaRefs>
</ds:datastoreItem>
</file>

<file path=customXml/itemProps2.xml><?xml version="1.0" encoding="utf-8"?>
<ds:datastoreItem xmlns:ds="http://schemas.openxmlformats.org/officeDocument/2006/customXml" ds:itemID="{46CB23DB-A791-4169-B4CD-3FCED74B58C7}">
  <ds:schemaRefs>
    <ds:schemaRef ds:uri="http://schemas.openxmlformats.org/officeDocument/2006/bibliography"/>
  </ds:schemaRefs>
</ds:datastoreItem>
</file>

<file path=customXml/itemProps3.xml><?xml version="1.0" encoding="utf-8"?>
<ds:datastoreItem xmlns:ds="http://schemas.openxmlformats.org/officeDocument/2006/customXml" ds:itemID="{BD0892F9-1AE4-4E57-9D07-EC711A8FD5C9}">
  <ds:schemaRefs>
    <ds:schemaRef ds:uri="http://schemas.openxmlformats.org/package/2006/metadata/core-properties"/>
    <ds:schemaRef ds:uri="7195f19f-1c08-4647-b11c-ef8ab36169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ef9904b-9bca-4a1b-aca3-78dad2044d15"/>
    <ds:schemaRef ds:uri="http://www.w3.org/XML/1998/namespace"/>
    <ds:schemaRef ds:uri="http://purl.org/dc/dcmitype/"/>
  </ds:schemaRefs>
</ds:datastoreItem>
</file>

<file path=customXml/itemProps4.xml><?xml version="1.0" encoding="utf-8"?>
<ds:datastoreItem xmlns:ds="http://schemas.openxmlformats.org/officeDocument/2006/customXml" ds:itemID="{19864876-05D3-469A-BC30-3169D13E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79251-6F3F-468F-94ED-43058056A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Patient deterioration - preparation and implemenation guide</vt:lpstr>
    </vt:vector>
  </TitlesOfParts>
  <Company>Toshiba</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deterioration - preparation and implemenation guide</dc:title>
  <dc:subject/>
  <dc:creator>Emma Forbes</dc:creator>
  <cp:keywords/>
  <dc:description/>
  <cp:lastModifiedBy>Jocasta Whittingham</cp:lastModifiedBy>
  <cp:revision>3</cp:revision>
  <cp:lastPrinted>2021-08-05T03:51:00Z</cp:lastPrinted>
  <dcterms:created xsi:type="dcterms:W3CDTF">2021-08-05T03:50:00Z</dcterms:created>
  <dcterms:modified xsi:type="dcterms:W3CDTF">2021-08-05T03:51:00Z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_dlc_DocIdItemGuid">
    <vt:lpwstr>894d815b-a8c5-4f0a-840c-801bb1effdc9</vt:lpwstr>
  </property>
</Properties>
</file>