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7406B" w14:textId="77777777" w:rsidR="00FB680E" w:rsidRPr="004F5A83" w:rsidRDefault="00FB680E" w:rsidP="00502085">
      <w:pPr>
        <w:pStyle w:val="H1evidencesummary"/>
        <w:spacing w:before="120"/>
        <w:rPr>
          <w:lang w:val="en-NZ"/>
        </w:rPr>
      </w:pPr>
      <w:r w:rsidRPr="004F5A83">
        <w:rPr>
          <w:lang w:val="en-NZ"/>
        </w:rPr>
        <w:t>L</w:t>
      </w:r>
      <w:r w:rsidR="00047FA0" w:rsidRPr="004F5A83">
        <w:rPr>
          <w:lang w:val="en-NZ"/>
        </w:rPr>
        <w:t>eadership</w:t>
      </w:r>
      <w:r w:rsidR="00BC29D8" w:rsidRPr="004F5A83">
        <w:rPr>
          <w:lang w:val="en-NZ"/>
        </w:rPr>
        <w:t xml:space="preserve"> and </w:t>
      </w:r>
      <w:r w:rsidR="00D21AE3" w:rsidRPr="004F5A83">
        <w:rPr>
          <w:lang w:val="en-NZ"/>
        </w:rPr>
        <w:t xml:space="preserve">clinical </w:t>
      </w:r>
      <w:r w:rsidR="00BC29D8" w:rsidRPr="004F5A83">
        <w:rPr>
          <w:lang w:val="en-NZ"/>
        </w:rPr>
        <w:t>governance</w:t>
      </w:r>
      <w:r w:rsidR="00047FA0" w:rsidRPr="004F5A83">
        <w:rPr>
          <w:lang w:val="en-NZ"/>
        </w:rPr>
        <w:t xml:space="preserve"> for recognition and response systems</w:t>
      </w:r>
    </w:p>
    <w:p w14:paraId="633F2DA6" w14:textId="77777777" w:rsidR="0050501D" w:rsidRPr="004F5A83" w:rsidRDefault="0050501D" w:rsidP="00F26AF2">
      <w:pPr>
        <w:pStyle w:val="H2evidencesummary"/>
        <w:rPr>
          <w:lang w:val="en-NZ"/>
        </w:rPr>
      </w:pPr>
      <w:r w:rsidRPr="004F5A83">
        <w:rPr>
          <w:lang w:val="en-NZ"/>
        </w:rPr>
        <w:t>Introduction</w:t>
      </w:r>
    </w:p>
    <w:p w14:paraId="09C71EE9" w14:textId="00230843" w:rsidR="008D4905" w:rsidRPr="004F5A83" w:rsidRDefault="00E65670" w:rsidP="00F26AF2">
      <w:pPr>
        <w:pStyle w:val="Bodyevidencesummary"/>
        <w:rPr>
          <w:lang w:val="en-NZ"/>
        </w:rPr>
      </w:pPr>
      <w:r w:rsidRPr="004F5A83">
        <w:rPr>
          <w:lang w:val="en-NZ"/>
        </w:rPr>
        <w:t>C</w:t>
      </w:r>
      <w:r w:rsidR="00957F57" w:rsidRPr="004F5A83">
        <w:rPr>
          <w:lang w:val="en-NZ"/>
        </w:rPr>
        <w:t xml:space="preserve">linical governance </w:t>
      </w:r>
      <w:r w:rsidR="00EE42A0" w:rsidRPr="004F5A83">
        <w:rPr>
          <w:lang w:val="en-NZ"/>
        </w:rPr>
        <w:t>is essential</w:t>
      </w:r>
      <w:r w:rsidR="00957F57" w:rsidRPr="004F5A83">
        <w:rPr>
          <w:lang w:val="en-NZ"/>
        </w:rPr>
        <w:t xml:space="preserve"> to provide oversight and expert advice about the safety, effectiveness, and ongoing improvement of the recognition and response system. </w:t>
      </w:r>
      <w:r w:rsidRPr="004F5A83">
        <w:rPr>
          <w:lang w:val="en-NZ"/>
        </w:rPr>
        <w:t>In some centres</w:t>
      </w:r>
      <w:r w:rsidR="00EE42A0" w:rsidRPr="004F5A83">
        <w:rPr>
          <w:lang w:val="en-NZ"/>
        </w:rPr>
        <w:t xml:space="preserve"> this may be a separate patient deterioration committee </w:t>
      </w:r>
      <w:r w:rsidR="00151A12" w:rsidRPr="004F5A83">
        <w:rPr>
          <w:lang w:val="en-NZ"/>
        </w:rPr>
        <w:t>whilst s</w:t>
      </w:r>
      <w:r w:rsidRPr="004F5A83">
        <w:rPr>
          <w:lang w:val="en-NZ"/>
        </w:rPr>
        <w:t xml:space="preserve">maller centres may take an approach to clinical governance that relies on linkages with pre-existing structures such as organisational patient safety or a </w:t>
      </w:r>
      <w:r w:rsidR="00EE42A0" w:rsidRPr="004F5A83">
        <w:rPr>
          <w:lang w:val="en-NZ"/>
        </w:rPr>
        <w:t xml:space="preserve">wider </w:t>
      </w:r>
      <w:r w:rsidR="00363F02">
        <w:rPr>
          <w:lang w:val="en-NZ"/>
        </w:rPr>
        <w:t>c</w:t>
      </w:r>
      <w:r w:rsidR="00EE42A0" w:rsidRPr="004F5A83">
        <w:rPr>
          <w:lang w:val="en-NZ"/>
        </w:rPr>
        <w:t xml:space="preserve">linical </w:t>
      </w:r>
      <w:r w:rsidR="00363F02">
        <w:rPr>
          <w:lang w:val="en-NZ"/>
        </w:rPr>
        <w:t>g</w:t>
      </w:r>
      <w:r w:rsidR="00EE42A0" w:rsidRPr="004F5A83">
        <w:rPr>
          <w:lang w:val="en-NZ"/>
        </w:rPr>
        <w:t xml:space="preserve">overnance </w:t>
      </w:r>
      <w:r w:rsidR="00363F02">
        <w:rPr>
          <w:lang w:val="en-NZ"/>
        </w:rPr>
        <w:t>c</w:t>
      </w:r>
      <w:r w:rsidR="00EE42A0" w:rsidRPr="004F5A83">
        <w:rPr>
          <w:lang w:val="en-NZ"/>
        </w:rPr>
        <w:t>ommittee. What is important is that ongoing effectual clinical governance is essential to anticipa</w:t>
      </w:r>
      <w:r w:rsidRPr="004F5A83">
        <w:rPr>
          <w:lang w:val="en-NZ"/>
        </w:rPr>
        <w:t>te</w:t>
      </w:r>
      <w:r w:rsidR="00EE42A0" w:rsidRPr="004F5A83">
        <w:rPr>
          <w:lang w:val="en-NZ"/>
        </w:rPr>
        <w:t xml:space="preserve">, adapt, </w:t>
      </w:r>
      <w:proofErr w:type="gramStart"/>
      <w:r w:rsidR="00EE42A0" w:rsidRPr="004F5A83">
        <w:rPr>
          <w:lang w:val="en-NZ"/>
        </w:rPr>
        <w:t>learn</w:t>
      </w:r>
      <w:proofErr w:type="gramEnd"/>
      <w:r w:rsidR="00EE42A0" w:rsidRPr="004F5A83">
        <w:rPr>
          <w:lang w:val="en-NZ"/>
        </w:rPr>
        <w:t xml:space="preserve"> and respon</w:t>
      </w:r>
      <w:r w:rsidRPr="004F5A83">
        <w:rPr>
          <w:lang w:val="en-NZ"/>
        </w:rPr>
        <w:t>d</w:t>
      </w:r>
      <w:r w:rsidR="005700F2">
        <w:rPr>
          <w:lang w:val="en-NZ"/>
        </w:rPr>
        <w:t>,</w:t>
      </w:r>
      <w:r w:rsidR="00EE42A0" w:rsidRPr="004F5A83">
        <w:rPr>
          <w:lang w:val="en-NZ"/>
        </w:rPr>
        <w:t xml:space="preserve"> enabling a</w:t>
      </w:r>
      <w:r w:rsidR="00151A12" w:rsidRPr="004F5A83">
        <w:rPr>
          <w:lang w:val="en-NZ"/>
        </w:rPr>
        <w:t xml:space="preserve"> resilient and</w:t>
      </w:r>
      <w:r w:rsidR="00EE42A0" w:rsidRPr="004F5A83">
        <w:rPr>
          <w:lang w:val="en-NZ"/>
        </w:rPr>
        <w:t xml:space="preserve"> sustainab</w:t>
      </w:r>
      <w:r w:rsidR="00151A12" w:rsidRPr="004F5A83">
        <w:rPr>
          <w:lang w:val="en-NZ"/>
        </w:rPr>
        <w:t>le</w:t>
      </w:r>
      <w:r w:rsidR="00EE42A0" w:rsidRPr="004F5A83">
        <w:rPr>
          <w:lang w:val="en-NZ"/>
        </w:rPr>
        <w:t xml:space="preserve"> approach to the system. </w:t>
      </w:r>
    </w:p>
    <w:p w14:paraId="36F98FCF" w14:textId="5B00AAFC" w:rsidR="008D4905" w:rsidRPr="004F5A83" w:rsidRDefault="005A2FD3" w:rsidP="00F26AF2">
      <w:pPr>
        <w:pStyle w:val="Bodyevidencesummary"/>
        <w:rPr>
          <w:rFonts w:asciiTheme="minorHAnsi" w:hAnsiTheme="minorHAnsi"/>
          <w:lang w:val="en-NZ" w:eastAsia="en-US"/>
        </w:rPr>
      </w:pPr>
      <w:r w:rsidRPr="004F5A83">
        <w:rPr>
          <w:lang w:val="en-NZ"/>
        </w:rPr>
        <w:t>Factors</w:t>
      </w:r>
      <w:r w:rsidR="003D2798" w:rsidRPr="004F5A83">
        <w:rPr>
          <w:lang w:val="en-NZ"/>
        </w:rPr>
        <w:t xml:space="preserve"> contributing to failures to recognise or respond to patient deterioration are complex</w:t>
      </w:r>
      <w:r w:rsidR="00693FA8" w:rsidRPr="004F5A83">
        <w:rPr>
          <w:lang w:val="en-NZ"/>
        </w:rPr>
        <w:t xml:space="preserve"> and wide-ranging.</w:t>
      </w:r>
      <w:r w:rsidR="003D2798" w:rsidRPr="004F5A83">
        <w:rPr>
          <w:lang w:val="en-NZ"/>
        </w:rPr>
        <w:t xml:space="preserve"> </w:t>
      </w:r>
      <w:r w:rsidR="0050501D" w:rsidRPr="004F5A83">
        <w:rPr>
          <w:lang w:val="en-NZ" w:eastAsia="en-US"/>
        </w:rPr>
        <w:t>These include a lack of formalised systems and processes; inadequate clinical governance; a siloed and super-specialised hospital workforce; problems associated with inadequate clinical knowledge and skills; suboptimal handover, communication and teamwork; inconsistent patient and family engagement</w:t>
      </w:r>
      <w:r w:rsidR="00B5280B" w:rsidRPr="004F5A83">
        <w:rPr>
          <w:lang w:val="en-NZ" w:eastAsia="en-US"/>
        </w:rPr>
        <w:t>; organisational resource constraints</w:t>
      </w:r>
      <w:r w:rsidR="005700F2">
        <w:rPr>
          <w:lang w:val="en-NZ" w:eastAsia="en-US"/>
        </w:rPr>
        <w:t>;</w:t>
      </w:r>
      <w:r w:rsidR="00B5280B" w:rsidRPr="004F5A83">
        <w:rPr>
          <w:lang w:val="en-NZ" w:eastAsia="en-US"/>
        </w:rPr>
        <w:t xml:space="preserve"> and competing priorities</w:t>
      </w:r>
      <w:r w:rsidR="0050501D" w:rsidRPr="004F5A83">
        <w:rPr>
          <w:lang w:val="en-NZ" w:eastAsia="en-US"/>
        </w:rPr>
        <w:t>.</w:t>
      </w:r>
      <w:hyperlink w:anchor="_ENREF_1" w:tooltip="Cioffi, 2006 #20" w:history="1">
        <w:r w:rsidR="0050501D" w:rsidRPr="004F5A83">
          <w:rPr>
            <w:lang w:val="en-NZ" w:eastAsia="en-US"/>
          </w:rPr>
          <w:fldChar w:fldCharType="begin">
            <w:fldData xml:space="preserve">PEVuZE5vdGU+PENpdGU+PEF1dGhvcj5DaW9mZmk8L0F1dGhvcj48WWVhcj4yMDA2PC9ZZWFyPjxS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</w:fldData>
          </w:fldChar>
        </w:r>
        <w:r w:rsidR="0050501D" w:rsidRPr="004F5A83">
          <w:rPr>
            <w:lang w:val="en-NZ" w:eastAsia="en-US"/>
          </w:rPr>
          <w:instrText xml:space="preserve"> ADDIN EN.CITE </w:instrText>
        </w:r>
        <w:r w:rsidR="0050501D" w:rsidRPr="004F5A83">
          <w:rPr>
            <w:lang w:val="en-NZ" w:eastAsia="en-US"/>
          </w:rPr>
          <w:fldChar w:fldCharType="begin">
            <w:fldData xml:space="preserve">PEVuZE5vdGU+PENpdGU+PEF1dGhvcj5DaW9mZmk8L0F1dGhvcj48WWVhcj4yMDA2PC9ZZWFyPjxS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</w:fldData>
          </w:fldChar>
        </w:r>
        <w:r w:rsidR="0050501D" w:rsidRPr="004F5A83">
          <w:rPr>
            <w:lang w:val="en-NZ" w:eastAsia="en-US"/>
          </w:rPr>
          <w:instrText xml:space="preserve"> ADDIN EN.CITE.DATA </w:instrText>
        </w:r>
        <w:r w:rsidR="0050501D" w:rsidRPr="004F5A83">
          <w:rPr>
            <w:lang w:val="en-NZ" w:eastAsia="en-US"/>
          </w:rPr>
        </w:r>
        <w:r w:rsidR="0050501D" w:rsidRPr="004F5A83">
          <w:rPr>
            <w:lang w:val="en-NZ" w:eastAsia="en-US"/>
          </w:rPr>
          <w:fldChar w:fldCharType="end"/>
        </w:r>
        <w:r w:rsidR="0050501D" w:rsidRPr="004F5A83">
          <w:rPr>
            <w:lang w:val="en-NZ" w:eastAsia="en-US"/>
          </w:rPr>
        </w:r>
        <w:r w:rsidR="0050501D" w:rsidRPr="004F5A83">
          <w:rPr>
            <w:lang w:val="en-NZ" w:eastAsia="en-US"/>
          </w:rPr>
          <w:fldChar w:fldCharType="separate"/>
        </w:r>
        <w:r w:rsidR="0050501D" w:rsidRPr="004F5A83">
          <w:rPr>
            <w:vertAlign w:val="superscript"/>
            <w:lang w:val="en-NZ" w:eastAsia="en-US"/>
          </w:rPr>
          <w:t>1</w:t>
        </w:r>
        <w:r w:rsidR="005700F2">
          <w:rPr>
            <w:vertAlign w:val="superscript"/>
            <w:lang w:val="en-NZ" w:eastAsia="en-US"/>
          </w:rPr>
          <w:t>–</w:t>
        </w:r>
        <w:r w:rsidR="0050501D" w:rsidRPr="004F5A83">
          <w:rPr>
            <w:vertAlign w:val="superscript"/>
            <w:lang w:val="en-NZ" w:eastAsia="en-US"/>
          </w:rPr>
          <w:t>4</w:t>
        </w:r>
        <w:r w:rsidR="0050501D" w:rsidRPr="004F5A83">
          <w:rPr>
            <w:lang w:val="en-NZ" w:eastAsia="en-US"/>
          </w:rPr>
          <w:fldChar w:fldCharType="end"/>
        </w:r>
      </w:hyperlink>
      <w:r w:rsidR="0050501D" w:rsidRPr="004F5A83">
        <w:rPr>
          <w:rFonts w:asciiTheme="minorHAnsi" w:hAnsiTheme="minorHAnsi"/>
          <w:lang w:val="en-NZ" w:eastAsia="en-US"/>
        </w:rPr>
        <w:t xml:space="preserve"> </w:t>
      </w:r>
    </w:p>
    <w:p w14:paraId="1F0ED6C3" w14:textId="6C6B5B28" w:rsidR="00693FA8" w:rsidRPr="004F5A83" w:rsidRDefault="00644299" w:rsidP="00F26AF2">
      <w:pPr>
        <w:pStyle w:val="Bodyevidencesummary"/>
        <w:rPr>
          <w:lang w:val="en-NZ"/>
        </w:rPr>
      </w:pPr>
      <w:r w:rsidRPr="004F5A83">
        <w:rPr>
          <w:lang w:val="en-NZ" w:eastAsia="en-US"/>
        </w:rPr>
        <w:t xml:space="preserve">The function and sustainability of recognition and response processes </w:t>
      </w:r>
      <w:r w:rsidR="008B4852">
        <w:rPr>
          <w:lang w:val="en-NZ" w:eastAsia="en-US"/>
        </w:rPr>
        <w:t xml:space="preserve">depends </w:t>
      </w:r>
      <w:r w:rsidRPr="004F5A83">
        <w:rPr>
          <w:lang w:val="en-NZ" w:eastAsia="en-US"/>
        </w:rPr>
        <w:t>on underpinning structures for clinical governance</w:t>
      </w:r>
      <w:r w:rsidR="00766726">
        <w:rPr>
          <w:lang w:val="en-NZ" w:eastAsia="en-US"/>
        </w:rPr>
        <w:t>;</w:t>
      </w:r>
      <w:r w:rsidRPr="004F5A83">
        <w:rPr>
          <w:lang w:val="en-NZ" w:eastAsia="en-US"/>
        </w:rPr>
        <w:t xml:space="preserve"> teamwork, </w:t>
      </w:r>
      <w:proofErr w:type="gramStart"/>
      <w:r w:rsidRPr="004F5A83">
        <w:rPr>
          <w:lang w:val="en-NZ" w:eastAsia="en-US"/>
        </w:rPr>
        <w:t>handover</w:t>
      </w:r>
      <w:proofErr w:type="gramEnd"/>
      <w:r w:rsidRPr="004F5A83">
        <w:rPr>
          <w:lang w:val="en-NZ" w:eastAsia="en-US"/>
        </w:rPr>
        <w:t xml:space="preserve"> and communication</w:t>
      </w:r>
      <w:r w:rsidR="00766726">
        <w:rPr>
          <w:lang w:val="en-NZ" w:eastAsia="en-US"/>
        </w:rPr>
        <w:t>;</w:t>
      </w:r>
      <w:r w:rsidRPr="004F5A83">
        <w:rPr>
          <w:lang w:val="en-NZ" w:eastAsia="en-US"/>
        </w:rPr>
        <w:t xml:space="preserve"> education and training</w:t>
      </w:r>
      <w:r w:rsidR="00766726">
        <w:rPr>
          <w:lang w:val="en-NZ" w:eastAsia="en-US"/>
        </w:rPr>
        <w:t>;</w:t>
      </w:r>
      <w:r w:rsidRPr="004F5A83">
        <w:rPr>
          <w:lang w:val="en-NZ" w:eastAsia="en-US"/>
        </w:rPr>
        <w:t xml:space="preserve"> </w:t>
      </w:r>
      <w:r w:rsidR="00766726">
        <w:rPr>
          <w:lang w:val="en-NZ" w:eastAsia="en-US"/>
        </w:rPr>
        <w:t xml:space="preserve">and </w:t>
      </w:r>
      <w:r w:rsidRPr="004F5A83">
        <w:rPr>
          <w:lang w:val="en-NZ" w:eastAsia="en-US"/>
        </w:rPr>
        <w:t>measurement and evaluation.</w:t>
      </w:r>
      <w:r w:rsidR="00B738E6" w:rsidRPr="004F5A83">
        <w:rPr>
          <w:lang w:val="en-NZ" w:eastAsia="en-US"/>
        </w:rPr>
        <w:t xml:space="preserve"> Clinical and administrative resources are required to support sustainable and effective functioning of the system.</w:t>
      </w:r>
      <w:r w:rsidRPr="004F5A83">
        <w:rPr>
          <w:rFonts w:asciiTheme="minorHAnsi" w:hAnsiTheme="minorHAnsi"/>
          <w:lang w:val="en-NZ" w:eastAsia="en-US"/>
        </w:rPr>
        <w:t xml:space="preserve"> </w:t>
      </w:r>
      <w:r w:rsidR="0050501D" w:rsidRPr="004F5A83">
        <w:rPr>
          <w:lang w:val="en-NZ"/>
        </w:rPr>
        <w:t>Recognition and response systems t</w:t>
      </w:r>
      <w:r w:rsidR="003D2798" w:rsidRPr="004F5A83">
        <w:rPr>
          <w:lang w:val="en-NZ"/>
        </w:rPr>
        <w:t>herefore require a whole</w:t>
      </w:r>
      <w:r w:rsidR="00766726">
        <w:rPr>
          <w:lang w:val="en-NZ"/>
        </w:rPr>
        <w:t>-</w:t>
      </w:r>
      <w:r w:rsidR="003D2798" w:rsidRPr="004F5A83">
        <w:rPr>
          <w:lang w:val="en-NZ"/>
        </w:rPr>
        <w:t>of</w:t>
      </w:r>
      <w:r w:rsidR="00766726">
        <w:rPr>
          <w:lang w:val="en-NZ"/>
        </w:rPr>
        <w:t>-</w:t>
      </w:r>
      <w:r w:rsidR="003D2798" w:rsidRPr="004F5A83">
        <w:rPr>
          <w:lang w:val="en-NZ"/>
        </w:rPr>
        <w:t>hospital approach for successful implementation and sustained improvement</w:t>
      </w:r>
      <w:r w:rsidR="0050501D" w:rsidRPr="004F5A83">
        <w:rPr>
          <w:lang w:val="en-NZ"/>
        </w:rPr>
        <w:t>.</w:t>
      </w:r>
    </w:p>
    <w:p w14:paraId="1751B329" w14:textId="6D951047" w:rsidR="003D2798" w:rsidRPr="004F5A83" w:rsidRDefault="0050501D" w:rsidP="00F26AF2">
      <w:pPr>
        <w:pStyle w:val="Bodyevidencesummary"/>
        <w:rPr>
          <w:rFonts w:eastAsia="Arial"/>
          <w:lang w:val="en-NZ"/>
        </w:rPr>
      </w:pPr>
      <w:r w:rsidRPr="004F5A83">
        <w:rPr>
          <w:lang w:val="en-NZ"/>
        </w:rPr>
        <w:t>Recognition and response systems must be part of the strategic plan to make a hospital safer.</w:t>
      </w:r>
      <w:hyperlink w:anchor="_ENREF_4" w:tooltip="DeVita, 2010 #47" w:history="1">
        <w:r w:rsidRPr="004F5A83">
          <w:rPr>
            <w:lang w:val="en-NZ"/>
          </w:rPr>
          <w:fldChar w:fldCharType="begin"/>
        </w:r>
        <w:r w:rsidRPr="004F5A83">
          <w:rPr>
            <w:lang w:val="en-NZ"/>
          </w:rPr>
          <w:instrText xml:space="preserve"> ADDIN EN.CITE &lt;EndNote&gt;&lt;Cite&gt;&lt;Author&gt;DeVita&lt;/Author&gt;&lt;Year&gt;2010&lt;/Year&gt;&lt;RecNum&gt;47&lt;/RecNum&gt;&lt;DisplayText&gt;&lt;style face="superscript"&gt;4&lt;/style&gt;&lt;/DisplayText&gt;&lt;record&gt;&lt;rec-number&gt;47&lt;/rec-number&gt;&lt;foreign-keys&gt;&lt;key app="EN" db-id="f5x0dfrwoze50te9evn5vr2osasvvr0erdds"&gt;47&lt;/key&gt;&lt;/foreign-keys&gt;&lt;ref-type name="Edited Book"&gt;28&lt;/ref-type&gt;&lt;contributors&gt;&lt;authors&gt;&lt;author&gt;DeVita, M&lt;/author&gt;&lt;author&gt;Hillman, K&lt;/author&gt;&lt;author&gt;Bellomo, Rinaldo&lt;/author&gt;&lt;/authors&gt;&lt;/contributors&gt;&lt;titles&gt;&lt;title&gt;Textbook of Rapid Response Systems: Concept and Implementation&lt;/title&gt;&lt;/titles&gt;&lt;dates&gt;&lt;year&gt;2010&lt;/year&gt;&lt;/dates&gt;&lt;pub-location&gt;New York&lt;/pub-location&gt;&lt;publisher&gt;Springer&lt;/publisher&gt;&lt;urls&gt;&lt;/urls&gt;&lt;/record&gt;&lt;/Cite&gt;&lt;/EndNote&gt;</w:instrText>
        </w:r>
        <w:r w:rsidRPr="004F5A83">
          <w:rPr>
            <w:lang w:val="en-NZ"/>
          </w:rPr>
          <w:fldChar w:fldCharType="separate"/>
        </w:r>
        <w:r w:rsidRPr="004F5A83">
          <w:rPr>
            <w:vertAlign w:val="superscript"/>
            <w:lang w:val="en-NZ"/>
          </w:rPr>
          <w:t>4</w:t>
        </w:r>
        <w:r w:rsidRPr="004F5A83">
          <w:rPr>
            <w:lang w:val="en-NZ"/>
          </w:rPr>
          <w:fldChar w:fldCharType="end"/>
        </w:r>
      </w:hyperlink>
      <w:r w:rsidRPr="004F5A83">
        <w:rPr>
          <w:lang w:val="en-NZ"/>
        </w:rPr>
        <w:t xml:space="preserve"> </w:t>
      </w:r>
      <w:r w:rsidR="003D2798" w:rsidRPr="004F5A83">
        <w:rPr>
          <w:lang w:val="en-NZ"/>
        </w:rPr>
        <w:t xml:space="preserve">Visible and ongoing executive, clinical and operational leadership and clear clinical governance structures are needed to ensure that recognition and response systems are adequately supported and functioning successfully. Those who are accountable for the performance of the recognition and response system must oversee a range of activities such as policy and process development, evaluation and quality improvement, resourcing and equipment, education and training, and patient and family engagement. </w:t>
      </w:r>
      <w:r w:rsidR="00F70153" w:rsidRPr="004F5A83">
        <w:rPr>
          <w:lang w:val="en-NZ"/>
        </w:rPr>
        <w:t>A</w:t>
      </w:r>
      <w:r w:rsidR="003D2798" w:rsidRPr="004F5A83">
        <w:rPr>
          <w:lang w:val="en-NZ"/>
        </w:rPr>
        <w:t xml:space="preserve"> collaborative model of executive, clinical and operational leadership is required. </w:t>
      </w:r>
    </w:p>
    <w:p w14:paraId="3452E7D7" w14:textId="071AFA02" w:rsidR="00824AFA" w:rsidRPr="004F5A83" w:rsidRDefault="00494806" w:rsidP="00F26AF2">
      <w:pPr>
        <w:pStyle w:val="H2evidencesummary"/>
        <w:rPr>
          <w:lang w:val="en-NZ"/>
        </w:rPr>
      </w:pPr>
      <w:r w:rsidRPr="004F5A83">
        <w:rPr>
          <w:lang w:val="en-NZ"/>
        </w:rPr>
        <w:t>Purpose</w:t>
      </w:r>
      <w:r w:rsidR="004F5A83">
        <w:rPr>
          <w:lang w:val="en-NZ"/>
        </w:rPr>
        <w:t xml:space="preserve"> </w:t>
      </w:r>
    </w:p>
    <w:p w14:paraId="6B94E291" w14:textId="7BA111B5" w:rsidR="00693FA8" w:rsidRPr="004F5A83" w:rsidRDefault="00693FA8" w:rsidP="00F26AF2">
      <w:pPr>
        <w:pStyle w:val="Bodyevidencesummary"/>
        <w:rPr>
          <w:lang w:val="en-NZ"/>
        </w:rPr>
      </w:pPr>
      <w:r w:rsidRPr="004F5A83">
        <w:rPr>
          <w:lang w:val="en-NZ"/>
        </w:rPr>
        <w:t>This paper is intended for project teams responsible</w:t>
      </w:r>
      <w:r w:rsidR="00494806" w:rsidRPr="004F5A83">
        <w:rPr>
          <w:lang w:val="en-NZ"/>
        </w:rPr>
        <w:t xml:space="preserve"> </w:t>
      </w:r>
      <w:r w:rsidR="00766726">
        <w:rPr>
          <w:lang w:val="en-NZ"/>
        </w:rPr>
        <w:t xml:space="preserve">for </w:t>
      </w:r>
      <w:r w:rsidRPr="004F5A83">
        <w:rPr>
          <w:lang w:val="en-NZ"/>
        </w:rPr>
        <w:t xml:space="preserve">improving recognition and response systems in </w:t>
      </w:r>
      <w:r w:rsidR="00151A12" w:rsidRPr="004F5A83">
        <w:rPr>
          <w:lang w:val="en-NZ"/>
        </w:rPr>
        <w:t>Aotearoa</w:t>
      </w:r>
      <w:r w:rsidR="00766726">
        <w:rPr>
          <w:lang w:val="en-NZ"/>
        </w:rPr>
        <w:t xml:space="preserve"> </w:t>
      </w:r>
      <w:r w:rsidRPr="004F5A83">
        <w:rPr>
          <w:lang w:val="en-NZ"/>
        </w:rPr>
        <w:t xml:space="preserve">New Zealand hospitals. It briefly </w:t>
      </w:r>
      <w:r w:rsidR="00494806" w:rsidRPr="004F5A83">
        <w:rPr>
          <w:lang w:val="en-NZ"/>
        </w:rPr>
        <w:t xml:space="preserve">outlines recommendations </w:t>
      </w:r>
      <w:r w:rsidRPr="004F5A83">
        <w:rPr>
          <w:lang w:val="en-NZ"/>
        </w:rPr>
        <w:t xml:space="preserve">for ongoing </w:t>
      </w:r>
      <w:r w:rsidR="00D21AE3" w:rsidRPr="004F5A83">
        <w:rPr>
          <w:lang w:val="en-NZ"/>
        </w:rPr>
        <w:t>clinical</w:t>
      </w:r>
      <w:r w:rsidR="00494806" w:rsidRPr="004F5A83">
        <w:rPr>
          <w:lang w:val="en-NZ"/>
        </w:rPr>
        <w:t xml:space="preserve"> </w:t>
      </w:r>
      <w:r w:rsidR="00675FE8" w:rsidRPr="004F5A83">
        <w:rPr>
          <w:lang w:val="en-NZ"/>
        </w:rPr>
        <w:t>governance</w:t>
      </w:r>
      <w:r w:rsidRPr="004F5A83">
        <w:rPr>
          <w:lang w:val="en-NZ"/>
        </w:rPr>
        <w:t>.</w:t>
      </w:r>
      <w:r w:rsidR="00494806" w:rsidRPr="004F5A83">
        <w:rPr>
          <w:lang w:val="en-NZ"/>
        </w:rPr>
        <w:t xml:space="preserve"> </w:t>
      </w:r>
      <w:r w:rsidRPr="004F5A83">
        <w:rPr>
          <w:lang w:val="en-NZ"/>
        </w:rPr>
        <w:t xml:space="preserve">Example terms of reference for the committee with responsibility for clinical governance of the system are included </w:t>
      </w:r>
      <w:r w:rsidR="00DC72F8">
        <w:rPr>
          <w:lang w:val="en-NZ"/>
        </w:rPr>
        <w:t>in</w:t>
      </w:r>
      <w:r w:rsidR="00DC72F8" w:rsidRPr="004F5A83">
        <w:rPr>
          <w:lang w:val="en-NZ"/>
        </w:rPr>
        <w:t xml:space="preserve"> </w:t>
      </w:r>
      <w:r w:rsidRPr="004F5A83">
        <w:rPr>
          <w:lang w:val="en-NZ"/>
        </w:rPr>
        <w:t xml:space="preserve">Appendix 1. </w:t>
      </w:r>
    </w:p>
    <w:p w14:paraId="49C4CF1C" w14:textId="77777777" w:rsidR="0016198A" w:rsidRPr="004F5A83" w:rsidRDefault="0016198A" w:rsidP="00F26AF2">
      <w:pPr>
        <w:pStyle w:val="H2evidencesummary"/>
        <w:rPr>
          <w:lang w:val="en-NZ"/>
        </w:rPr>
      </w:pPr>
      <w:r w:rsidRPr="004F5A83">
        <w:rPr>
          <w:lang w:val="en-NZ"/>
        </w:rPr>
        <w:lastRenderedPageBreak/>
        <w:t>Clinical governance committee</w:t>
      </w:r>
    </w:p>
    <w:p w14:paraId="2040B4B2" w14:textId="6D3150ED" w:rsidR="0016198A" w:rsidRPr="004F5A83" w:rsidRDefault="0016198A" w:rsidP="00F26AF2">
      <w:pPr>
        <w:pStyle w:val="Bodyevidencesummary"/>
        <w:rPr>
          <w:lang w:val="en-NZ"/>
        </w:rPr>
      </w:pPr>
      <w:r w:rsidRPr="004F5A83">
        <w:rPr>
          <w:rFonts w:eastAsia="Arial"/>
          <w:lang w:val="en-NZ"/>
        </w:rPr>
        <w:t>Regardless</w:t>
      </w:r>
      <w:r w:rsidR="0047280F" w:rsidRPr="004F5A83">
        <w:rPr>
          <w:rFonts w:eastAsia="Arial"/>
          <w:lang w:val="en-NZ"/>
        </w:rPr>
        <w:t xml:space="preserve"> of the structure of the governance committee</w:t>
      </w:r>
      <w:r w:rsidRPr="004F5A83">
        <w:rPr>
          <w:rFonts w:eastAsia="Arial"/>
          <w:lang w:val="en-NZ"/>
        </w:rPr>
        <w:t>, o</w:t>
      </w:r>
      <w:r w:rsidRPr="004F5A83">
        <w:rPr>
          <w:lang w:val="en-NZ"/>
        </w:rPr>
        <w:t>versight of the recognition and response system must be provided by a m</w:t>
      </w:r>
      <w:bookmarkStart w:id="0" w:name="_Hlk68094018"/>
      <w:r w:rsidRPr="004F5A83">
        <w:rPr>
          <w:lang w:val="en-NZ"/>
        </w:rPr>
        <w:t xml:space="preserve">ultidisciplinary </w:t>
      </w:r>
      <w:bookmarkEnd w:id="0"/>
      <w:r w:rsidRPr="004F5A83">
        <w:rPr>
          <w:lang w:val="en-NZ"/>
        </w:rPr>
        <w:t>committee. The committee will have terms of reference focused on early recognition and response to patient deterioration</w:t>
      </w:r>
      <w:r w:rsidR="0047280F" w:rsidRPr="004F5A83">
        <w:rPr>
          <w:lang w:val="en-NZ"/>
        </w:rPr>
        <w:t>, inclu</w:t>
      </w:r>
      <w:r w:rsidR="00151A12" w:rsidRPr="004F5A83">
        <w:rPr>
          <w:lang w:val="en-NZ"/>
        </w:rPr>
        <w:t>sive of maternity early warning,</w:t>
      </w:r>
      <w:r w:rsidR="0047280F" w:rsidRPr="004F5A83">
        <w:rPr>
          <w:lang w:val="en-NZ"/>
        </w:rPr>
        <w:t xml:space="preserve"> Kōrero mai and shared goals of care</w:t>
      </w:r>
      <w:r w:rsidRPr="004F5A83">
        <w:rPr>
          <w:lang w:val="en-NZ"/>
        </w:rPr>
        <w:t xml:space="preserve"> (see Appendix 1). </w:t>
      </w:r>
    </w:p>
    <w:p w14:paraId="6D60E029" w14:textId="7FB9C683" w:rsidR="009E15D9" w:rsidRPr="004F5A83" w:rsidRDefault="009E15D9" w:rsidP="00F26AF2">
      <w:pPr>
        <w:pStyle w:val="Bodyevidencesummary"/>
        <w:rPr>
          <w:rFonts w:eastAsia="Arial"/>
          <w:lang w:val="en-NZ"/>
        </w:rPr>
      </w:pPr>
      <w:r w:rsidRPr="004F5A83">
        <w:rPr>
          <w:rFonts w:eastAsia="Arial"/>
          <w:lang w:val="en-NZ"/>
        </w:rPr>
        <w:t xml:space="preserve">The committee </w:t>
      </w:r>
      <w:r w:rsidR="003B7EB2" w:rsidRPr="004F5A83">
        <w:rPr>
          <w:rFonts w:eastAsia="Arial"/>
          <w:lang w:val="en-NZ"/>
        </w:rPr>
        <w:t>should provide</w:t>
      </w:r>
      <w:r w:rsidRPr="004F5A83">
        <w:rPr>
          <w:rFonts w:eastAsia="Arial"/>
          <w:lang w:val="en-NZ"/>
        </w:rPr>
        <w:t xml:space="preserve"> a recognition and response system policy that addresses</w:t>
      </w:r>
      <w:r w:rsidR="00AA22CD">
        <w:rPr>
          <w:rFonts w:eastAsia="Arial"/>
          <w:lang w:val="en-NZ"/>
        </w:rPr>
        <w:t>:</w:t>
      </w:r>
      <w:r w:rsidRPr="004F5A83">
        <w:rPr>
          <w:rFonts w:eastAsia="Arial"/>
          <w:lang w:val="en-NZ"/>
        </w:rPr>
        <w:t xml:space="preserve"> </w:t>
      </w:r>
    </w:p>
    <w:p w14:paraId="38847A62" w14:textId="15019F01" w:rsidR="009E15D9" w:rsidRPr="004F5A83" w:rsidRDefault="00AA22CD" w:rsidP="001D190B">
      <w:pPr>
        <w:pStyle w:val="Bulletsevidencesummary"/>
        <w:ind w:left="357" w:hanging="357"/>
        <w:rPr>
          <w:lang w:val="en-NZ"/>
        </w:rPr>
      </w:pPr>
      <w:r>
        <w:rPr>
          <w:lang w:val="en-NZ"/>
        </w:rPr>
        <w:t>t</w:t>
      </w:r>
      <w:r w:rsidR="009E15D9" w:rsidRPr="004F5A83">
        <w:rPr>
          <w:lang w:val="en-NZ"/>
        </w:rPr>
        <w:t>he core set of vital signs to be obtained</w:t>
      </w:r>
    </w:p>
    <w:p w14:paraId="4D57D43F" w14:textId="18C7A0CE" w:rsidR="009E15D9" w:rsidRPr="004F5A83" w:rsidRDefault="00AA22CD" w:rsidP="001D190B">
      <w:pPr>
        <w:pStyle w:val="Bulletsevidencesummary"/>
        <w:ind w:left="357" w:hanging="357"/>
        <w:rPr>
          <w:lang w:val="en-NZ"/>
        </w:rPr>
      </w:pPr>
      <w:r>
        <w:rPr>
          <w:lang w:val="en-NZ"/>
        </w:rPr>
        <w:t>t</w:t>
      </w:r>
      <w:r w:rsidR="009E15D9" w:rsidRPr="004F5A83">
        <w:rPr>
          <w:lang w:val="en-NZ"/>
        </w:rPr>
        <w:t>he early warning score and triggers for escalation</w:t>
      </w:r>
      <w:r w:rsidR="0047280F" w:rsidRPr="004F5A83">
        <w:rPr>
          <w:lang w:val="en-NZ"/>
        </w:rPr>
        <w:t xml:space="preserve">, </w:t>
      </w:r>
      <w:r w:rsidR="00502085">
        <w:rPr>
          <w:lang w:val="en-NZ"/>
        </w:rPr>
        <w:t>which</w:t>
      </w:r>
      <w:r w:rsidR="0047280F" w:rsidRPr="004F5A83">
        <w:rPr>
          <w:lang w:val="en-NZ"/>
        </w:rPr>
        <w:t xml:space="preserve"> </w:t>
      </w:r>
      <w:r w:rsidR="00502085">
        <w:rPr>
          <w:lang w:val="en-NZ"/>
        </w:rPr>
        <w:t>reflects</w:t>
      </w:r>
      <w:r w:rsidR="0047280F" w:rsidRPr="004F5A83">
        <w:rPr>
          <w:lang w:val="en-NZ"/>
        </w:rPr>
        <w:t xml:space="preserve"> patient or whānau concern</w:t>
      </w:r>
      <w:r w:rsidR="00502085">
        <w:rPr>
          <w:lang w:val="en-NZ"/>
        </w:rPr>
        <w:t>s</w:t>
      </w:r>
      <w:r w:rsidR="0047280F" w:rsidRPr="004F5A83">
        <w:rPr>
          <w:lang w:val="en-NZ"/>
        </w:rPr>
        <w:t xml:space="preserve"> (</w:t>
      </w:r>
      <w:proofErr w:type="spellStart"/>
      <w:r w:rsidR="0047280F" w:rsidRPr="004F5A83">
        <w:rPr>
          <w:lang w:val="en-NZ"/>
        </w:rPr>
        <w:t>Kōrero</w:t>
      </w:r>
      <w:proofErr w:type="spellEnd"/>
      <w:r w:rsidR="0047280F" w:rsidRPr="004F5A83">
        <w:rPr>
          <w:lang w:val="en-NZ"/>
        </w:rPr>
        <w:t xml:space="preserve"> </w:t>
      </w:r>
      <w:proofErr w:type="spellStart"/>
      <w:r w:rsidR="0047280F" w:rsidRPr="004F5A83">
        <w:rPr>
          <w:lang w:val="en-NZ"/>
        </w:rPr>
        <w:t>mai</w:t>
      </w:r>
      <w:proofErr w:type="spellEnd"/>
      <w:r w:rsidR="0047280F" w:rsidRPr="004F5A83">
        <w:rPr>
          <w:lang w:val="en-NZ"/>
        </w:rPr>
        <w:t>)</w:t>
      </w:r>
    </w:p>
    <w:p w14:paraId="3D765C23" w14:textId="2C8809CF" w:rsidR="009E15D9" w:rsidRPr="004F5A83" w:rsidRDefault="00AA22CD" w:rsidP="001D190B">
      <w:pPr>
        <w:pStyle w:val="Bulletsevidencesummary"/>
        <w:ind w:left="357" w:hanging="357"/>
        <w:rPr>
          <w:lang w:val="en-NZ"/>
        </w:rPr>
      </w:pPr>
      <w:r>
        <w:rPr>
          <w:lang w:val="en-NZ"/>
        </w:rPr>
        <w:t>r</w:t>
      </w:r>
      <w:r w:rsidR="009E15D9" w:rsidRPr="004F5A83">
        <w:rPr>
          <w:lang w:val="en-NZ"/>
        </w:rPr>
        <w:t>ecommended minimum frequency for measurement of vital signs</w:t>
      </w:r>
    </w:p>
    <w:p w14:paraId="00B99019" w14:textId="79ED0FA8" w:rsidR="009E15D9" w:rsidRPr="004F5A83" w:rsidRDefault="00AA22CD" w:rsidP="001D190B">
      <w:pPr>
        <w:pStyle w:val="Bulletsevidencesummary"/>
        <w:ind w:left="357" w:hanging="357"/>
        <w:rPr>
          <w:lang w:val="en-NZ"/>
        </w:rPr>
      </w:pPr>
      <w:r>
        <w:rPr>
          <w:lang w:val="en-NZ"/>
        </w:rPr>
        <w:t>t</w:t>
      </w:r>
      <w:r w:rsidR="009E15D9" w:rsidRPr="004F5A83">
        <w:rPr>
          <w:lang w:val="en-NZ"/>
        </w:rPr>
        <w:t>he mandated escalation pathway</w:t>
      </w:r>
    </w:p>
    <w:p w14:paraId="69D9B957" w14:textId="167E887C" w:rsidR="009E15D9" w:rsidRPr="001D190B" w:rsidRDefault="00AA22CD" w:rsidP="001D190B">
      <w:pPr>
        <w:pStyle w:val="Bulletsevidencesummary"/>
        <w:ind w:left="357" w:hanging="357"/>
        <w:rPr>
          <w:lang w:val="en-NZ"/>
        </w:rPr>
      </w:pPr>
      <w:r w:rsidRPr="001D190B">
        <w:rPr>
          <w:lang w:val="en-NZ"/>
        </w:rPr>
        <w:t>t</w:t>
      </w:r>
      <w:r w:rsidR="009E15D9" w:rsidRPr="001D190B">
        <w:rPr>
          <w:lang w:val="en-NZ"/>
        </w:rPr>
        <w:t xml:space="preserve">he response protocol, including expected response times and identification of responders both during office hours and out-of-hours/weekends </w:t>
      </w:r>
    </w:p>
    <w:p w14:paraId="60A82987" w14:textId="0F46B89E" w:rsidR="009E15D9" w:rsidRPr="001D190B" w:rsidRDefault="00AA22CD" w:rsidP="001D190B">
      <w:pPr>
        <w:pStyle w:val="Bulletsevidencesummary"/>
        <w:ind w:left="357" w:hanging="357"/>
        <w:rPr>
          <w:lang w:val="en-NZ"/>
        </w:rPr>
      </w:pPr>
      <w:r>
        <w:rPr>
          <w:lang w:val="en-NZ"/>
        </w:rPr>
        <w:t>e</w:t>
      </w:r>
      <w:r w:rsidR="009E15D9" w:rsidRPr="004F5A83">
        <w:rPr>
          <w:lang w:val="en-NZ"/>
        </w:rPr>
        <w:t xml:space="preserve">xpectations for communication </w:t>
      </w:r>
      <w:r w:rsidR="009E15D9" w:rsidRPr="001D190B">
        <w:rPr>
          <w:lang w:val="en-NZ"/>
        </w:rPr>
        <w:t xml:space="preserve">and documentation when clinical deterioration </w:t>
      </w:r>
      <w:r w:rsidR="00EB3FE8" w:rsidRPr="001D190B">
        <w:rPr>
          <w:lang w:val="en-NZ"/>
        </w:rPr>
        <w:t xml:space="preserve">may </w:t>
      </w:r>
      <w:r w:rsidR="009E15D9" w:rsidRPr="001D190B">
        <w:rPr>
          <w:lang w:val="en-NZ"/>
        </w:rPr>
        <w:t>occur</w:t>
      </w:r>
      <w:r w:rsidR="0047280F" w:rsidRPr="001D190B">
        <w:rPr>
          <w:lang w:val="en-NZ"/>
        </w:rPr>
        <w:t xml:space="preserve"> achieved through</w:t>
      </w:r>
      <w:r w:rsidR="00EB3FE8" w:rsidRPr="001D190B">
        <w:rPr>
          <w:lang w:val="en-NZ"/>
        </w:rPr>
        <w:t xml:space="preserve"> shared goals of care</w:t>
      </w:r>
      <w:r w:rsidR="0047280F" w:rsidRPr="001D190B">
        <w:rPr>
          <w:lang w:val="en-NZ"/>
        </w:rPr>
        <w:t xml:space="preserve"> discussion and decision</w:t>
      </w:r>
      <w:r w:rsidR="009E15D9" w:rsidRPr="001D190B">
        <w:rPr>
          <w:lang w:val="en-NZ"/>
        </w:rPr>
        <w:t>.</w:t>
      </w:r>
    </w:p>
    <w:p w14:paraId="2E4E0D11" w14:textId="4ED2F62B" w:rsidR="00FF2D66" w:rsidRPr="004F5A83" w:rsidRDefault="00B738E6" w:rsidP="00F26AF2">
      <w:pPr>
        <w:pStyle w:val="Bodyevidencesummary"/>
        <w:rPr>
          <w:lang w:val="en-NZ"/>
        </w:rPr>
      </w:pPr>
      <w:r w:rsidRPr="004F5A83">
        <w:rPr>
          <w:lang w:val="en-NZ"/>
        </w:rPr>
        <w:t xml:space="preserve">A range of related policies and guidelines </w:t>
      </w:r>
      <w:r w:rsidR="0047280F" w:rsidRPr="004F5A83">
        <w:rPr>
          <w:lang w:val="en-NZ"/>
        </w:rPr>
        <w:t xml:space="preserve">should be </w:t>
      </w:r>
      <w:r w:rsidRPr="004F5A83">
        <w:rPr>
          <w:lang w:val="en-NZ"/>
        </w:rPr>
        <w:t>align</w:t>
      </w:r>
      <w:r w:rsidR="0047280F" w:rsidRPr="004F5A83">
        <w:rPr>
          <w:lang w:val="en-NZ"/>
        </w:rPr>
        <w:t>ed</w:t>
      </w:r>
      <w:r w:rsidRPr="004F5A83">
        <w:rPr>
          <w:lang w:val="en-NZ"/>
        </w:rPr>
        <w:t xml:space="preserve"> </w:t>
      </w:r>
      <w:r w:rsidR="0047280F" w:rsidRPr="004F5A83">
        <w:rPr>
          <w:lang w:val="en-NZ"/>
        </w:rPr>
        <w:t>to reflect the</w:t>
      </w:r>
      <w:r w:rsidRPr="004F5A83">
        <w:rPr>
          <w:lang w:val="en-NZ"/>
        </w:rPr>
        <w:t xml:space="preserve"> requirements of the recognition and response policy. </w:t>
      </w:r>
      <w:r w:rsidR="00513C3E" w:rsidRPr="004F5A83">
        <w:rPr>
          <w:lang w:val="en-NZ"/>
        </w:rPr>
        <w:t xml:space="preserve">These may cover many different aspects of clinical practice, </w:t>
      </w:r>
      <w:r w:rsidR="005D6C83">
        <w:rPr>
          <w:lang w:val="en-NZ"/>
        </w:rPr>
        <w:t xml:space="preserve">including </w:t>
      </w:r>
      <w:r w:rsidR="00513C3E" w:rsidRPr="004F5A83">
        <w:rPr>
          <w:lang w:val="en-NZ"/>
        </w:rPr>
        <w:t xml:space="preserve">documentation, </w:t>
      </w:r>
      <w:proofErr w:type="gramStart"/>
      <w:r w:rsidR="00513C3E" w:rsidRPr="004F5A83">
        <w:rPr>
          <w:lang w:val="en-NZ"/>
        </w:rPr>
        <w:t>handover</w:t>
      </w:r>
      <w:proofErr w:type="gramEnd"/>
      <w:r w:rsidR="00513C3E" w:rsidRPr="004F5A83">
        <w:rPr>
          <w:lang w:val="en-NZ"/>
        </w:rPr>
        <w:t xml:space="preserve"> and communication; monitoring requirements for particular procedures, medications or interventions; and referral or discharge guidelines.</w:t>
      </w:r>
      <w:r w:rsidR="004F5A83">
        <w:rPr>
          <w:lang w:val="en-NZ"/>
        </w:rPr>
        <w:t xml:space="preserve"> </w:t>
      </w:r>
      <w:r w:rsidR="005D6C83">
        <w:rPr>
          <w:lang w:val="en-NZ"/>
        </w:rPr>
        <w:t>Consider</w:t>
      </w:r>
      <w:r w:rsidR="00FF2D66" w:rsidRPr="004F5A83">
        <w:rPr>
          <w:lang w:val="en-NZ"/>
        </w:rPr>
        <w:t xml:space="preserve"> how shared goals of care link to the organisation</w:t>
      </w:r>
      <w:r w:rsidR="00EB3FE8" w:rsidRPr="004F5A83">
        <w:rPr>
          <w:lang w:val="en-NZ"/>
        </w:rPr>
        <w:t>’</w:t>
      </w:r>
      <w:r w:rsidR="00FF2D66" w:rsidRPr="004F5A83">
        <w:rPr>
          <w:lang w:val="en-NZ"/>
        </w:rPr>
        <w:t xml:space="preserve">s </w:t>
      </w:r>
      <w:r w:rsidR="00EB3FE8" w:rsidRPr="004F5A83">
        <w:rPr>
          <w:lang w:val="en-NZ"/>
        </w:rPr>
        <w:t xml:space="preserve">models for planned and unplanned care, and specifically </w:t>
      </w:r>
      <w:r w:rsidR="00FF2D66" w:rsidRPr="004F5A83">
        <w:rPr>
          <w:lang w:val="en-NZ"/>
        </w:rPr>
        <w:t xml:space="preserve">advance care planning, </w:t>
      </w:r>
      <w:r w:rsidR="007D485E" w:rsidRPr="007D485E">
        <w:rPr>
          <w:lang w:val="en-NZ"/>
        </w:rPr>
        <w:t>Serious Illness Conversation Guide</w:t>
      </w:r>
      <w:r w:rsidR="007D485E" w:rsidRPr="007D485E" w:rsidDel="007D485E">
        <w:rPr>
          <w:lang w:val="en-NZ"/>
        </w:rPr>
        <w:t xml:space="preserve"> </w:t>
      </w:r>
      <w:r w:rsidR="00FF2D66" w:rsidRPr="004F5A83">
        <w:rPr>
          <w:lang w:val="en-NZ"/>
        </w:rPr>
        <w:t>training and end</w:t>
      </w:r>
      <w:r w:rsidR="005D6C83">
        <w:rPr>
          <w:lang w:val="en-NZ"/>
        </w:rPr>
        <w:t>-</w:t>
      </w:r>
      <w:r w:rsidR="00FF2D66" w:rsidRPr="004F5A83">
        <w:rPr>
          <w:lang w:val="en-NZ"/>
        </w:rPr>
        <w:t>of</w:t>
      </w:r>
      <w:r w:rsidR="005D6C83">
        <w:rPr>
          <w:lang w:val="en-NZ"/>
        </w:rPr>
        <w:t>-</w:t>
      </w:r>
      <w:r w:rsidR="00FF2D66" w:rsidRPr="004F5A83">
        <w:rPr>
          <w:lang w:val="en-NZ"/>
        </w:rPr>
        <w:t>life pathways.</w:t>
      </w:r>
    </w:p>
    <w:p w14:paraId="035803AC" w14:textId="30931C04" w:rsidR="009E15D9" w:rsidRPr="004F5A83" w:rsidRDefault="009E15D9" w:rsidP="00F26AF2">
      <w:pPr>
        <w:pStyle w:val="Bodyevidencesummary"/>
        <w:rPr>
          <w:lang w:val="en-NZ"/>
        </w:rPr>
      </w:pPr>
      <w:r w:rsidRPr="004F5A83">
        <w:rPr>
          <w:lang w:val="en-NZ"/>
        </w:rPr>
        <w:t>Data for collection and review include:</w:t>
      </w:r>
    </w:p>
    <w:p w14:paraId="62917D54" w14:textId="1026713E" w:rsidR="009E15D9" w:rsidRPr="004F5A83" w:rsidRDefault="009E15D9" w:rsidP="001D190B">
      <w:pPr>
        <w:pStyle w:val="Bulletsevidencesummary"/>
        <w:ind w:left="357" w:hanging="357"/>
        <w:rPr>
          <w:lang w:val="en-NZ"/>
        </w:rPr>
      </w:pPr>
      <w:r w:rsidRPr="004F5A83">
        <w:rPr>
          <w:lang w:val="en-NZ"/>
        </w:rPr>
        <w:t>hospital-wide cardiac arrest rates (reported per 1</w:t>
      </w:r>
      <w:r w:rsidR="00AB1796">
        <w:rPr>
          <w:lang w:val="en-NZ"/>
        </w:rPr>
        <w:t>,</w:t>
      </w:r>
      <w:r w:rsidRPr="004F5A83">
        <w:rPr>
          <w:lang w:val="en-NZ"/>
        </w:rPr>
        <w:t xml:space="preserve">000 </w:t>
      </w:r>
      <w:r w:rsidR="00513C3E" w:rsidRPr="004F5A83">
        <w:rPr>
          <w:lang w:val="en-NZ"/>
        </w:rPr>
        <w:t xml:space="preserve">hospital </w:t>
      </w:r>
      <w:r w:rsidRPr="004F5A83">
        <w:rPr>
          <w:lang w:val="en-NZ"/>
        </w:rPr>
        <w:t>admissions)</w:t>
      </w:r>
    </w:p>
    <w:p w14:paraId="0281E0ED" w14:textId="0E3AAABD" w:rsidR="009E15D9" w:rsidRPr="004F5A83" w:rsidRDefault="009E15D9" w:rsidP="001D190B">
      <w:pPr>
        <w:pStyle w:val="Bulletsevidencesummary"/>
        <w:ind w:left="357" w:hanging="357"/>
        <w:rPr>
          <w:lang w:val="en-NZ"/>
        </w:rPr>
      </w:pPr>
      <w:r w:rsidRPr="004F5A83">
        <w:rPr>
          <w:lang w:val="en-NZ"/>
        </w:rPr>
        <w:t xml:space="preserve">hospital-wide </w:t>
      </w:r>
      <w:r w:rsidR="00AB1796">
        <w:rPr>
          <w:lang w:val="en-NZ"/>
        </w:rPr>
        <w:t>r</w:t>
      </w:r>
      <w:r w:rsidR="00AB1796" w:rsidRPr="00AB1796">
        <w:rPr>
          <w:lang w:val="en-NZ"/>
        </w:rPr>
        <w:t>apid</w:t>
      </w:r>
      <w:r w:rsidR="00785C15">
        <w:rPr>
          <w:lang w:val="en-NZ"/>
        </w:rPr>
        <w:t xml:space="preserve"> </w:t>
      </w:r>
      <w:r w:rsidR="00AB1796" w:rsidRPr="00AB1796">
        <w:rPr>
          <w:lang w:val="en-NZ"/>
        </w:rPr>
        <w:t>response team</w:t>
      </w:r>
      <w:r w:rsidRPr="004F5A83">
        <w:rPr>
          <w:lang w:val="en-NZ"/>
        </w:rPr>
        <w:t xml:space="preserve"> activation rates (reported per 1</w:t>
      </w:r>
      <w:r w:rsidR="00AB1796">
        <w:rPr>
          <w:lang w:val="en-NZ"/>
        </w:rPr>
        <w:t>,</w:t>
      </w:r>
      <w:r w:rsidRPr="004F5A83">
        <w:rPr>
          <w:lang w:val="en-NZ"/>
        </w:rPr>
        <w:t>000</w:t>
      </w:r>
      <w:r w:rsidR="00513C3E" w:rsidRPr="004F5A83">
        <w:rPr>
          <w:lang w:val="en-NZ"/>
        </w:rPr>
        <w:t xml:space="preserve"> hospital</w:t>
      </w:r>
      <w:r w:rsidRPr="004F5A83">
        <w:rPr>
          <w:lang w:val="en-NZ"/>
        </w:rPr>
        <w:t xml:space="preserve"> admissions)</w:t>
      </w:r>
    </w:p>
    <w:p w14:paraId="4B9E9CAB" w14:textId="42DB2F0C" w:rsidR="009E15D9" w:rsidRPr="004F5A83" w:rsidRDefault="009E15D9" w:rsidP="001D190B">
      <w:pPr>
        <w:pStyle w:val="Bulletsevidencesummary"/>
        <w:ind w:left="357" w:hanging="357"/>
        <w:rPr>
          <w:lang w:val="en-NZ"/>
        </w:rPr>
      </w:pPr>
      <w:r w:rsidRPr="004F5A83">
        <w:rPr>
          <w:lang w:val="en-NZ"/>
        </w:rPr>
        <w:t>rates of unplanned transfers to higher acuity care (</w:t>
      </w:r>
      <w:r w:rsidR="009A73EC" w:rsidRPr="009A73EC">
        <w:rPr>
          <w:lang w:val="en-NZ"/>
        </w:rPr>
        <w:t>for example</w:t>
      </w:r>
      <w:r w:rsidR="00AB1796">
        <w:rPr>
          <w:lang w:val="en-NZ"/>
        </w:rPr>
        <w:t>,</w:t>
      </w:r>
      <w:r w:rsidRPr="004F5A83">
        <w:rPr>
          <w:lang w:val="en-NZ"/>
        </w:rPr>
        <w:t xml:space="preserve"> to intensive care or to a tertiary hospital) </w:t>
      </w:r>
    </w:p>
    <w:p w14:paraId="1EED2B49" w14:textId="77777777" w:rsidR="009E15D9" w:rsidRPr="004F5A83" w:rsidRDefault="009E15D9" w:rsidP="001D190B">
      <w:pPr>
        <w:pStyle w:val="Bulletsevidencesummary"/>
        <w:ind w:left="357" w:hanging="357"/>
        <w:rPr>
          <w:lang w:val="en-NZ"/>
        </w:rPr>
      </w:pPr>
      <w:r w:rsidRPr="004F5A83">
        <w:rPr>
          <w:lang w:val="en-NZ"/>
        </w:rPr>
        <w:t>intermittent audits of vital sign and early warning score documentation</w:t>
      </w:r>
    </w:p>
    <w:p w14:paraId="0BA24DDD" w14:textId="335452EC" w:rsidR="009E15D9" w:rsidRPr="004F5A83" w:rsidRDefault="00151A12" w:rsidP="001D190B">
      <w:pPr>
        <w:pStyle w:val="Bulletsevidencesummary"/>
        <w:ind w:left="357" w:hanging="357"/>
        <w:rPr>
          <w:lang w:val="en-NZ"/>
        </w:rPr>
      </w:pPr>
      <w:r w:rsidRPr="004F5A83">
        <w:rPr>
          <w:lang w:val="en-NZ"/>
        </w:rPr>
        <w:t>where available</w:t>
      </w:r>
      <w:r w:rsidR="00AB1796">
        <w:rPr>
          <w:lang w:val="en-NZ"/>
        </w:rPr>
        <w:t>,</w:t>
      </w:r>
      <w:r w:rsidRPr="004F5A83">
        <w:rPr>
          <w:lang w:val="en-NZ"/>
        </w:rPr>
        <w:t xml:space="preserve"> </w:t>
      </w:r>
      <w:r w:rsidR="009E15D9" w:rsidRPr="004F5A83">
        <w:rPr>
          <w:lang w:val="en-NZ"/>
        </w:rPr>
        <w:t>data from electronic systems to identify missed or delayed escalation</w:t>
      </w:r>
    </w:p>
    <w:p w14:paraId="6C91CF8E" w14:textId="77777777" w:rsidR="009E15D9" w:rsidRPr="004F5A83" w:rsidRDefault="009E15D9" w:rsidP="001D190B">
      <w:pPr>
        <w:pStyle w:val="Bulletsevidencesummary"/>
        <w:ind w:left="357" w:hanging="357"/>
        <w:rPr>
          <w:lang w:val="en-NZ"/>
        </w:rPr>
      </w:pPr>
      <w:r w:rsidRPr="004F5A83">
        <w:rPr>
          <w:lang w:val="en-NZ"/>
        </w:rPr>
        <w:t>data from retrospective case note review to identify missed or delayed escalation</w:t>
      </w:r>
    </w:p>
    <w:p w14:paraId="30D4643C" w14:textId="77777777" w:rsidR="009E15D9" w:rsidRPr="001D190B" w:rsidRDefault="009E15D9" w:rsidP="001D190B">
      <w:pPr>
        <w:pStyle w:val="Bulletsevidencesummary"/>
        <w:ind w:left="357" w:hanging="357"/>
        <w:rPr>
          <w:lang w:val="en-NZ"/>
        </w:rPr>
      </w:pPr>
      <w:r w:rsidRPr="004F5A83">
        <w:rPr>
          <w:lang w:val="en-NZ"/>
        </w:rPr>
        <w:t>periodic surveys of staff attitudes and patient</w:t>
      </w:r>
      <w:r w:rsidR="00C766FD" w:rsidRPr="004F5A83">
        <w:rPr>
          <w:lang w:val="en-NZ"/>
        </w:rPr>
        <w:t>, family and whānau</w:t>
      </w:r>
      <w:r w:rsidRPr="001D190B">
        <w:rPr>
          <w:lang w:val="en-NZ"/>
        </w:rPr>
        <w:t xml:space="preserve"> experiences of using the recognition and response system.</w:t>
      </w:r>
    </w:p>
    <w:p w14:paraId="3951AE80" w14:textId="73B8178D" w:rsidR="00EB3FE8" w:rsidRPr="004F5A83" w:rsidRDefault="00137444" w:rsidP="00785294">
      <w:pPr>
        <w:pStyle w:val="Bodyevidencesummary"/>
        <w:rPr>
          <w:lang w:val="en-NZ"/>
        </w:rPr>
      </w:pPr>
      <w:r w:rsidRPr="004F5A83">
        <w:rPr>
          <w:lang w:val="en-NZ"/>
        </w:rPr>
        <w:t xml:space="preserve">Refer to the measurement guidance provided by the </w:t>
      </w:r>
      <w:r w:rsidR="00363F02">
        <w:rPr>
          <w:lang w:val="en-NZ"/>
        </w:rPr>
        <w:t xml:space="preserve">Health Quality &amp; Safety </w:t>
      </w:r>
      <w:r w:rsidRPr="004F5A83">
        <w:rPr>
          <w:lang w:val="en-NZ"/>
        </w:rPr>
        <w:t xml:space="preserve">Commission for </w:t>
      </w:r>
      <w:r w:rsidR="001A0A98">
        <w:rPr>
          <w:lang w:val="en-NZ"/>
        </w:rPr>
        <w:t xml:space="preserve">further </w:t>
      </w:r>
      <w:r w:rsidR="00957F57" w:rsidRPr="004F5A83">
        <w:rPr>
          <w:lang w:val="en-NZ"/>
        </w:rPr>
        <w:t>information about measures that need to be nationally reported</w:t>
      </w:r>
      <w:r w:rsidR="0047280F" w:rsidRPr="004F5A83">
        <w:rPr>
          <w:lang w:val="en-NZ"/>
        </w:rPr>
        <w:t xml:space="preserve"> through the quality and safety markers</w:t>
      </w:r>
      <w:r w:rsidRPr="004F5A83">
        <w:rPr>
          <w:lang w:val="en-NZ"/>
        </w:rPr>
        <w:t>.</w:t>
      </w:r>
    </w:p>
    <w:p w14:paraId="71415620" w14:textId="72797A31" w:rsidR="000343A1" w:rsidRPr="004F5A83" w:rsidRDefault="00785294" w:rsidP="00785294">
      <w:pPr>
        <w:pStyle w:val="Bodyevidencesummary"/>
        <w:rPr>
          <w:rFonts w:eastAsia="Cambria"/>
          <w:b/>
          <w:color w:val="auto"/>
          <w:sz w:val="24"/>
          <w:lang w:val="en-NZ"/>
        </w:rPr>
      </w:pPr>
      <w:r w:rsidRPr="004F5A83">
        <w:rPr>
          <w:rFonts w:eastAsia="Cambria"/>
          <w:b/>
          <w:color w:val="auto"/>
          <w:sz w:val="24"/>
          <w:lang w:val="en-NZ"/>
        </w:rPr>
        <w:t>Leadership</w:t>
      </w:r>
      <w:r w:rsidR="009944C1" w:rsidRPr="004F5A83">
        <w:rPr>
          <w:rFonts w:eastAsia="Cambria"/>
          <w:b/>
          <w:color w:val="auto"/>
          <w:sz w:val="24"/>
          <w:lang w:val="en-NZ"/>
        </w:rPr>
        <w:t xml:space="preserve"> and operational management </w:t>
      </w:r>
    </w:p>
    <w:p w14:paraId="7291F84B" w14:textId="0D5C3403" w:rsidR="00785294" w:rsidRPr="004F5A83" w:rsidRDefault="00BE0E9F" w:rsidP="00F26AF2">
      <w:pPr>
        <w:pStyle w:val="Bodyevidencesummary"/>
        <w:rPr>
          <w:lang w:val="en-NZ"/>
        </w:rPr>
      </w:pPr>
      <w:r w:rsidRPr="004F5A83">
        <w:rPr>
          <w:lang w:val="en-NZ"/>
        </w:rPr>
        <w:t xml:space="preserve">Multidisciplinary </w:t>
      </w:r>
      <w:r w:rsidR="001E7AB8" w:rsidRPr="004F5A83">
        <w:rPr>
          <w:lang w:val="en-NZ"/>
        </w:rPr>
        <w:t xml:space="preserve">leadership </w:t>
      </w:r>
      <w:r w:rsidR="00886B9B" w:rsidRPr="004F5A83">
        <w:rPr>
          <w:lang w:val="en-NZ"/>
        </w:rPr>
        <w:t>is</w:t>
      </w:r>
      <w:r w:rsidR="001E7AB8" w:rsidRPr="004F5A83">
        <w:rPr>
          <w:lang w:val="en-NZ"/>
        </w:rPr>
        <w:t xml:space="preserve"> required for maintaining successful recognition and response systems</w:t>
      </w:r>
      <w:r w:rsidR="00785294" w:rsidRPr="004F5A83">
        <w:rPr>
          <w:lang w:val="en-NZ"/>
        </w:rPr>
        <w:t>. Leadership</w:t>
      </w:r>
      <w:r w:rsidRPr="004F5A83">
        <w:rPr>
          <w:lang w:val="en-NZ"/>
        </w:rPr>
        <w:t xml:space="preserve"> includ</w:t>
      </w:r>
      <w:r w:rsidR="00785294" w:rsidRPr="004F5A83">
        <w:rPr>
          <w:lang w:val="en-NZ"/>
        </w:rPr>
        <w:t>es</w:t>
      </w:r>
      <w:r w:rsidRPr="004F5A83">
        <w:rPr>
          <w:lang w:val="en-NZ"/>
        </w:rPr>
        <w:t xml:space="preserve"> medicine, nursing, midwifery</w:t>
      </w:r>
      <w:r w:rsidR="00502085">
        <w:rPr>
          <w:lang w:val="en-NZ"/>
        </w:rPr>
        <w:t>,</w:t>
      </w:r>
      <w:r w:rsidRPr="004F5A83">
        <w:rPr>
          <w:lang w:val="en-NZ"/>
        </w:rPr>
        <w:t xml:space="preserve"> allied </w:t>
      </w:r>
      <w:proofErr w:type="gramStart"/>
      <w:r w:rsidRPr="004F5A83">
        <w:rPr>
          <w:lang w:val="en-NZ"/>
        </w:rPr>
        <w:t>health</w:t>
      </w:r>
      <w:proofErr w:type="gramEnd"/>
      <w:r w:rsidRPr="004F5A83">
        <w:rPr>
          <w:lang w:val="en-NZ"/>
        </w:rPr>
        <w:t xml:space="preserve"> and Māori </w:t>
      </w:r>
      <w:r w:rsidR="00363F02">
        <w:rPr>
          <w:lang w:val="en-NZ"/>
        </w:rPr>
        <w:t>h</w:t>
      </w:r>
      <w:r w:rsidRPr="004F5A83">
        <w:rPr>
          <w:lang w:val="en-NZ"/>
        </w:rPr>
        <w:t xml:space="preserve">ealth </w:t>
      </w:r>
      <w:r w:rsidR="00363F02">
        <w:rPr>
          <w:lang w:val="en-NZ"/>
        </w:rPr>
        <w:t>o</w:t>
      </w:r>
      <w:r w:rsidRPr="004F5A83">
        <w:rPr>
          <w:lang w:val="en-NZ"/>
        </w:rPr>
        <w:t>utcomes</w:t>
      </w:r>
      <w:r w:rsidR="00363F02">
        <w:rPr>
          <w:lang w:val="en-NZ"/>
        </w:rPr>
        <w:t>.</w:t>
      </w:r>
      <w:r w:rsidR="001E7AB8" w:rsidRPr="004F5A83">
        <w:rPr>
          <w:lang w:val="en-NZ"/>
        </w:rPr>
        <w:t xml:space="preserve"> </w:t>
      </w:r>
      <w:r w:rsidRPr="004F5A83">
        <w:rPr>
          <w:lang w:val="en-NZ"/>
        </w:rPr>
        <w:t xml:space="preserve">The </w:t>
      </w:r>
      <w:r w:rsidR="00363F02">
        <w:rPr>
          <w:lang w:val="en-NZ"/>
        </w:rPr>
        <w:t>c</w:t>
      </w:r>
      <w:r w:rsidRPr="004F5A83">
        <w:rPr>
          <w:lang w:val="en-NZ"/>
        </w:rPr>
        <w:t>ommittee should also include a minimum of two consumer</w:t>
      </w:r>
      <w:r w:rsidR="00FF2D66" w:rsidRPr="004F5A83">
        <w:rPr>
          <w:lang w:val="en-NZ"/>
        </w:rPr>
        <w:t>s and members</w:t>
      </w:r>
      <w:r w:rsidR="004F5A83">
        <w:rPr>
          <w:lang w:val="en-NZ"/>
        </w:rPr>
        <w:t xml:space="preserve"> </w:t>
      </w:r>
      <w:r w:rsidR="00FF2D66" w:rsidRPr="004F5A83">
        <w:rPr>
          <w:lang w:val="en-NZ"/>
        </w:rPr>
        <w:t>from the advance care planning programme and end</w:t>
      </w:r>
      <w:r w:rsidR="00363F02">
        <w:rPr>
          <w:lang w:val="en-NZ"/>
        </w:rPr>
        <w:t>-</w:t>
      </w:r>
      <w:r w:rsidR="00FF2D66" w:rsidRPr="004F5A83">
        <w:rPr>
          <w:lang w:val="en-NZ"/>
        </w:rPr>
        <w:t>of</w:t>
      </w:r>
      <w:r w:rsidR="00363F02">
        <w:rPr>
          <w:lang w:val="en-NZ"/>
        </w:rPr>
        <w:t>-</w:t>
      </w:r>
      <w:r w:rsidR="00FF2D66" w:rsidRPr="004F5A83">
        <w:rPr>
          <w:lang w:val="en-NZ"/>
        </w:rPr>
        <w:t>life pathways</w:t>
      </w:r>
      <w:r w:rsidRPr="004F5A83">
        <w:rPr>
          <w:lang w:val="en-NZ"/>
        </w:rPr>
        <w:t xml:space="preserve">. </w:t>
      </w:r>
    </w:p>
    <w:p w14:paraId="64EF3A06" w14:textId="0A116232" w:rsidR="00886B9B" w:rsidRPr="004F5A83" w:rsidRDefault="00886B9B" w:rsidP="00502085">
      <w:pPr>
        <w:pStyle w:val="Bodyevidencesummary"/>
        <w:keepNext/>
        <w:rPr>
          <w:lang w:val="en-NZ"/>
        </w:rPr>
      </w:pPr>
      <w:r w:rsidRPr="004F5A83">
        <w:rPr>
          <w:lang w:val="en-NZ"/>
        </w:rPr>
        <w:lastRenderedPageBreak/>
        <w:t xml:space="preserve">Responsibilities of </w:t>
      </w:r>
      <w:r w:rsidR="00BD078A" w:rsidRPr="004F5A83">
        <w:rPr>
          <w:lang w:val="en-NZ"/>
        </w:rPr>
        <w:t xml:space="preserve">leaders </w:t>
      </w:r>
      <w:r w:rsidRPr="004F5A83">
        <w:rPr>
          <w:lang w:val="en-NZ"/>
        </w:rPr>
        <w:t xml:space="preserve">may include: </w:t>
      </w:r>
    </w:p>
    <w:p w14:paraId="4891DDDB" w14:textId="77777777" w:rsidR="00A7350A" w:rsidRPr="004F5A83" w:rsidRDefault="00817ACB" w:rsidP="001D190B">
      <w:pPr>
        <w:pStyle w:val="Bulletsevidencesummary"/>
        <w:ind w:left="357" w:hanging="357"/>
        <w:rPr>
          <w:lang w:val="en-NZ"/>
        </w:rPr>
      </w:pPr>
      <w:r w:rsidRPr="004F5A83">
        <w:rPr>
          <w:lang w:val="en-NZ"/>
        </w:rPr>
        <w:t>advocating</w:t>
      </w:r>
      <w:r w:rsidR="00A7350A" w:rsidRPr="004F5A83">
        <w:rPr>
          <w:lang w:val="en-NZ"/>
        </w:rPr>
        <w:t xml:space="preserve"> for use of the recognition and response system with clinical colleagues</w:t>
      </w:r>
    </w:p>
    <w:p w14:paraId="1EF9070F" w14:textId="77777777" w:rsidR="006012C0" w:rsidRPr="004F5A83" w:rsidRDefault="006012C0" w:rsidP="001D190B">
      <w:pPr>
        <w:pStyle w:val="Bulletsevidencesummary"/>
        <w:ind w:left="357" w:hanging="357"/>
        <w:rPr>
          <w:lang w:val="en-NZ"/>
        </w:rPr>
      </w:pPr>
      <w:r w:rsidRPr="004F5A83">
        <w:rPr>
          <w:lang w:val="en-NZ"/>
        </w:rPr>
        <w:t>working with consumers to co-design elements of the recognition and response system (for example, patient</w:t>
      </w:r>
      <w:r w:rsidR="00C766FD" w:rsidRPr="004F5A83">
        <w:rPr>
          <w:lang w:val="en-NZ"/>
        </w:rPr>
        <w:t>,</w:t>
      </w:r>
      <w:r w:rsidRPr="004F5A83">
        <w:rPr>
          <w:lang w:val="en-NZ"/>
        </w:rPr>
        <w:t xml:space="preserve"> family</w:t>
      </w:r>
      <w:r w:rsidR="00C766FD" w:rsidRPr="004F5A83">
        <w:rPr>
          <w:lang w:val="en-NZ"/>
        </w:rPr>
        <w:t xml:space="preserve"> and whānau</w:t>
      </w:r>
      <w:r w:rsidRPr="004F5A83">
        <w:rPr>
          <w:lang w:val="en-NZ"/>
        </w:rPr>
        <w:t xml:space="preserve"> escalation pathways)</w:t>
      </w:r>
    </w:p>
    <w:p w14:paraId="52907E86" w14:textId="77777777" w:rsidR="00886B9B" w:rsidRPr="004F5A83" w:rsidRDefault="006012C0" w:rsidP="001D190B">
      <w:pPr>
        <w:pStyle w:val="Bulletsevidencesummary"/>
        <w:ind w:left="357" w:hanging="357"/>
        <w:rPr>
          <w:lang w:val="en-NZ"/>
        </w:rPr>
      </w:pPr>
      <w:r w:rsidRPr="004F5A83">
        <w:rPr>
          <w:lang w:val="en-NZ"/>
        </w:rPr>
        <w:t xml:space="preserve">collaborating with </w:t>
      </w:r>
      <w:r w:rsidR="00693FA8" w:rsidRPr="004F5A83">
        <w:rPr>
          <w:lang w:val="en-NZ"/>
        </w:rPr>
        <w:t>colleagues with expertise in patient safety and quality improvement, and</w:t>
      </w:r>
      <w:r w:rsidRPr="004F5A83">
        <w:rPr>
          <w:lang w:val="en-NZ"/>
        </w:rPr>
        <w:t xml:space="preserve"> </w:t>
      </w:r>
      <w:r w:rsidR="00693FA8" w:rsidRPr="004F5A83">
        <w:rPr>
          <w:lang w:val="en-NZ"/>
        </w:rPr>
        <w:t xml:space="preserve">with </w:t>
      </w:r>
      <w:r w:rsidRPr="004F5A83">
        <w:rPr>
          <w:lang w:val="en-NZ"/>
        </w:rPr>
        <w:t>consumers</w:t>
      </w:r>
      <w:r w:rsidR="00693FA8" w:rsidRPr="004F5A83">
        <w:rPr>
          <w:lang w:val="en-NZ"/>
        </w:rPr>
        <w:t>,</w:t>
      </w:r>
      <w:r w:rsidRPr="004F5A83">
        <w:rPr>
          <w:lang w:val="en-NZ"/>
        </w:rPr>
        <w:t xml:space="preserve"> to design</w:t>
      </w:r>
      <w:r w:rsidR="001C2D94" w:rsidRPr="004F5A83">
        <w:rPr>
          <w:lang w:val="en-NZ"/>
        </w:rPr>
        <w:t xml:space="preserve"> processes, policies and</w:t>
      </w:r>
      <w:r w:rsidRPr="004F5A83">
        <w:rPr>
          <w:lang w:val="en-NZ"/>
        </w:rPr>
        <w:t xml:space="preserve"> improvements to the recognition and response system</w:t>
      </w:r>
    </w:p>
    <w:p w14:paraId="0C52BDBD" w14:textId="295475D8" w:rsidR="00886B9B" w:rsidRPr="004F5A83" w:rsidRDefault="00693FA8" w:rsidP="001D190B">
      <w:pPr>
        <w:pStyle w:val="Bulletsevidencesummary"/>
        <w:ind w:left="357" w:hanging="357"/>
        <w:rPr>
          <w:lang w:val="en-NZ"/>
        </w:rPr>
      </w:pPr>
      <w:r w:rsidRPr="004F5A83">
        <w:rPr>
          <w:lang w:val="en-NZ"/>
        </w:rPr>
        <w:t xml:space="preserve">providing </w:t>
      </w:r>
      <w:r w:rsidR="00C766FD" w:rsidRPr="004F5A83">
        <w:rPr>
          <w:lang w:val="en-NZ"/>
        </w:rPr>
        <w:t xml:space="preserve">or seeking </w:t>
      </w:r>
      <w:r w:rsidRPr="004F5A83">
        <w:rPr>
          <w:lang w:val="en-NZ"/>
        </w:rPr>
        <w:t>expert clinical advice to</w:t>
      </w:r>
      <w:r w:rsidR="005A2FD3" w:rsidRPr="004F5A83">
        <w:rPr>
          <w:lang w:val="en-NZ"/>
        </w:rPr>
        <w:t xml:space="preserve"> inform</w:t>
      </w:r>
      <w:r w:rsidR="00886B9B" w:rsidRPr="004F5A83">
        <w:rPr>
          <w:lang w:val="en-NZ"/>
        </w:rPr>
        <w:t xml:space="preserve"> adverse event investigations </w:t>
      </w:r>
      <w:r w:rsidR="00BE0E9F" w:rsidRPr="004F5A83">
        <w:rPr>
          <w:lang w:val="en-NZ"/>
        </w:rPr>
        <w:t>where there is opportunity for the system to improve in</w:t>
      </w:r>
      <w:r w:rsidR="004F5A83">
        <w:rPr>
          <w:lang w:val="en-NZ"/>
        </w:rPr>
        <w:t xml:space="preserve"> </w:t>
      </w:r>
      <w:r w:rsidR="00886B9B" w:rsidRPr="004F5A83">
        <w:rPr>
          <w:lang w:val="en-NZ"/>
        </w:rPr>
        <w:t>recogni</w:t>
      </w:r>
      <w:r w:rsidR="00BE0E9F" w:rsidRPr="004F5A83">
        <w:rPr>
          <w:lang w:val="en-NZ"/>
        </w:rPr>
        <w:t>tion</w:t>
      </w:r>
      <w:r w:rsidR="00886B9B" w:rsidRPr="004F5A83">
        <w:rPr>
          <w:lang w:val="en-NZ"/>
        </w:rPr>
        <w:t xml:space="preserve"> or respon</w:t>
      </w:r>
      <w:r w:rsidR="00BE0E9F" w:rsidRPr="004F5A83">
        <w:rPr>
          <w:lang w:val="en-NZ"/>
        </w:rPr>
        <w:t>se</w:t>
      </w:r>
      <w:r w:rsidR="00886B9B" w:rsidRPr="004F5A83">
        <w:rPr>
          <w:lang w:val="en-NZ"/>
        </w:rPr>
        <w:t xml:space="preserve"> to deterioration</w:t>
      </w:r>
    </w:p>
    <w:p w14:paraId="5D45B414" w14:textId="0FAE1B2B" w:rsidR="00886B9B" w:rsidRPr="004F5A83" w:rsidRDefault="00886B9B" w:rsidP="001D190B">
      <w:pPr>
        <w:pStyle w:val="Bulletsevidencesummary"/>
        <w:ind w:left="357" w:hanging="357"/>
        <w:rPr>
          <w:lang w:val="en-NZ"/>
        </w:rPr>
      </w:pPr>
      <w:r w:rsidRPr="004F5A83">
        <w:rPr>
          <w:lang w:val="en-NZ"/>
        </w:rPr>
        <w:t>advising on the content of education and training about topics such as vital sign and early warning score measurement and docu</w:t>
      </w:r>
      <w:r w:rsidR="00137444" w:rsidRPr="004F5A83">
        <w:rPr>
          <w:lang w:val="en-NZ"/>
        </w:rPr>
        <w:t xml:space="preserve">mentation, escalation of care, </w:t>
      </w:r>
      <w:proofErr w:type="gramStart"/>
      <w:r w:rsidRPr="004F5A83">
        <w:rPr>
          <w:lang w:val="en-NZ"/>
        </w:rPr>
        <w:t>assessment</w:t>
      </w:r>
      <w:proofErr w:type="gramEnd"/>
      <w:r w:rsidRPr="004F5A83">
        <w:rPr>
          <w:lang w:val="en-NZ"/>
        </w:rPr>
        <w:t xml:space="preserve"> and care of patients whose condition deteriorates, </w:t>
      </w:r>
      <w:r w:rsidR="009B3C74">
        <w:rPr>
          <w:lang w:val="en-NZ"/>
        </w:rPr>
        <w:t xml:space="preserve">and </w:t>
      </w:r>
      <w:r w:rsidRPr="004F5A83">
        <w:rPr>
          <w:lang w:val="en-NZ"/>
        </w:rPr>
        <w:t>teamwork</w:t>
      </w:r>
      <w:r w:rsidR="008E38D6" w:rsidRPr="004F5A83">
        <w:rPr>
          <w:lang w:val="en-NZ"/>
        </w:rPr>
        <w:t>,</w:t>
      </w:r>
      <w:r w:rsidRPr="004F5A83">
        <w:rPr>
          <w:lang w:val="en-NZ"/>
        </w:rPr>
        <w:t xml:space="preserve"> </w:t>
      </w:r>
      <w:r w:rsidR="00693FA8" w:rsidRPr="004F5A83">
        <w:rPr>
          <w:lang w:val="en-NZ"/>
        </w:rPr>
        <w:t xml:space="preserve">handover </w:t>
      </w:r>
      <w:r w:rsidRPr="004F5A83">
        <w:rPr>
          <w:lang w:val="en-NZ"/>
        </w:rPr>
        <w:t>and communication.</w:t>
      </w:r>
    </w:p>
    <w:p w14:paraId="561A5ADA" w14:textId="25440F10" w:rsidR="003D006E" w:rsidRPr="004F5A83" w:rsidRDefault="003D006E" w:rsidP="001D190B">
      <w:pPr>
        <w:pStyle w:val="Bodyevidencesummary"/>
      </w:pPr>
      <w:r w:rsidRPr="004F5A83">
        <w:t xml:space="preserve">Day-to-day management of the recognition and response system </w:t>
      </w:r>
      <w:r w:rsidR="00BE0E9F" w:rsidRPr="004F5A83">
        <w:t xml:space="preserve">should </w:t>
      </w:r>
      <w:r w:rsidRPr="004F5A83">
        <w:t>be allocated to</w:t>
      </w:r>
      <w:r w:rsidR="004F5A83">
        <w:t xml:space="preserve"> </w:t>
      </w:r>
      <w:r w:rsidR="007D669A" w:rsidRPr="004F5A83">
        <w:t xml:space="preserve">people </w:t>
      </w:r>
      <w:r w:rsidR="00BE0E9F" w:rsidRPr="004F5A83">
        <w:t>with</w:t>
      </w:r>
      <w:r w:rsidRPr="004F5A83">
        <w:t xml:space="preserve"> the relevant skills, </w:t>
      </w:r>
      <w:proofErr w:type="gramStart"/>
      <w:r w:rsidRPr="004F5A83">
        <w:t>experience</w:t>
      </w:r>
      <w:proofErr w:type="gramEnd"/>
      <w:r w:rsidRPr="004F5A83">
        <w:t xml:space="preserve"> and delegations to address operational requirements. </w:t>
      </w:r>
      <w:r w:rsidR="001E7AB8" w:rsidRPr="004F5A83">
        <w:t>Th</w:t>
      </w:r>
      <w:r w:rsidR="00B061C6" w:rsidRPr="004F5A83">
        <w:t>e</w:t>
      </w:r>
      <w:r w:rsidR="001E7AB8" w:rsidRPr="004F5A83">
        <w:t>s</w:t>
      </w:r>
      <w:r w:rsidR="00B061C6" w:rsidRPr="004F5A83">
        <w:t>e</w:t>
      </w:r>
      <w:r w:rsidR="001E7AB8" w:rsidRPr="004F5A83">
        <w:t xml:space="preserve"> may be</w:t>
      </w:r>
      <w:r w:rsidR="004F5A83">
        <w:t xml:space="preserve"> </w:t>
      </w:r>
      <w:r w:rsidR="001E7AB8" w:rsidRPr="004F5A83">
        <w:t>specifically established role</w:t>
      </w:r>
      <w:r w:rsidR="00B061C6" w:rsidRPr="004F5A83">
        <w:t>s</w:t>
      </w:r>
      <w:r w:rsidR="001E7AB8" w:rsidRPr="004F5A83">
        <w:t xml:space="preserve"> in large hospitals or incorporated into existin</w:t>
      </w:r>
      <w:r w:rsidR="006012C0" w:rsidRPr="004F5A83">
        <w:t>g role</w:t>
      </w:r>
      <w:r w:rsidR="007D669A" w:rsidRPr="004F5A83">
        <w:t>s</w:t>
      </w:r>
      <w:r w:rsidR="006012C0" w:rsidRPr="004F5A83">
        <w:t xml:space="preserve"> in smaller hospitals. </w:t>
      </w:r>
      <w:r w:rsidR="001E7AB8" w:rsidRPr="004F5A83">
        <w:t>Responsibilities of the operational leader of the recognition and response system</w:t>
      </w:r>
      <w:r w:rsidRPr="004F5A83">
        <w:t xml:space="preserve"> include</w:t>
      </w:r>
      <w:r w:rsidR="007D669A" w:rsidRPr="004F5A83">
        <w:t xml:space="preserve"> coordination and oversight of</w:t>
      </w:r>
      <w:r w:rsidRPr="004F5A83">
        <w:t>:</w:t>
      </w:r>
    </w:p>
    <w:p w14:paraId="4C1C3323" w14:textId="17E335B8" w:rsidR="001E7AB8" w:rsidRPr="00E85EA2" w:rsidRDefault="001E7AB8" w:rsidP="00502085">
      <w:pPr>
        <w:pStyle w:val="Bulletsevidencesummary"/>
        <w:ind w:left="357" w:hanging="357"/>
        <w:rPr>
          <w:lang w:val="en-NZ"/>
        </w:rPr>
      </w:pPr>
      <w:r w:rsidRPr="001D190B">
        <w:rPr>
          <w:lang w:val="en-NZ"/>
        </w:rPr>
        <w:t>manag</w:t>
      </w:r>
      <w:r w:rsidR="00A732B6" w:rsidRPr="001D190B">
        <w:rPr>
          <w:lang w:val="en-NZ"/>
        </w:rPr>
        <w:t>ing</w:t>
      </w:r>
      <w:r w:rsidRPr="001D190B">
        <w:rPr>
          <w:lang w:val="en-NZ"/>
        </w:rPr>
        <w:t xml:space="preserve"> specialist responders </w:t>
      </w:r>
      <w:r w:rsidR="00A732B6" w:rsidRPr="001D190B">
        <w:rPr>
          <w:lang w:val="en-NZ"/>
        </w:rPr>
        <w:t>(for example</w:t>
      </w:r>
      <w:r w:rsidR="009A73EC" w:rsidRPr="001D190B">
        <w:rPr>
          <w:lang w:val="en-NZ"/>
        </w:rPr>
        <w:t>,</w:t>
      </w:r>
      <w:r w:rsidR="00A732B6" w:rsidRPr="001D190B">
        <w:rPr>
          <w:lang w:val="en-NZ"/>
        </w:rPr>
        <w:t xml:space="preserve"> intensive care outreach nurses</w:t>
      </w:r>
      <w:r w:rsidR="001C2D94" w:rsidRPr="001D190B">
        <w:rPr>
          <w:lang w:val="en-NZ"/>
        </w:rPr>
        <w:t xml:space="preserve"> or other senior medical nursing</w:t>
      </w:r>
      <w:r w:rsidR="00BE0E9F" w:rsidRPr="001D190B">
        <w:rPr>
          <w:lang w:val="en-NZ"/>
        </w:rPr>
        <w:t xml:space="preserve"> or midwifery</w:t>
      </w:r>
      <w:r w:rsidR="001C2D94" w:rsidRPr="001D190B">
        <w:rPr>
          <w:lang w:val="en-NZ"/>
        </w:rPr>
        <w:t xml:space="preserve"> staff</w:t>
      </w:r>
      <w:r w:rsidR="00A732B6" w:rsidRPr="001D190B">
        <w:rPr>
          <w:lang w:val="en-NZ"/>
        </w:rPr>
        <w:t xml:space="preserve">) </w:t>
      </w:r>
      <w:r w:rsidRPr="001D190B">
        <w:rPr>
          <w:lang w:val="en-NZ"/>
        </w:rPr>
        <w:t xml:space="preserve">and </w:t>
      </w:r>
      <w:r w:rsidR="00A732B6" w:rsidRPr="001D190B">
        <w:rPr>
          <w:lang w:val="en-NZ"/>
        </w:rPr>
        <w:t xml:space="preserve">coordinating the day-to-day work of </w:t>
      </w:r>
      <w:r w:rsidRPr="001D190B">
        <w:rPr>
          <w:lang w:val="en-NZ"/>
        </w:rPr>
        <w:t xml:space="preserve">rapid response team </w:t>
      </w:r>
      <w:r w:rsidR="00A732B6" w:rsidRPr="001D190B">
        <w:rPr>
          <w:lang w:val="en-NZ"/>
        </w:rPr>
        <w:t>members</w:t>
      </w:r>
    </w:p>
    <w:p w14:paraId="70E2ACAA" w14:textId="77777777" w:rsidR="001E7AB8" w:rsidRPr="00EE2843" w:rsidRDefault="001E7AB8" w:rsidP="00502085">
      <w:pPr>
        <w:pStyle w:val="Bulletsevidencesummary"/>
        <w:ind w:left="357" w:hanging="357"/>
        <w:rPr>
          <w:lang w:val="en-NZ"/>
        </w:rPr>
      </w:pPr>
      <w:r w:rsidRPr="00E85EA2">
        <w:rPr>
          <w:lang w:val="en-NZ"/>
        </w:rPr>
        <w:t xml:space="preserve">coordinating access to required </w:t>
      </w:r>
      <w:r w:rsidR="001C2D94" w:rsidRPr="00EE2843">
        <w:rPr>
          <w:lang w:val="en-NZ"/>
        </w:rPr>
        <w:t xml:space="preserve">education </w:t>
      </w:r>
      <w:r w:rsidRPr="00EE2843">
        <w:rPr>
          <w:lang w:val="en-NZ"/>
        </w:rPr>
        <w:t xml:space="preserve">and </w:t>
      </w:r>
      <w:r w:rsidR="001C2D94" w:rsidRPr="00EE2843">
        <w:rPr>
          <w:lang w:val="en-NZ"/>
        </w:rPr>
        <w:t xml:space="preserve">training </w:t>
      </w:r>
      <w:r w:rsidRPr="00EE2843">
        <w:rPr>
          <w:lang w:val="en-NZ"/>
        </w:rPr>
        <w:t>for participants in the recognition and response system</w:t>
      </w:r>
    </w:p>
    <w:p w14:paraId="4306E5A0" w14:textId="5D9B14FE" w:rsidR="001E7AB8" w:rsidRPr="00EE2843" w:rsidRDefault="001E7AB8" w:rsidP="00502085">
      <w:pPr>
        <w:pStyle w:val="Bulletsevidencesummary"/>
        <w:ind w:left="357" w:hanging="357"/>
        <w:rPr>
          <w:lang w:val="en-NZ"/>
        </w:rPr>
      </w:pPr>
      <w:r w:rsidRPr="00EE2843">
        <w:rPr>
          <w:lang w:val="en-NZ"/>
        </w:rPr>
        <w:t xml:space="preserve">data collection </w:t>
      </w:r>
      <w:r w:rsidR="00A732B6" w:rsidRPr="00EE2843">
        <w:rPr>
          <w:lang w:val="en-NZ"/>
        </w:rPr>
        <w:t>reporting</w:t>
      </w:r>
      <w:r w:rsidR="00BE0E9F" w:rsidRPr="00EE2843">
        <w:rPr>
          <w:lang w:val="en-NZ"/>
        </w:rPr>
        <w:t xml:space="preserve"> and analysis</w:t>
      </w:r>
    </w:p>
    <w:p w14:paraId="45E6231C" w14:textId="2A7B3A89" w:rsidR="009B3C74" w:rsidRPr="00EE2843" w:rsidRDefault="003D006E" w:rsidP="00502085">
      <w:pPr>
        <w:pStyle w:val="Bulletsevidencesummary"/>
        <w:ind w:left="357" w:hanging="357"/>
        <w:rPr>
          <w:lang w:val="en-NZ"/>
        </w:rPr>
      </w:pPr>
      <w:r w:rsidRPr="00EE2843">
        <w:rPr>
          <w:lang w:val="en-NZ"/>
        </w:rPr>
        <w:t>policy and process implementation</w:t>
      </w:r>
    </w:p>
    <w:p w14:paraId="76845717" w14:textId="218141E5" w:rsidR="00785294" w:rsidRPr="00EE2843" w:rsidRDefault="003D006E" w:rsidP="00502085">
      <w:pPr>
        <w:pStyle w:val="Bulletsevidencesummary"/>
        <w:ind w:left="357" w:hanging="357"/>
        <w:rPr>
          <w:lang w:val="en-NZ"/>
        </w:rPr>
      </w:pPr>
      <w:r w:rsidRPr="00EE2843">
        <w:rPr>
          <w:lang w:val="en-NZ"/>
        </w:rPr>
        <w:t>manag</w:t>
      </w:r>
      <w:r w:rsidR="00A732B6" w:rsidRPr="00EE2843">
        <w:rPr>
          <w:lang w:val="en-NZ"/>
        </w:rPr>
        <w:t xml:space="preserve">ing </w:t>
      </w:r>
      <w:r w:rsidRPr="00EE2843">
        <w:rPr>
          <w:lang w:val="en-NZ"/>
        </w:rPr>
        <w:t>day-to-day</w:t>
      </w:r>
      <w:r w:rsidR="00A732B6" w:rsidRPr="00EE2843">
        <w:rPr>
          <w:lang w:val="en-NZ"/>
        </w:rPr>
        <w:t xml:space="preserve"> process </w:t>
      </w:r>
      <w:r w:rsidRPr="00EE2843">
        <w:rPr>
          <w:lang w:val="en-NZ"/>
        </w:rPr>
        <w:t>issues</w:t>
      </w:r>
      <w:r w:rsidR="001E7AB8" w:rsidRPr="00EE2843">
        <w:rPr>
          <w:lang w:val="en-NZ"/>
        </w:rPr>
        <w:t>.</w:t>
      </w:r>
    </w:p>
    <w:p w14:paraId="10075EB7" w14:textId="77777777" w:rsidR="009A73EC" w:rsidRDefault="009A73EC" w:rsidP="00785294">
      <w:pPr>
        <w:pStyle w:val="Bulletsevidencesummary"/>
        <w:numPr>
          <w:ilvl w:val="0"/>
          <w:numId w:val="0"/>
        </w:numPr>
        <w:ind w:left="357" w:hanging="357"/>
        <w:rPr>
          <w:rFonts w:eastAsia="Cambria"/>
          <w:b/>
          <w:color w:val="auto"/>
          <w:sz w:val="24"/>
          <w:lang w:val="en-NZ"/>
        </w:rPr>
      </w:pPr>
    </w:p>
    <w:p w14:paraId="4E0E004C" w14:textId="491D9C70" w:rsidR="0050501D" w:rsidRPr="004F5A83" w:rsidRDefault="000D2610" w:rsidP="00785294">
      <w:pPr>
        <w:pStyle w:val="Bulletsevidencesummary"/>
        <w:numPr>
          <w:ilvl w:val="0"/>
          <w:numId w:val="0"/>
        </w:numPr>
        <w:ind w:left="357" w:hanging="357"/>
        <w:rPr>
          <w:rFonts w:eastAsia="Cambria"/>
          <w:b/>
          <w:color w:val="auto"/>
          <w:sz w:val="24"/>
          <w:lang w:val="en-NZ"/>
        </w:rPr>
      </w:pPr>
      <w:r w:rsidRPr="004F5A83">
        <w:rPr>
          <w:rFonts w:eastAsia="Cambria"/>
          <w:b/>
          <w:color w:val="auto"/>
          <w:sz w:val="24"/>
          <w:lang w:val="en-NZ"/>
        </w:rPr>
        <w:t>References</w:t>
      </w:r>
    </w:p>
    <w:p w14:paraId="0A2E4698" w14:textId="4CA1E7A1" w:rsidR="0050501D" w:rsidRPr="004F5A83" w:rsidRDefault="0050501D" w:rsidP="005A2FD3">
      <w:pPr>
        <w:pStyle w:val="Default"/>
        <w:spacing w:after="120"/>
        <w:rPr>
          <w:rFonts w:ascii="Arial" w:eastAsia="Arial" w:hAnsi="Arial" w:cs="Arial"/>
          <w:sz w:val="18"/>
          <w:szCs w:val="18"/>
        </w:rPr>
      </w:pPr>
      <w:r w:rsidRPr="004F5A83">
        <w:rPr>
          <w:rFonts w:ascii="Arial" w:eastAsia="Arial" w:hAnsi="Arial" w:cs="Arial"/>
          <w:sz w:val="18"/>
          <w:szCs w:val="18"/>
        </w:rPr>
        <w:fldChar w:fldCharType="begin"/>
      </w:r>
      <w:r w:rsidRPr="004F5A83">
        <w:rPr>
          <w:rFonts w:ascii="Arial" w:eastAsia="Arial" w:hAnsi="Arial" w:cs="Arial"/>
          <w:sz w:val="18"/>
          <w:szCs w:val="18"/>
        </w:rPr>
        <w:instrText xml:space="preserve"> ADDIN EN.REFLIST </w:instrText>
      </w:r>
      <w:r w:rsidRPr="004F5A83">
        <w:rPr>
          <w:rFonts w:ascii="Arial" w:eastAsia="Arial" w:hAnsi="Arial" w:cs="Arial"/>
          <w:sz w:val="18"/>
          <w:szCs w:val="18"/>
        </w:rPr>
        <w:fldChar w:fldCharType="separate"/>
      </w:r>
      <w:bookmarkStart w:id="1" w:name="_ENREF_1"/>
      <w:r w:rsidR="00F26AF2" w:rsidRPr="004F5A83">
        <w:rPr>
          <w:rFonts w:ascii="Arial" w:eastAsia="Arial" w:hAnsi="Arial" w:cs="Arial"/>
          <w:sz w:val="18"/>
          <w:szCs w:val="18"/>
        </w:rPr>
        <w:t xml:space="preserve">1. </w:t>
      </w:r>
      <w:r w:rsidRPr="004F5A83">
        <w:rPr>
          <w:rFonts w:ascii="Arial" w:eastAsia="Arial" w:hAnsi="Arial" w:cs="Arial"/>
          <w:sz w:val="18"/>
          <w:szCs w:val="18"/>
        </w:rPr>
        <w:t xml:space="preserve">Cioffi J, Salter C, Wilkes L, </w:t>
      </w:r>
      <w:r w:rsidR="00873C78">
        <w:rPr>
          <w:rFonts w:ascii="Arial" w:eastAsia="Arial" w:hAnsi="Arial" w:cs="Arial"/>
          <w:sz w:val="18"/>
          <w:szCs w:val="18"/>
        </w:rPr>
        <w:t>et al</w:t>
      </w:r>
      <w:r w:rsidRPr="004F5A83">
        <w:rPr>
          <w:rFonts w:ascii="Arial" w:eastAsia="Arial" w:hAnsi="Arial" w:cs="Arial"/>
          <w:sz w:val="18"/>
          <w:szCs w:val="18"/>
        </w:rPr>
        <w:t xml:space="preserve">. </w:t>
      </w:r>
      <w:r w:rsidR="00B22222" w:rsidRPr="004F5A83">
        <w:rPr>
          <w:rFonts w:ascii="Arial" w:eastAsia="Arial" w:hAnsi="Arial" w:cs="Arial"/>
          <w:sz w:val="18"/>
          <w:szCs w:val="18"/>
        </w:rPr>
        <w:t xml:space="preserve">2006. </w:t>
      </w:r>
      <w:r w:rsidRPr="004F5A83">
        <w:rPr>
          <w:rFonts w:ascii="Arial" w:eastAsia="Arial" w:hAnsi="Arial" w:cs="Arial"/>
          <w:sz w:val="18"/>
          <w:szCs w:val="18"/>
        </w:rPr>
        <w:t>Clinicians</w:t>
      </w:r>
      <w:r w:rsidR="00873C78">
        <w:rPr>
          <w:rFonts w:ascii="Arial" w:eastAsia="Arial" w:hAnsi="Arial" w:cs="Arial"/>
          <w:sz w:val="18"/>
          <w:szCs w:val="18"/>
        </w:rPr>
        <w:t>’</w:t>
      </w:r>
      <w:r w:rsidRPr="004F5A83">
        <w:rPr>
          <w:rFonts w:ascii="Arial" w:eastAsia="Arial" w:hAnsi="Arial" w:cs="Arial"/>
          <w:sz w:val="18"/>
          <w:szCs w:val="18"/>
        </w:rPr>
        <w:t xml:space="preserve"> responses to abnormal vital signs in an emergency department. </w:t>
      </w:r>
      <w:r w:rsidRPr="004F5A83">
        <w:rPr>
          <w:rFonts w:ascii="Arial" w:eastAsia="Arial" w:hAnsi="Arial" w:cs="Arial"/>
          <w:i/>
          <w:sz w:val="18"/>
          <w:szCs w:val="18"/>
        </w:rPr>
        <w:t>Australian Critical Care</w:t>
      </w:r>
      <w:r w:rsidRPr="004F5A83">
        <w:rPr>
          <w:rFonts w:ascii="Arial" w:eastAsia="Arial" w:hAnsi="Arial" w:cs="Arial"/>
          <w:sz w:val="18"/>
          <w:szCs w:val="18"/>
        </w:rPr>
        <w:t xml:space="preserve"> 19: 66</w:t>
      </w:r>
      <w:r w:rsidR="00873C78">
        <w:rPr>
          <w:rFonts w:ascii="Arial" w:eastAsia="Arial" w:hAnsi="Arial" w:cs="Arial"/>
          <w:sz w:val="18"/>
          <w:szCs w:val="18"/>
        </w:rPr>
        <w:t>–</w:t>
      </w:r>
      <w:r w:rsidRPr="004F5A83">
        <w:rPr>
          <w:rFonts w:ascii="Arial" w:eastAsia="Arial" w:hAnsi="Arial" w:cs="Arial"/>
          <w:sz w:val="18"/>
          <w:szCs w:val="18"/>
        </w:rPr>
        <w:t>72.</w:t>
      </w:r>
      <w:bookmarkEnd w:id="1"/>
    </w:p>
    <w:p w14:paraId="2C56E6AC" w14:textId="5158A8EF" w:rsidR="0050501D" w:rsidRPr="004F5A83" w:rsidRDefault="00F26AF2" w:rsidP="005A2FD3">
      <w:pPr>
        <w:pStyle w:val="Default"/>
        <w:spacing w:after="120"/>
        <w:rPr>
          <w:rFonts w:ascii="Arial" w:eastAsia="Arial" w:hAnsi="Arial" w:cs="Arial"/>
          <w:sz w:val="18"/>
          <w:szCs w:val="18"/>
        </w:rPr>
      </w:pPr>
      <w:bookmarkStart w:id="2" w:name="_ENREF_2"/>
      <w:r w:rsidRPr="004F5A83">
        <w:rPr>
          <w:rFonts w:ascii="Arial" w:eastAsia="Arial" w:hAnsi="Arial" w:cs="Arial"/>
          <w:sz w:val="18"/>
          <w:szCs w:val="18"/>
        </w:rPr>
        <w:t xml:space="preserve">2. </w:t>
      </w:r>
      <w:r w:rsidR="0050501D" w:rsidRPr="004F5A83">
        <w:rPr>
          <w:rFonts w:ascii="Arial" w:eastAsia="Arial" w:hAnsi="Arial" w:cs="Arial"/>
          <w:sz w:val="18"/>
          <w:szCs w:val="18"/>
        </w:rPr>
        <w:t xml:space="preserve">Endacott R, Kidd T, </w:t>
      </w:r>
      <w:proofErr w:type="spellStart"/>
      <w:r w:rsidR="0050501D" w:rsidRPr="004F5A83">
        <w:rPr>
          <w:rFonts w:ascii="Arial" w:eastAsia="Arial" w:hAnsi="Arial" w:cs="Arial"/>
          <w:sz w:val="18"/>
          <w:szCs w:val="18"/>
        </w:rPr>
        <w:t>Chaboyer</w:t>
      </w:r>
      <w:proofErr w:type="spellEnd"/>
      <w:r w:rsidR="0050501D" w:rsidRPr="004F5A83">
        <w:rPr>
          <w:rFonts w:ascii="Arial" w:eastAsia="Arial" w:hAnsi="Arial" w:cs="Arial"/>
          <w:sz w:val="18"/>
          <w:szCs w:val="18"/>
        </w:rPr>
        <w:t xml:space="preserve"> W</w:t>
      </w:r>
      <w:r w:rsidR="00873C78">
        <w:rPr>
          <w:rFonts w:ascii="Arial" w:eastAsia="Arial" w:hAnsi="Arial" w:cs="Arial"/>
          <w:sz w:val="18"/>
          <w:szCs w:val="18"/>
        </w:rPr>
        <w:t>,</w:t>
      </w:r>
      <w:r w:rsidR="0050501D" w:rsidRPr="004F5A83">
        <w:rPr>
          <w:rFonts w:ascii="Arial" w:eastAsia="Arial" w:hAnsi="Arial" w:cs="Arial"/>
          <w:sz w:val="18"/>
          <w:szCs w:val="18"/>
        </w:rPr>
        <w:t xml:space="preserve"> </w:t>
      </w:r>
      <w:r w:rsidR="00873C78">
        <w:rPr>
          <w:rFonts w:ascii="Arial" w:eastAsia="Arial" w:hAnsi="Arial" w:cs="Arial"/>
          <w:sz w:val="18"/>
          <w:szCs w:val="18"/>
        </w:rPr>
        <w:t>et al</w:t>
      </w:r>
      <w:r w:rsidR="0050501D" w:rsidRPr="004F5A83">
        <w:rPr>
          <w:rFonts w:ascii="Arial" w:eastAsia="Arial" w:hAnsi="Arial" w:cs="Arial"/>
          <w:sz w:val="18"/>
          <w:szCs w:val="18"/>
        </w:rPr>
        <w:t xml:space="preserve">. </w:t>
      </w:r>
      <w:r w:rsidR="00B22222" w:rsidRPr="004F5A83">
        <w:rPr>
          <w:rFonts w:ascii="Arial" w:eastAsia="Arial" w:hAnsi="Arial" w:cs="Arial"/>
          <w:sz w:val="18"/>
          <w:szCs w:val="18"/>
        </w:rPr>
        <w:t xml:space="preserve">2007. </w:t>
      </w:r>
      <w:r w:rsidR="0050501D" w:rsidRPr="004F5A83">
        <w:rPr>
          <w:rFonts w:ascii="Arial" w:eastAsia="Arial" w:hAnsi="Arial" w:cs="Arial"/>
          <w:sz w:val="18"/>
          <w:szCs w:val="18"/>
        </w:rPr>
        <w:t xml:space="preserve">Recognition and communication of patient deterioration in a regional hospital: A multi-methods study. </w:t>
      </w:r>
      <w:r w:rsidR="0050501D" w:rsidRPr="004F5A83">
        <w:rPr>
          <w:rFonts w:ascii="Arial" w:eastAsia="Arial" w:hAnsi="Arial" w:cs="Arial"/>
          <w:i/>
          <w:sz w:val="18"/>
          <w:szCs w:val="18"/>
        </w:rPr>
        <w:t>Australian Critical Care</w:t>
      </w:r>
      <w:r w:rsidR="00B22222" w:rsidRPr="004F5A83">
        <w:rPr>
          <w:rFonts w:ascii="Arial" w:eastAsia="Arial" w:hAnsi="Arial" w:cs="Arial"/>
          <w:sz w:val="18"/>
          <w:szCs w:val="18"/>
        </w:rPr>
        <w:t xml:space="preserve"> </w:t>
      </w:r>
      <w:r w:rsidR="0050501D" w:rsidRPr="004F5A83">
        <w:rPr>
          <w:rFonts w:ascii="Arial" w:eastAsia="Arial" w:hAnsi="Arial" w:cs="Arial"/>
          <w:sz w:val="18"/>
          <w:szCs w:val="18"/>
        </w:rPr>
        <w:t>20: 100</w:t>
      </w:r>
      <w:r w:rsidR="00873C78">
        <w:rPr>
          <w:rFonts w:ascii="Arial" w:eastAsia="Arial" w:hAnsi="Arial" w:cs="Arial"/>
          <w:sz w:val="18"/>
          <w:szCs w:val="18"/>
        </w:rPr>
        <w:t>–</w:t>
      </w:r>
      <w:r w:rsidR="0050501D" w:rsidRPr="004F5A83">
        <w:rPr>
          <w:rFonts w:ascii="Arial" w:eastAsia="Arial" w:hAnsi="Arial" w:cs="Arial"/>
          <w:sz w:val="18"/>
          <w:szCs w:val="18"/>
        </w:rPr>
        <w:t>5.</w:t>
      </w:r>
      <w:bookmarkEnd w:id="2"/>
    </w:p>
    <w:p w14:paraId="1CDC29D5" w14:textId="7A03BA62" w:rsidR="0050501D" w:rsidRPr="004F5A83" w:rsidRDefault="00F26AF2" w:rsidP="005A2FD3">
      <w:pPr>
        <w:pStyle w:val="Default"/>
        <w:spacing w:after="120"/>
        <w:rPr>
          <w:rFonts w:ascii="Arial" w:eastAsia="Arial" w:hAnsi="Arial" w:cs="Arial"/>
          <w:sz w:val="18"/>
          <w:szCs w:val="18"/>
        </w:rPr>
      </w:pPr>
      <w:bookmarkStart w:id="3" w:name="_ENREF_3"/>
      <w:r w:rsidRPr="004F5A83">
        <w:rPr>
          <w:rFonts w:ascii="Arial" w:eastAsia="Arial" w:hAnsi="Arial" w:cs="Arial"/>
          <w:sz w:val="18"/>
          <w:szCs w:val="18"/>
        </w:rPr>
        <w:t xml:space="preserve">3. </w:t>
      </w:r>
      <w:r w:rsidR="0050501D" w:rsidRPr="004F5A83">
        <w:rPr>
          <w:rFonts w:ascii="Arial" w:eastAsia="Arial" w:hAnsi="Arial" w:cs="Arial"/>
          <w:sz w:val="18"/>
          <w:szCs w:val="18"/>
        </w:rPr>
        <w:t xml:space="preserve">Van </w:t>
      </w:r>
      <w:proofErr w:type="spellStart"/>
      <w:r w:rsidR="0050501D" w:rsidRPr="004F5A83">
        <w:rPr>
          <w:rFonts w:ascii="Arial" w:eastAsia="Arial" w:hAnsi="Arial" w:cs="Arial"/>
          <w:sz w:val="18"/>
          <w:szCs w:val="18"/>
        </w:rPr>
        <w:t>Leuvan</w:t>
      </w:r>
      <w:proofErr w:type="spellEnd"/>
      <w:r w:rsidR="0050501D" w:rsidRPr="004F5A83">
        <w:rPr>
          <w:rFonts w:ascii="Arial" w:eastAsia="Arial" w:hAnsi="Arial" w:cs="Arial"/>
          <w:sz w:val="18"/>
          <w:szCs w:val="18"/>
        </w:rPr>
        <w:t xml:space="preserve"> C</w:t>
      </w:r>
      <w:r w:rsidR="00873C78">
        <w:rPr>
          <w:rFonts w:ascii="Arial" w:eastAsia="Arial" w:hAnsi="Arial" w:cs="Arial"/>
          <w:sz w:val="18"/>
          <w:szCs w:val="18"/>
        </w:rPr>
        <w:t>,</w:t>
      </w:r>
      <w:r w:rsidR="0050501D" w:rsidRPr="004F5A83">
        <w:rPr>
          <w:rFonts w:ascii="Arial" w:eastAsia="Arial" w:hAnsi="Arial" w:cs="Arial"/>
          <w:sz w:val="18"/>
          <w:szCs w:val="18"/>
        </w:rPr>
        <w:t xml:space="preserve"> Mitchell I. </w:t>
      </w:r>
      <w:r w:rsidR="00B22222" w:rsidRPr="004F5A83">
        <w:rPr>
          <w:rFonts w:ascii="Arial" w:eastAsia="Arial" w:hAnsi="Arial" w:cs="Arial"/>
          <w:sz w:val="18"/>
          <w:szCs w:val="18"/>
        </w:rPr>
        <w:t xml:space="preserve">2008. </w:t>
      </w:r>
      <w:r w:rsidR="0050501D" w:rsidRPr="004F5A83">
        <w:rPr>
          <w:rFonts w:ascii="Arial" w:eastAsia="Arial" w:hAnsi="Arial" w:cs="Arial"/>
          <w:sz w:val="18"/>
          <w:szCs w:val="18"/>
        </w:rPr>
        <w:t xml:space="preserve">Missed opportunities? An observational study of vital sign measurements. </w:t>
      </w:r>
      <w:r w:rsidR="0050501D" w:rsidRPr="004F5A83">
        <w:rPr>
          <w:rFonts w:ascii="Arial" w:eastAsia="Arial" w:hAnsi="Arial" w:cs="Arial"/>
          <w:i/>
          <w:sz w:val="18"/>
          <w:szCs w:val="18"/>
        </w:rPr>
        <w:t>Critical Care and Resuscitation</w:t>
      </w:r>
      <w:r w:rsidR="0050501D" w:rsidRPr="004F5A83">
        <w:rPr>
          <w:rFonts w:ascii="Arial" w:eastAsia="Arial" w:hAnsi="Arial" w:cs="Arial"/>
          <w:sz w:val="18"/>
          <w:szCs w:val="18"/>
        </w:rPr>
        <w:t xml:space="preserve"> 10: 111</w:t>
      </w:r>
      <w:r w:rsidR="00873C78">
        <w:rPr>
          <w:rFonts w:ascii="Arial" w:eastAsia="Arial" w:hAnsi="Arial" w:cs="Arial"/>
          <w:sz w:val="18"/>
          <w:szCs w:val="18"/>
        </w:rPr>
        <w:t>–</w:t>
      </w:r>
      <w:r w:rsidR="0050501D" w:rsidRPr="004F5A83">
        <w:rPr>
          <w:rFonts w:ascii="Arial" w:eastAsia="Arial" w:hAnsi="Arial" w:cs="Arial"/>
          <w:sz w:val="18"/>
          <w:szCs w:val="18"/>
        </w:rPr>
        <w:t>5.</w:t>
      </w:r>
      <w:bookmarkEnd w:id="3"/>
    </w:p>
    <w:p w14:paraId="453D7F95" w14:textId="7C124685" w:rsidR="00D52124" w:rsidRPr="004F5A83" w:rsidRDefault="00F26AF2" w:rsidP="005A2FD3">
      <w:pPr>
        <w:pStyle w:val="Default"/>
        <w:spacing w:after="120"/>
        <w:rPr>
          <w:rFonts w:ascii="Arial" w:eastAsia="Arial" w:hAnsi="Arial" w:cs="Arial"/>
          <w:sz w:val="18"/>
          <w:szCs w:val="18"/>
        </w:rPr>
        <w:sectPr w:rsidR="00D52124" w:rsidRPr="004F5A83" w:rsidSect="00020905">
          <w:footerReference w:type="default" r:id="rId12"/>
          <w:headerReference w:type="first" r:id="rId13"/>
          <w:footerReference w:type="first" r:id="rId14"/>
          <w:pgSz w:w="11906" w:h="16838"/>
          <w:pgMar w:top="851" w:right="1418" w:bottom="1247" w:left="1418" w:header="709" w:footer="567" w:gutter="0"/>
          <w:cols w:space="708"/>
          <w:titlePg/>
          <w:docGrid w:linePitch="360"/>
        </w:sectPr>
      </w:pPr>
      <w:bookmarkStart w:id="4" w:name="_ENREF_4"/>
      <w:r w:rsidRPr="004F5A83">
        <w:rPr>
          <w:rFonts w:ascii="Arial" w:eastAsia="Arial" w:hAnsi="Arial" w:cs="Arial"/>
          <w:sz w:val="18"/>
          <w:szCs w:val="18"/>
        </w:rPr>
        <w:t xml:space="preserve">4. </w:t>
      </w:r>
      <w:proofErr w:type="spellStart"/>
      <w:r w:rsidR="0050501D" w:rsidRPr="004F5A83">
        <w:rPr>
          <w:rFonts w:ascii="Arial" w:eastAsia="Arial" w:hAnsi="Arial" w:cs="Arial"/>
          <w:sz w:val="18"/>
          <w:szCs w:val="18"/>
        </w:rPr>
        <w:t>DeVita</w:t>
      </w:r>
      <w:proofErr w:type="spellEnd"/>
      <w:r w:rsidR="0050501D" w:rsidRPr="004F5A83">
        <w:rPr>
          <w:rFonts w:ascii="Arial" w:eastAsia="Arial" w:hAnsi="Arial" w:cs="Arial"/>
          <w:sz w:val="18"/>
          <w:szCs w:val="18"/>
        </w:rPr>
        <w:t xml:space="preserve"> M, Hillman K</w:t>
      </w:r>
      <w:r w:rsidR="00873C78">
        <w:rPr>
          <w:rFonts w:ascii="Arial" w:eastAsia="Arial" w:hAnsi="Arial" w:cs="Arial"/>
          <w:sz w:val="18"/>
          <w:szCs w:val="18"/>
        </w:rPr>
        <w:t xml:space="preserve">, </w:t>
      </w:r>
      <w:proofErr w:type="spellStart"/>
      <w:r w:rsidR="0050501D" w:rsidRPr="004F5A83">
        <w:rPr>
          <w:rFonts w:ascii="Arial" w:eastAsia="Arial" w:hAnsi="Arial" w:cs="Arial"/>
          <w:sz w:val="18"/>
          <w:szCs w:val="18"/>
        </w:rPr>
        <w:t>Bellomo</w:t>
      </w:r>
      <w:proofErr w:type="spellEnd"/>
      <w:r w:rsidR="0050501D" w:rsidRPr="004F5A83">
        <w:rPr>
          <w:rFonts w:ascii="Arial" w:eastAsia="Arial" w:hAnsi="Arial" w:cs="Arial"/>
          <w:sz w:val="18"/>
          <w:szCs w:val="18"/>
        </w:rPr>
        <w:t xml:space="preserve"> R. </w:t>
      </w:r>
      <w:r w:rsidR="00B22222" w:rsidRPr="004F5A83">
        <w:rPr>
          <w:rFonts w:ascii="Arial" w:eastAsia="Arial" w:hAnsi="Arial" w:cs="Arial"/>
          <w:sz w:val="18"/>
          <w:szCs w:val="18"/>
        </w:rPr>
        <w:t xml:space="preserve">2010. </w:t>
      </w:r>
      <w:r w:rsidR="0050501D" w:rsidRPr="004F5A83">
        <w:rPr>
          <w:rFonts w:ascii="Arial" w:eastAsia="Arial" w:hAnsi="Arial" w:cs="Arial"/>
          <w:i/>
          <w:sz w:val="18"/>
          <w:szCs w:val="18"/>
        </w:rPr>
        <w:t xml:space="preserve">Textbook of </w:t>
      </w:r>
      <w:r w:rsidR="00873C78" w:rsidRPr="004F5A83">
        <w:rPr>
          <w:rFonts w:ascii="Arial" w:eastAsia="Arial" w:hAnsi="Arial" w:cs="Arial"/>
          <w:i/>
          <w:sz w:val="18"/>
          <w:szCs w:val="18"/>
        </w:rPr>
        <w:t>rapid response systems</w:t>
      </w:r>
      <w:r w:rsidR="0050501D" w:rsidRPr="004F5A83">
        <w:rPr>
          <w:rFonts w:ascii="Arial" w:eastAsia="Arial" w:hAnsi="Arial" w:cs="Arial"/>
          <w:i/>
          <w:sz w:val="18"/>
          <w:szCs w:val="18"/>
        </w:rPr>
        <w:t xml:space="preserve">: Concept and </w:t>
      </w:r>
      <w:r w:rsidR="00873C78" w:rsidRPr="004F5A83">
        <w:rPr>
          <w:rFonts w:ascii="Arial" w:eastAsia="Arial" w:hAnsi="Arial" w:cs="Arial"/>
          <w:i/>
          <w:sz w:val="18"/>
          <w:szCs w:val="18"/>
        </w:rPr>
        <w:t>implementation</w:t>
      </w:r>
      <w:r w:rsidR="0050501D" w:rsidRPr="004F5A83">
        <w:rPr>
          <w:rFonts w:ascii="Arial" w:eastAsia="Arial" w:hAnsi="Arial" w:cs="Arial"/>
          <w:i/>
          <w:sz w:val="18"/>
          <w:szCs w:val="18"/>
        </w:rPr>
        <w:t>.</w:t>
      </w:r>
      <w:r w:rsidR="00B22222" w:rsidRPr="004F5A83">
        <w:rPr>
          <w:rFonts w:ascii="Arial" w:eastAsia="Arial" w:hAnsi="Arial" w:cs="Arial"/>
          <w:sz w:val="18"/>
          <w:szCs w:val="18"/>
        </w:rPr>
        <w:t xml:space="preserve"> New York: Springer</w:t>
      </w:r>
      <w:r w:rsidR="0050501D" w:rsidRPr="004F5A83">
        <w:rPr>
          <w:rFonts w:ascii="Arial" w:eastAsia="Arial" w:hAnsi="Arial" w:cs="Arial"/>
          <w:sz w:val="18"/>
          <w:szCs w:val="18"/>
        </w:rPr>
        <w:t>.</w:t>
      </w:r>
      <w:bookmarkEnd w:id="4"/>
    </w:p>
    <w:p w14:paraId="6354619A" w14:textId="0C70FEB8" w:rsidR="00D52124" w:rsidRPr="004F5A83" w:rsidRDefault="0050501D" w:rsidP="00502085">
      <w:pPr>
        <w:pStyle w:val="H1evidencesummary"/>
        <w:spacing w:before="120"/>
        <w:rPr>
          <w:lang w:val="en-NZ"/>
        </w:rPr>
      </w:pPr>
      <w:r w:rsidRPr="004F5A83">
        <w:rPr>
          <w:rFonts w:eastAsia="Arial"/>
          <w:sz w:val="18"/>
          <w:szCs w:val="18"/>
          <w:lang w:val="en-NZ"/>
        </w:rPr>
        <w:lastRenderedPageBreak/>
        <w:fldChar w:fldCharType="end"/>
      </w:r>
      <w:r w:rsidR="00D52124" w:rsidRPr="004F5A83">
        <w:rPr>
          <w:lang w:val="en-NZ"/>
        </w:rPr>
        <w:t>Appendix 1: Example terms of reference for recognition and response system clinical governance committees</w:t>
      </w:r>
      <w:r w:rsidR="004F5A83">
        <w:rPr>
          <w:lang w:val="en-NZ"/>
        </w:rPr>
        <w:t xml:space="preserve"> </w:t>
      </w:r>
    </w:p>
    <w:p w14:paraId="37312F0E" w14:textId="23734D73" w:rsidR="00C766FD" w:rsidRPr="004F5A83" w:rsidRDefault="00C766FD" w:rsidP="00423164">
      <w:pPr>
        <w:pStyle w:val="Bodyevidencesummary"/>
        <w:spacing w:after="120"/>
        <w:rPr>
          <w:lang w:val="en-NZ" w:eastAsia="en-GB"/>
        </w:rPr>
      </w:pPr>
      <w:r w:rsidRPr="004F5A83">
        <w:rPr>
          <w:lang w:val="en-NZ" w:eastAsia="en-GB"/>
        </w:rPr>
        <w:t xml:space="preserve">This document provides a generic </w:t>
      </w:r>
      <w:r w:rsidR="00BE0E9F" w:rsidRPr="004F5A83">
        <w:rPr>
          <w:lang w:val="en-NZ" w:eastAsia="en-GB"/>
        </w:rPr>
        <w:t>example</w:t>
      </w:r>
      <w:r w:rsidR="004F5A83">
        <w:rPr>
          <w:lang w:val="en-NZ" w:eastAsia="en-GB"/>
        </w:rPr>
        <w:t xml:space="preserve"> </w:t>
      </w:r>
      <w:r w:rsidR="00BE0E9F" w:rsidRPr="004F5A83">
        <w:rPr>
          <w:lang w:val="en-NZ" w:eastAsia="en-GB"/>
        </w:rPr>
        <w:t>of</w:t>
      </w:r>
      <w:r w:rsidRPr="004F5A83">
        <w:rPr>
          <w:lang w:val="en-NZ" w:eastAsia="en-GB"/>
        </w:rPr>
        <w:t xml:space="preserve"> clinical governance </w:t>
      </w:r>
      <w:r w:rsidR="00BE0E9F" w:rsidRPr="004F5A83">
        <w:rPr>
          <w:lang w:val="en-NZ" w:eastAsia="en-GB"/>
        </w:rPr>
        <w:t xml:space="preserve">for </w:t>
      </w:r>
      <w:r w:rsidRPr="004F5A83">
        <w:rPr>
          <w:lang w:val="en-NZ" w:eastAsia="en-GB"/>
        </w:rPr>
        <w:t xml:space="preserve">recognition and response systems. It will need to be modified to reflect </w:t>
      </w:r>
      <w:r w:rsidR="008C3501" w:rsidRPr="004F5A83">
        <w:rPr>
          <w:lang w:val="en-NZ" w:eastAsia="en-GB"/>
        </w:rPr>
        <w:t xml:space="preserve">the local circumstances of </w:t>
      </w:r>
      <w:r w:rsidRPr="004F5A83">
        <w:rPr>
          <w:lang w:val="en-NZ" w:eastAsia="en-GB"/>
        </w:rPr>
        <w:t xml:space="preserve">each organisation. </w:t>
      </w:r>
    </w:p>
    <w:p w14:paraId="74E70B51" w14:textId="77777777" w:rsidR="00D52124" w:rsidRPr="004F5A83" w:rsidRDefault="00423164" w:rsidP="00423164">
      <w:pPr>
        <w:pStyle w:val="H2evidencesummary"/>
        <w:spacing w:after="200"/>
        <w:rPr>
          <w:lang w:val="en-NZ"/>
        </w:rPr>
      </w:pPr>
      <w:r w:rsidRPr="004F5A83">
        <w:rPr>
          <w:lang w:val="en-NZ"/>
        </w:rPr>
        <w:t xml:space="preserve">1. </w:t>
      </w:r>
      <w:r w:rsidR="00D52124" w:rsidRPr="004F5A83">
        <w:rPr>
          <w:lang w:val="en-NZ"/>
        </w:rPr>
        <w:t>Purpose</w:t>
      </w:r>
    </w:p>
    <w:p w14:paraId="5EAA1D75" w14:textId="64286582" w:rsidR="00D52124" w:rsidRPr="004F5A83" w:rsidRDefault="00D52124" w:rsidP="00423164">
      <w:pPr>
        <w:pStyle w:val="Bodyevidencesummary"/>
        <w:spacing w:after="120"/>
        <w:rPr>
          <w:b/>
          <w:lang w:val="en-NZ"/>
        </w:rPr>
      </w:pPr>
      <w:r w:rsidRPr="004F5A83">
        <w:rPr>
          <w:lang w:val="en-NZ"/>
        </w:rPr>
        <w:t xml:space="preserve">The purpose of the </w:t>
      </w:r>
      <w:r w:rsidR="00785C15">
        <w:rPr>
          <w:lang w:val="en-NZ"/>
        </w:rPr>
        <w:t>c</w:t>
      </w:r>
      <w:r w:rsidRPr="004F5A83">
        <w:rPr>
          <w:lang w:val="en-NZ"/>
        </w:rPr>
        <w:t xml:space="preserve">ommittee is to provide oversight and expert advice about the safety, effectiveness and ongoing improvement of the recognition and response system. </w:t>
      </w:r>
    </w:p>
    <w:p w14:paraId="3F38F53C" w14:textId="77777777" w:rsidR="00D52124" w:rsidRPr="004F5A83" w:rsidRDefault="00423164" w:rsidP="00423164">
      <w:pPr>
        <w:pStyle w:val="H2evidencesummary"/>
        <w:spacing w:after="200"/>
        <w:rPr>
          <w:lang w:val="en-NZ"/>
        </w:rPr>
      </w:pPr>
      <w:r w:rsidRPr="004F5A83">
        <w:rPr>
          <w:lang w:val="en-NZ"/>
        </w:rPr>
        <w:t xml:space="preserve">2. </w:t>
      </w:r>
      <w:r w:rsidR="00D52124" w:rsidRPr="004F5A83">
        <w:rPr>
          <w:lang w:val="en-NZ"/>
        </w:rPr>
        <w:t>Membership</w:t>
      </w:r>
    </w:p>
    <w:p w14:paraId="0724CF93" w14:textId="7CCB1C8A" w:rsidR="00D52124" w:rsidRPr="004F5A83" w:rsidRDefault="00D52124" w:rsidP="00423164">
      <w:pPr>
        <w:pStyle w:val="Bodyevidencesummary"/>
        <w:spacing w:after="120"/>
        <w:rPr>
          <w:b/>
          <w:lang w:val="en-NZ"/>
        </w:rPr>
      </w:pPr>
      <w:r w:rsidRPr="004F5A83">
        <w:rPr>
          <w:lang w:val="en-NZ"/>
        </w:rPr>
        <w:t>The committee should include nursing</w:t>
      </w:r>
      <w:r w:rsidR="00BE0E9F" w:rsidRPr="004F5A83">
        <w:rPr>
          <w:lang w:val="en-NZ"/>
        </w:rPr>
        <w:t>, midwifery</w:t>
      </w:r>
      <w:r w:rsidRPr="004F5A83">
        <w:rPr>
          <w:lang w:val="en-NZ"/>
        </w:rPr>
        <w:t xml:space="preserve"> and medical staff representing the acute specialities most relevant for the hospital, representation from members of the rapid response team, and the person or people with responsibility for day-to-day operational leadership of the system. Additional members may include </w:t>
      </w:r>
      <w:r w:rsidR="00785C15" w:rsidRPr="00785C15">
        <w:rPr>
          <w:lang w:val="en-NZ"/>
        </w:rPr>
        <w:t xml:space="preserve">consumers </w:t>
      </w:r>
      <w:r w:rsidR="00785C15">
        <w:rPr>
          <w:lang w:val="en-NZ"/>
        </w:rPr>
        <w:t xml:space="preserve">and </w:t>
      </w:r>
      <w:r w:rsidRPr="004F5A83">
        <w:rPr>
          <w:lang w:val="en-NZ"/>
        </w:rPr>
        <w:t xml:space="preserve">representatives from allied health, hospital administration, </w:t>
      </w:r>
      <w:r w:rsidR="00785C15">
        <w:rPr>
          <w:lang w:val="en-NZ"/>
        </w:rPr>
        <w:t xml:space="preserve">and </w:t>
      </w:r>
      <w:r w:rsidRPr="004F5A83">
        <w:rPr>
          <w:lang w:val="en-NZ"/>
        </w:rPr>
        <w:t>quality and safety.</w:t>
      </w:r>
    </w:p>
    <w:p w14:paraId="2A3BE689" w14:textId="77777777" w:rsidR="00D52124" w:rsidRPr="004F5A83" w:rsidRDefault="00423164" w:rsidP="00423164">
      <w:pPr>
        <w:pStyle w:val="H2evidencesummary"/>
        <w:spacing w:after="200"/>
        <w:rPr>
          <w:lang w:val="en-NZ"/>
        </w:rPr>
      </w:pPr>
      <w:r w:rsidRPr="004F5A83">
        <w:rPr>
          <w:lang w:val="en-NZ"/>
        </w:rPr>
        <w:t xml:space="preserve">3. </w:t>
      </w:r>
      <w:r w:rsidR="00D52124" w:rsidRPr="004F5A83">
        <w:rPr>
          <w:lang w:val="en-NZ"/>
        </w:rPr>
        <w:t>Responsibilities</w:t>
      </w:r>
    </w:p>
    <w:p w14:paraId="5707EF15" w14:textId="77777777" w:rsidR="00D52124" w:rsidRPr="004F5A83" w:rsidRDefault="00D52124" w:rsidP="00423164">
      <w:pPr>
        <w:pStyle w:val="Bodyevidencesummary"/>
        <w:spacing w:after="120"/>
        <w:rPr>
          <w:lang w:val="en-NZ"/>
        </w:rPr>
      </w:pPr>
      <w:r w:rsidRPr="004F5A83">
        <w:rPr>
          <w:lang w:val="en-NZ"/>
        </w:rPr>
        <w:t>The committee:</w:t>
      </w:r>
    </w:p>
    <w:p w14:paraId="666BE63F" w14:textId="77777777" w:rsidR="00D52124" w:rsidRPr="004F5A83" w:rsidRDefault="00C766FD" w:rsidP="00E85EA2">
      <w:pPr>
        <w:pStyle w:val="Bulletsevidencesummary"/>
        <w:ind w:left="357" w:hanging="357"/>
        <w:rPr>
          <w:lang w:val="en-NZ"/>
        </w:rPr>
      </w:pPr>
      <w:r w:rsidRPr="004F5A83">
        <w:rPr>
          <w:lang w:val="en-NZ"/>
        </w:rPr>
        <w:t>oversees</w:t>
      </w:r>
      <w:r w:rsidR="00D52124" w:rsidRPr="004F5A83">
        <w:rPr>
          <w:lang w:val="en-NZ"/>
        </w:rPr>
        <w:t xml:space="preserve"> development and review of practice and policy relating to management of acute deterioration </w:t>
      </w:r>
    </w:p>
    <w:p w14:paraId="546CF51F" w14:textId="77777777" w:rsidR="00D52124" w:rsidRPr="004F5A83" w:rsidRDefault="00C766FD" w:rsidP="00E85EA2">
      <w:pPr>
        <w:pStyle w:val="Bulletsevidencesummary"/>
        <w:ind w:left="357" w:hanging="357"/>
        <w:rPr>
          <w:lang w:val="en-NZ"/>
        </w:rPr>
      </w:pPr>
      <w:r w:rsidRPr="004F5A83">
        <w:rPr>
          <w:lang w:val="en-NZ"/>
        </w:rPr>
        <w:t xml:space="preserve">sets expectations for </w:t>
      </w:r>
      <w:r w:rsidR="00D52124" w:rsidRPr="004F5A83">
        <w:rPr>
          <w:lang w:val="en-NZ"/>
        </w:rPr>
        <w:t>workforce capability</w:t>
      </w:r>
      <w:r w:rsidRPr="004F5A83">
        <w:rPr>
          <w:lang w:val="en-NZ"/>
        </w:rPr>
        <w:t xml:space="preserve"> in relation to managing</w:t>
      </w:r>
      <w:r w:rsidR="00D52124" w:rsidRPr="004F5A83">
        <w:rPr>
          <w:lang w:val="en-NZ"/>
        </w:rPr>
        <w:t xml:space="preserve"> pat</w:t>
      </w:r>
      <w:r w:rsidRPr="004F5A83">
        <w:rPr>
          <w:lang w:val="en-NZ"/>
        </w:rPr>
        <w:t xml:space="preserve">ient deterioration effectively </w:t>
      </w:r>
      <w:r w:rsidR="00D52124" w:rsidRPr="004F5A83">
        <w:rPr>
          <w:lang w:val="en-NZ"/>
        </w:rPr>
        <w:t xml:space="preserve">and determines the requirements for staff orientation, education and ongoing training related to the recognition and response system </w:t>
      </w:r>
    </w:p>
    <w:p w14:paraId="0B449A71" w14:textId="1712E50D" w:rsidR="00885E50" w:rsidRDefault="00D52124" w:rsidP="00E85EA2">
      <w:pPr>
        <w:pStyle w:val="Bulletsevidencesummary"/>
        <w:ind w:left="357" w:hanging="357"/>
        <w:rPr>
          <w:lang w:val="en-NZ"/>
        </w:rPr>
      </w:pPr>
      <w:r w:rsidRPr="004F5A83">
        <w:rPr>
          <w:lang w:val="en-NZ"/>
        </w:rPr>
        <w:t xml:space="preserve">reviews and monitors standards of </w:t>
      </w:r>
      <w:r w:rsidR="00C766FD" w:rsidRPr="004F5A83">
        <w:rPr>
          <w:lang w:val="en-NZ"/>
        </w:rPr>
        <w:t xml:space="preserve">recognition and response system </w:t>
      </w:r>
      <w:r w:rsidRPr="004F5A83">
        <w:rPr>
          <w:lang w:val="en-NZ"/>
        </w:rPr>
        <w:t>performance against key local and national objectives</w:t>
      </w:r>
    </w:p>
    <w:p w14:paraId="583A765E" w14:textId="0622168C" w:rsidR="00885E50" w:rsidRDefault="00C766FD" w:rsidP="00E85EA2">
      <w:pPr>
        <w:pStyle w:val="Bulletsevidencesummary"/>
        <w:ind w:left="357" w:hanging="357"/>
        <w:rPr>
          <w:lang w:val="en-NZ"/>
        </w:rPr>
      </w:pPr>
      <w:r w:rsidRPr="004F5A83">
        <w:rPr>
          <w:lang w:val="en-NZ"/>
        </w:rPr>
        <w:t xml:space="preserve">reports summative data to senior governing committees (such as the </w:t>
      </w:r>
      <w:r w:rsidR="00885E50">
        <w:rPr>
          <w:lang w:val="en-NZ"/>
        </w:rPr>
        <w:t>c</w:t>
      </w:r>
      <w:r w:rsidRPr="004F5A83">
        <w:rPr>
          <w:lang w:val="en-NZ"/>
        </w:rPr>
        <w:t xml:space="preserve">linical </w:t>
      </w:r>
      <w:r w:rsidR="00885E50">
        <w:rPr>
          <w:lang w:val="en-NZ"/>
        </w:rPr>
        <w:t>b</w:t>
      </w:r>
      <w:r w:rsidRPr="004F5A83">
        <w:rPr>
          <w:lang w:val="en-NZ"/>
        </w:rPr>
        <w:t xml:space="preserve">oard or </w:t>
      </w:r>
      <w:r w:rsidR="00885E50">
        <w:rPr>
          <w:lang w:val="en-NZ"/>
        </w:rPr>
        <w:t>c</w:t>
      </w:r>
      <w:r w:rsidRPr="004F5A83">
        <w:rPr>
          <w:lang w:val="en-NZ"/>
        </w:rPr>
        <w:t xml:space="preserve">linical </w:t>
      </w:r>
      <w:r w:rsidR="00885E50">
        <w:rPr>
          <w:lang w:val="en-NZ"/>
        </w:rPr>
        <w:t>g</w:t>
      </w:r>
      <w:r w:rsidRPr="004F5A83">
        <w:rPr>
          <w:lang w:val="en-NZ"/>
        </w:rPr>
        <w:t xml:space="preserve">overnance </w:t>
      </w:r>
      <w:r w:rsidR="00885E50">
        <w:rPr>
          <w:lang w:val="en-NZ"/>
        </w:rPr>
        <w:t>c</w:t>
      </w:r>
      <w:r w:rsidRPr="004F5A83">
        <w:rPr>
          <w:lang w:val="en-NZ"/>
        </w:rPr>
        <w:t>ommittee)</w:t>
      </w:r>
    </w:p>
    <w:p w14:paraId="7304983A" w14:textId="64C7B8C5" w:rsidR="00D52124" w:rsidRPr="004F5A83" w:rsidRDefault="00C766FD" w:rsidP="00E85EA2">
      <w:pPr>
        <w:pStyle w:val="Bulletsevidencesummary"/>
        <w:ind w:left="357" w:hanging="357"/>
        <w:rPr>
          <w:lang w:val="en-NZ"/>
        </w:rPr>
      </w:pPr>
      <w:r w:rsidRPr="004F5A83">
        <w:rPr>
          <w:lang w:val="en-NZ"/>
        </w:rPr>
        <w:t>oversees processes to ensure that real</w:t>
      </w:r>
      <w:r w:rsidR="00885E50">
        <w:rPr>
          <w:lang w:val="en-NZ"/>
        </w:rPr>
        <w:t>-</w:t>
      </w:r>
      <w:r w:rsidRPr="004F5A83">
        <w:rPr>
          <w:lang w:val="en-NZ"/>
        </w:rPr>
        <w:t xml:space="preserve">time data about performance at the ward or unit level is reported to each ward or unit and used for local quality improvement </w:t>
      </w:r>
    </w:p>
    <w:p w14:paraId="1250CD7A" w14:textId="77777777" w:rsidR="00D52124" w:rsidRPr="00E85EA2" w:rsidRDefault="00D52124" w:rsidP="00E85EA2">
      <w:pPr>
        <w:pStyle w:val="Bulletsevidencesummary"/>
        <w:ind w:left="357" w:hanging="357"/>
        <w:rPr>
          <w:lang w:val="en-NZ"/>
        </w:rPr>
      </w:pPr>
      <w:r w:rsidRPr="004F5A83">
        <w:rPr>
          <w:lang w:val="en-NZ"/>
        </w:rPr>
        <w:t xml:space="preserve">provides recommendations around access to, and standardisation of, equipment required to safely recognise and respond to acute deterioration </w:t>
      </w:r>
    </w:p>
    <w:p w14:paraId="40E78415" w14:textId="77777777" w:rsidR="00F26AF2" w:rsidRPr="004F5A83" w:rsidRDefault="00D52124" w:rsidP="00E85EA2">
      <w:pPr>
        <w:pStyle w:val="Bulletsevidencesummary"/>
        <w:ind w:left="357" w:hanging="357"/>
        <w:rPr>
          <w:lang w:val="en-NZ"/>
        </w:rPr>
      </w:pPr>
      <w:r w:rsidRPr="004F5A83">
        <w:rPr>
          <w:lang w:val="en-NZ"/>
        </w:rPr>
        <w:t xml:space="preserve">identifies risks that could reduce the effectiveness of the recognition and response system </w:t>
      </w:r>
      <w:r w:rsidR="00C766FD" w:rsidRPr="004F5A83">
        <w:rPr>
          <w:lang w:val="en-NZ"/>
        </w:rPr>
        <w:t xml:space="preserve">and provides advice about managing identified risks to relevant </w:t>
      </w:r>
      <w:r w:rsidR="008C3501" w:rsidRPr="004F5A83">
        <w:rPr>
          <w:lang w:val="en-NZ"/>
        </w:rPr>
        <w:t>professional or operational leaders</w:t>
      </w:r>
    </w:p>
    <w:p w14:paraId="0CC2ED67" w14:textId="5D085B72" w:rsidR="00D52124" w:rsidRPr="004F5A83" w:rsidRDefault="00D52124" w:rsidP="00E85EA2">
      <w:pPr>
        <w:pStyle w:val="Bulletsevidencesummary"/>
        <w:ind w:left="357" w:hanging="357"/>
        <w:rPr>
          <w:lang w:val="en-NZ"/>
        </w:rPr>
      </w:pPr>
      <w:r w:rsidRPr="004F5A83">
        <w:rPr>
          <w:lang w:val="en-NZ"/>
        </w:rPr>
        <w:t xml:space="preserve">works in partnership with regional </w:t>
      </w:r>
      <w:r w:rsidR="008C3501" w:rsidRPr="004F5A83">
        <w:rPr>
          <w:lang w:val="en-NZ"/>
        </w:rPr>
        <w:t xml:space="preserve">patient deterioration quality </w:t>
      </w:r>
      <w:r w:rsidRPr="004F5A83">
        <w:rPr>
          <w:lang w:val="en-NZ"/>
        </w:rPr>
        <w:t xml:space="preserve">networks to maintain a consistent and coordinated approach to recognising and responding to acute deterioration. </w:t>
      </w:r>
    </w:p>
    <w:p w14:paraId="2D1A3EBE" w14:textId="77777777" w:rsidR="00D52124" w:rsidRPr="004F5A83" w:rsidRDefault="00423164" w:rsidP="00423164">
      <w:pPr>
        <w:pStyle w:val="H2evidencesummary"/>
        <w:spacing w:after="200"/>
        <w:rPr>
          <w:lang w:val="en-NZ"/>
        </w:rPr>
      </w:pPr>
      <w:r w:rsidRPr="004F5A83">
        <w:rPr>
          <w:lang w:val="en-NZ"/>
        </w:rPr>
        <w:lastRenderedPageBreak/>
        <w:t xml:space="preserve">4. </w:t>
      </w:r>
      <w:r w:rsidR="00D52124" w:rsidRPr="004F5A83">
        <w:rPr>
          <w:lang w:val="en-NZ"/>
        </w:rPr>
        <w:t>Governance</w:t>
      </w:r>
    </w:p>
    <w:p w14:paraId="62E5CCF2" w14:textId="665C9969" w:rsidR="00D52124" w:rsidRPr="004F5A83" w:rsidRDefault="00D52124" w:rsidP="00423164">
      <w:pPr>
        <w:pStyle w:val="Bodyevidencesummary"/>
        <w:spacing w:after="120"/>
        <w:rPr>
          <w:b/>
          <w:lang w:val="en-NZ"/>
        </w:rPr>
      </w:pPr>
      <w:r w:rsidRPr="004F5A83">
        <w:rPr>
          <w:lang w:val="en-NZ"/>
        </w:rPr>
        <w:t>The committee reports to the highest level of clinical governance in the organisation</w:t>
      </w:r>
      <w:r w:rsidR="00885E50">
        <w:rPr>
          <w:lang w:val="en-NZ"/>
        </w:rPr>
        <w:t xml:space="preserve"> –</w:t>
      </w:r>
      <w:r w:rsidRPr="004F5A83">
        <w:rPr>
          <w:lang w:val="en-NZ"/>
        </w:rPr>
        <w:t xml:space="preserve"> for example</w:t>
      </w:r>
      <w:r w:rsidR="00885E50">
        <w:rPr>
          <w:lang w:val="en-NZ"/>
        </w:rPr>
        <w:t>,</w:t>
      </w:r>
      <w:r w:rsidRPr="004F5A83">
        <w:rPr>
          <w:lang w:val="en-NZ"/>
        </w:rPr>
        <w:t xml:space="preserve"> the </w:t>
      </w:r>
      <w:r w:rsidR="00885E50">
        <w:rPr>
          <w:lang w:val="en-NZ"/>
        </w:rPr>
        <w:t>c</w:t>
      </w:r>
      <w:r w:rsidRPr="004F5A83">
        <w:rPr>
          <w:lang w:val="en-NZ"/>
        </w:rPr>
        <w:t xml:space="preserve">linical </w:t>
      </w:r>
      <w:r w:rsidR="00885E50">
        <w:rPr>
          <w:lang w:val="en-NZ"/>
        </w:rPr>
        <w:t>b</w:t>
      </w:r>
      <w:r w:rsidRPr="004F5A83">
        <w:rPr>
          <w:lang w:val="en-NZ"/>
        </w:rPr>
        <w:t xml:space="preserve">oard, </w:t>
      </w:r>
      <w:r w:rsidR="00885E50">
        <w:rPr>
          <w:lang w:val="en-NZ"/>
        </w:rPr>
        <w:t>c</w:t>
      </w:r>
      <w:r w:rsidRPr="004F5A83">
        <w:rPr>
          <w:lang w:val="en-NZ"/>
        </w:rPr>
        <w:t xml:space="preserve">linical </w:t>
      </w:r>
      <w:r w:rsidR="00885E50">
        <w:rPr>
          <w:lang w:val="en-NZ"/>
        </w:rPr>
        <w:t>p</w:t>
      </w:r>
      <w:r w:rsidRPr="004F5A83">
        <w:rPr>
          <w:lang w:val="en-NZ"/>
        </w:rPr>
        <w:t xml:space="preserve">ractice </w:t>
      </w:r>
      <w:r w:rsidR="00885E50">
        <w:rPr>
          <w:lang w:val="en-NZ"/>
        </w:rPr>
        <w:t>c</w:t>
      </w:r>
      <w:r w:rsidRPr="004F5A83">
        <w:rPr>
          <w:lang w:val="en-NZ"/>
        </w:rPr>
        <w:t xml:space="preserve">ommittee, </w:t>
      </w:r>
      <w:r w:rsidR="00885E50">
        <w:rPr>
          <w:lang w:val="en-NZ"/>
        </w:rPr>
        <w:t>p</w:t>
      </w:r>
      <w:r w:rsidRPr="004F5A83">
        <w:rPr>
          <w:lang w:val="en-NZ"/>
        </w:rPr>
        <w:t xml:space="preserve">atient </w:t>
      </w:r>
      <w:r w:rsidR="00885E50">
        <w:rPr>
          <w:lang w:val="en-NZ"/>
        </w:rPr>
        <w:t>s</w:t>
      </w:r>
      <w:r w:rsidRPr="004F5A83">
        <w:rPr>
          <w:lang w:val="en-NZ"/>
        </w:rPr>
        <w:t xml:space="preserve">afety </w:t>
      </w:r>
      <w:r w:rsidR="00885E50">
        <w:rPr>
          <w:lang w:val="en-NZ"/>
        </w:rPr>
        <w:t>c</w:t>
      </w:r>
      <w:r w:rsidRPr="004F5A83">
        <w:rPr>
          <w:lang w:val="en-NZ"/>
        </w:rPr>
        <w:t xml:space="preserve">ommittee or similar. </w:t>
      </w:r>
    </w:p>
    <w:p w14:paraId="24F45C86" w14:textId="77777777" w:rsidR="00D52124" w:rsidRPr="004F5A83" w:rsidRDefault="00D52124" w:rsidP="00423164">
      <w:pPr>
        <w:pStyle w:val="Bodyevidencesummary"/>
        <w:spacing w:after="120"/>
        <w:rPr>
          <w:b/>
          <w:lang w:val="en-NZ"/>
        </w:rPr>
      </w:pPr>
      <w:r w:rsidRPr="004F5A83">
        <w:rPr>
          <w:lang w:val="en-NZ"/>
        </w:rPr>
        <w:t xml:space="preserve">The committee has the </w:t>
      </w:r>
      <w:r w:rsidR="008C3501" w:rsidRPr="004F5A83">
        <w:rPr>
          <w:lang w:val="en-NZ"/>
        </w:rPr>
        <w:t xml:space="preserve">delegated </w:t>
      </w:r>
      <w:r w:rsidRPr="004F5A83">
        <w:rPr>
          <w:lang w:val="en-NZ"/>
        </w:rPr>
        <w:t xml:space="preserve">authority to set up and disband specific working groups in order to effectively discharge its functions. Any such groups will be time limited and have clear terms of reference. </w:t>
      </w:r>
    </w:p>
    <w:p w14:paraId="4D8E36C7" w14:textId="097634E1" w:rsidR="00D52124" w:rsidRPr="004F5A83" w:rsidRDefault="00423164" w:rsidP="00423164">
      <w:pPr>
        <w:pStyle w:val="H2evidencesummary"/>
        <w:spacing w:after="200"/>
        <w:rPr>
          <w:lang w:val="en-NZ"/>
        </w:rPr>
      </w:pPr>
      <w:r w:rsidRPr="004F5A83">
        <w:rPr>
          <w:lang w:val="en-NZ"/>
        </w:rPr>
        <w:t xml:space="preserve">5. </w:t>
      </w:r>
      <w:r w:rsidR="00D52124" w:rsidRPr="004F5A83">
        <w:rPr>
          <w:lang w:val="en-NZ"/>
        </w:rPr>
        <w:t xml:space="preserve">Meetings and </w:t>
      </w:r>
      <w:r w:rsidR="00885E50">
        <w:rPr>
          <w:lang w:val="en-NZ"/>
        </w:rPr>
        <w:t>d</w:t>
      </w:r>
      <w:r w:rsidR="00D52124" w:rsidRPr="004F5A83">
        <w:rPr>
          <w:lang w:val="en-NZ"/>
        </w:rPr>
        <w:t>ecision-making</w:t>
      </w:r>
    </w:p>
    <w:p w14:paraId="63D84FAD" w14:textId="77777777" w:rsidR="00D52124" w:rsidRPr="004F5A83" w:rsidRDefault="00D52124" w:rsidP="00423164">
      <w:pPr>
        <w:pStyle w:val="Bodyevidencesummary"/>
        <w:spacing w:after="120"/>
        <w:rPr>
          <w:b/>
          <w:lang w:val="en-NZ"/>
        </w:rPr>
      </w:pPr>
      <w:r w:rsidRPr="004F5A83">
        <w:rPr>
          <w:lang w:val="en-NZ"/>
        </w:rPr>
        <w:t xml:space="preserve">At a minimum, the committee will meet quarterly. Advance notice of the regular meeting schedule should be made available to members as early as possible to optimise attendance. </w:t>
      </w:r>
    </w:p>
    <w:p w14:paraId="7C758273" w14:textId="16D74627" w:rsidR="00D52124" w:rsidRPr="004F5A83" w:rsidRDefault="00D52124" w:rsidP="00423164">
      <w:pPr>
        <w:pStyle w:val="Bodyevidencesummary"/>
        <w:spacing w:after="120"/>
        <w:rPr>
          <w:b/>
          <w:lang w:val="en-NZ"/>
        </w:rPr>
      </w:pPr>
      <w:r w:rsidRPr="004F5A83">
        <w:rPr>
          <w:lang w:val="en-NZ"/>
        </w:rPr>
        <w:t>More frequent meetings may be required at times</w:t>
      </w:r>
      <w:r w:rsidR="00885E50">
        <w:rPr>
          <w:lang w:val="en-NZ"/>
        </w:rPr>
        <w:t xml:space="preserve"> –</w:t>
      </w:r>
      <w:r w:rsidRPr="004F5A83">
        <w:rPr>
          <w:lang w:val="en-NZ"/>
        </w:rPr>
        <w:t xml:space="preserve"> for example, if significant patient safety concerns indicate urgent improvements are needed. Such arrangements should be agreed through consensus of a majority of committee members. </w:t>
      </w:r>
    </w:p>
    <w:p w14:paraId="431A777A" w14:textId="77777777" w:rsidR="00D52124" w:rsidRPr="004F5A83" w:rsidRDefault="00D52124" w:rsidP="00423164">
      <w:pPr>
        <w:pStyle w:val="Bodyevidencesummary"/>
        <w:spacing w:after="120"/>
        <w:rPr>
          <w:b/>
          <w:lang w:val="en-NZ"/>
        </w:rPr>
      </w:pPr>
      <w:r w:rsidRPr="004F5A83">
        <w:rPr>
          <w:lang w:val="en-NZ"/>
        </w:rPr>
        <w:t xml:space="preserve">The committee has </w:t>
      </w:r>
      <w:r w:rsidR="008C3501" w:rsidRPr="004F5A83">
        <w:rPr>
          <w:lang w:val="en-NZ"/>
        </w:rPr>
        <w:t xml:space="preserve">delegated </w:t>
      </w:r>
      <w:r w:rsidRPr="004F5A83">
        <w:rPr>
          <w:lang w:val="en-NZ"/>
        </w:rPr>
        <w:t>authority to make decisions about policy and practice issues in line with the responsibilities described above</w:t>
      </w:r>
      <w:r w:rsidR="008C3501" w:rsidRPr="004F5A83">
        <w:rPr>
          <w:lang w:val="en-NZ"/>
        </w:rPr>
        <w:t xml:space="preserve"> and within delegated parameters from the organisation</w:t>
      </w:r>
      <w:r w:rsidRPr="004F5A83">
        <w:rPr>
          <w:lang w:val="en-NZ"/>
        </w:rPr>
        <w:t xml:space="preserve">. </w:t>
      </w:r>
    </w:p>
    <w:p w14:paraId="36D6ABA5" w14:textId="5BAAF24D" w:rsidR="009F3CEC" w:rsidRDefault="00D52124" w:rsidP="00423164">
      <w:pPr>
        <w:pStyle w:val="Bodyevidencesummary"/>
        <w:spacing w:after="120"/>
        <w:rPr>
          <w:lang w:val="en-NZ"/>
        </w:rPr>
      </w:pPr>
      <w:r w:rsidRPr="004F5A83">
        <w:rPr>
          <w:lang w:val="en-NZ"/>
        </w:rPr>
        <w:t>Clear processes must be in place for the committee to escalate issues impacting on the effectiveness of the recognition and response system that it does not have delegation to resolve. For example</w:t>
      </w:r>
      <w:r w:rsidR="009F3CEC">
        <w:rPr>
          <w:lang w:val="en-NZ"/>
        </w:rPr>
        <w:t>:</w:t>
      </w:r>
      <w:r w:rsidRPr="004F5A83">
        <w:rPr>
          <w:lang w:val="en-NZ"/>
        </w:rPr>
        <w:t xml:space="preserve"> </w:t>
      </w:r>
    </w:p>
    <w:p w14:paraId="0AFEABB9" w14:textId="481E4D49" w:rsidR="009F3CEC" w:rsidRPr="00E85EA2" w:rsidRDefault="00D52124" w:rsidP="00502085">
      <w:pPr>
        <w:pStyle w:val="Bulletsevidencesummary"/>
        <w:ind w:left="357" w:hanging="357"/>
        <w:rPr>
          <w:lang w:val="en-NZ"/>
        </w:rPr>
      </w:pPr>
      <w:r w:rsidRPr="00E85EA2">
        <w:rPr>
          <w:lang w:val="en-NZ"/>
        </w:rPr>
        <w:t xml:space="preserve">significant patient safety issues should be escalated via quality </w:t>
      </w:r>
      <w:r w:rsidR="009F3CEC" w:rsidRPr="00E85EA2">
        <w:rPr>
          <w:lang w:val="en-NZ"/>
        </w:rPr>
        <w:t xml:space="preserve">and </w:t>
      </w:r>
      <w:r w:rsidRPr="00E85EA2">
        <w:rPr>
          <w:lang w:val="en-NZ"/>
        </w:rPr>
        <w:t>safety managers and professional leads to the executive</w:t>
      </w:r>
    </w:p>
    <w:p w14:paraId="33599286" w14:textId="25FAA201" w:rsidR="009F3CEC" w:rsidRPr="00E85EA2" w:rsidRDefault="00D52124" w:rsidP="00502085">
      <w:pPr>
        <w:pStyle w:val="Bulletsevidencesummary"/>
        <w:ind w:left="357" w:hanging="357"/>
        <w:rPr>
          <w:lang w:val="en-NZ"/>
        </w:rPr>
      </w:pPr>
      <w:r w:rsidRPr="00E85EA2">
        <w:rPr>
          <w:lang w:val="en-NZ"/>
        </w:rPr>
        <w:t xml:space="preserve">resource issues should be escalated via operational managers to the </w:t>
      </w:r>
      <w:r w:rsidR="009F3CEC" w:rsidRPr="00E85EA2">
        <w:rPr>
          <w:lang w:val="en-NZ"/>
        </w:rPr>
        <w:t>c</w:t>
      </w:r>
      <w:r w:rsidRPr="00E85EA2">
        <w:rPr>
          <w:lang w:val="en-NZ"/>
        </w:rPr>
        <w:t xml:space="preserve">hief </w:t>
      </w:r>
      <w:r w:rsidR="009F3CEC" w:rsidRPr="00E85EA2">
        <w:rPr>
          <w:lang w:val="en-NZ"/>
        </w:rPr>
        <w:t>o</w:t>
      </w:r>
      <w:r w:rsidRPr="00E85EA2">
        <w:rPr>
          <w:lang w:val="en-NZ"/>
        </w:rPr>
        <w:t xml:space="preserve">perating </w:t>
      </w:r>
      <w:r w:rsidR="009F3CEC" w:rsidRPr="00E85EA2">
        <w:rPr>
          <w:lang w:val="en-NZ"/>
        </w:rPr>
        <w:t>o</w:t>
      </w:r>
      <w:r w:rsidRPr="00E85EA2">
        <w:rPr>
          <w:lang w:val="en-NZ"/>
        </w:rPr>
        <w:t xml:space="preserve">fficer </w:t>
      </w:r>
    </w:p>
    <w:p w14:paraId="69666D57" w14:textId="670E86E3" w:rsidR="00D52124" w:rsidRPr="00E85EA2" w:rsidRDefault="00D52124" w:rsidP="00502085">
      <w:pPr>
        <w:pStyle w:val="Bulletsevidencesummary"/>
        <w:ind w:left="357" w:hanging="357"/>
        <w:rPr>
          <w:lang w:val="en-NZ"/>
        </w:rPr>
      </w:pPr>
      <w:r w:rsidRPr="00E85EA2">
        <w:rPr>
          <w:lang w:val="en-NZ"/>
        </w:rPr>
        <w:t xml:space="preserve">individual performance management issues should be referred to the relevant line manager. </w:t>
      </w:r>
    </w:p>
    <w:p w14:paraId="197DA3A2" w14:textId="1B25CA18" w:rsidR="00D52124" w:rsidRPr="004F5A83" w:rsidRDefault="00423164" w:rsidP="00423164">
      <w:pPr>
        <w:pStyle w:val="H2evidencesummary"/>
        <w:spacing w:after="200"/>
        <w:rPr>
          <w:lang w:val="en-NZ"/>
        </w:rPr>
      </w:pPr>
      <w:r w:rsidRPr="004F5A83">
        <w:rPr>
          <w:lang w:val="en-NZ"/>
        </w:rPr>
        <w:t xml:space="preserve">6. </w:t>
      </w:r>
      <w:r w:rsidR="00D52124" w:rsidRPr="004F5A83">
        <w:rPr>
          <w:lang w:val="en-NZ"/>
        </w:rPr>
        <w:t xml:space="preserve">Reporting and </w:t>
      </w:r>
      <w:r w:rsidR="009F3CEC">
        <w:rPr>
          <w:lang w:val="en-NZ"/>
        </w:rPr>
        <w:t>c</w:t>
      </w:r>
      <w:r w:rsidR="00D52124" w:rsidRPr="004F5A83">
        <w:rPr>
          <w:lang w:val="en-NZ"/>
        </w:rPr>
        <w:t>ommunication</w:t>
      </w:r>
    </w:p>
    <w:p w14:paraId="03FB4F74" w14:textId="77777777" w:rsidR="00D52124" w:rsidRPr="004F5A83" w:rsidRDefault="00D52124" w:rsidP="00423164">
      <w:pPr>
        <w:pStyle w:val="Bodyevidencesummary"/>
        <w:spacing w:after="120"/>
        <w:rPr>
          <w:b/>
          <w:lang w:val="en-NZ"/>
        </w:rPr>
      </w:pPr>
      <w:r w:rsidRPr="004F5A83">
        <w:rPr>
          <w:lang w:val="en-NZ"/>
        </w:rPr>
        <w:t xml:space="preserve">Meeting minutes are documented and made available to all hospital staff. </w:t>
      </w:r>
    </w:p>
    <w:p w14:paraId="5B23C132" w14:textId="2636E535" w:rsidR="00D52124" w:rsidRPr="004F5A83" w:rsidRDefault="00D52124" w:rsidP="00423164">
      <w:pPr>
        <w:pStyle w:val="Bodyevidencesummary"/>
        <w:spacing w:after="120"/>
        <w:rPr>
          <w:b/>
          <w:lang w:val="en-NZ"/>
        </w:rPr>
      </w:pPr>
      <w:r w:rsidRPr="004F5A83">
        <w:rPr>
          <w:lang w:val="en-NZ"/>
        </w:rPr>
        <w:t xml:space="preserve">The committee communicates timely summative reports of recognition and response system activity and performance aggregate data to key hospital committees (for example, the </w:t>
      </w:r>
      <w:r w:rsidR="009F3CEC">
        <w:rPr>
          <w:lang w:val="en-NZ"/>
        </w:rPr>
        <w:t>c</w:t>
      </w:r>
      <w:r w:rsidRPr="004F5A83">
        <w:rPr>
          <w:lang w:val="en-NZ"/>
        </w:rPr>
        <w:t xml:space="preserve">linical </w:t>
      </w:r>
      <w:r w:rsidR="009F3CEC">
        <w:rPr>
          <w:lang w:val="en-NZ"/>
        </w:rPr>
        <w:t>g</w:t>
      </w:r>
      <w:r w:rsidRPr="004F5A83">
        <w:rPr>
          <w:lang w:val="en-NZ"/>
        </w:rPr>
        <w:t xml:space="preserve">overnance </w:t>
      </w:r>
      <w:r w:rsidR="009F3CEC">
        <w:rPr>
          <w:lang w:val="en-NZ"/>
        </w:rPr>
        <w:t>c</w:t>
      </w:r>
      <w:r w:rsidRPr="004F5A83">
        <w:rPr>
          <w:lang w:val="en-NZ"/>
        </w:rPr>
        <w:t xml:space="preserve">ommittee, the </w:t>
      </w:r>
      <w:r w:rsidR="009F3CEC">
        <w:rPr>
          <w:lang w:val="en-NZ"/>
        </w:rPr>
        <w:t>c</w:t>
      </w:r>
      <w:r w:rsidRPr="004F5A83">
        <w:rPr>
          <w:lang w:val="en-NZ"/>
        </w:rPr>
        <w:t xml:space="preserve">linical </w:t>
      </w:r>
      <w:r w:rsidR="009F3CEC">
        <w:rPr>
          <w:lang w:val="en-NZ"/>
        </w:rPr>
        <w:t>b</w:t>
      </w:r>
      <w:r w:rsidRPr="004F5A83">
        <w:rPr>
          <w:lang w:val="en-NZ"/>
        </w:rPr>
        <w:t xml:space="preserve">oard, and the </w:t>
      </w:r>
      <w:r w:rsidR="00A4782D">
        <w:rPr>
          <w:lang w:val="en-NZ"/>
        </w:rPr>
        <w:t>q</w:t>
      </w:r>
      <w:r w:rsidRPr="004F5A83">
        <w:rPr>
          <w:lang w:val="en-NZ"/>
        </w:rPr>
        <w:t xml:space="preserve">uality </w:t>
      </w:r>
      <w:r w:rsidR="00502085">
        <w:rPr>
          <w:lang w:val="en-NZ"/>
        </w:rPr>
        <w:t xml:space="preserve">and safety </w:t>
      </w:r>
      <w:r w:rsidR="00A4782D">
        <w:rPr>
          <w:lang w:val="en-NZ"/>
        </w:rPr>
        <w:t>c</w:t>
      </w:r>
      <w:r w:rsidRPr="004F5A83">
        <w:rPr>
          <w:lang w:val="en-NZ"/>
        </w:rPr>
        <w:t xml:space="preserve">ommittee). </w:t>
      </w:r>
    </w:p>
    <w:p w14:paraId="05B793E1" w14:textId="2303EC18" w:rsidR="00D52124" w:rsidRPr="004F5A83" w:rsidRDefault="00D52124" w:rsidP="00423164">
      <w:pPr>
        <w:pStyle w:val="Bodyevidencesummary"/>
        <w:spacing w:after="120"/>
        <w:rPr>
          <w:b/>
          <w:lang w:val="en-NZ"/>
        </w:rPr>
      </w:pPr>
      <w:r w:rsidRPr="004F5A83">
        <w:rPr>
          <w:lang w:val="en-NZ"/>
        </w:rPr>
        <w:t xml:space="preserve">The committee provides a summary of the recognition and response system performance data and any consequent improvement actions to the </w:t>
      </w:r>
      <w:r w:rsidR="00A4782D">
        <w:rPr>
          <w:lang w:val="en-NZ"/>
        </w:rPr>
        <w:t>b</w:t>
      </w:r>
      <w:r w:rsidRPr="004F5A83">
        <w:rPr>
          <w:lang w:val="en-NZ"/>
        </w:rPr>
        <w:t>oard, the consumer network, and all hospital staff at least annually.</w:t>
      </w:r>
    </w:p>
    <w:p w14:paraId="6EB0C3C0" w14:textId="57CF6BC3" w:rsidR="00D52124" w:rsidRPr="004F5A83" w:rsidRDefault="00423164" w:rsidP="00423164">
      <w:pPr>
        <w:pStyle w:val="H2evidencesummary"/>
        <w:spacing w:after="200"/>
        <w:rPr>
          <w:lang w:val="en-NZ"/>
        </w:rPr>
      </w:pPr>
      <w:r w:rsidRPr="004F5A83">
        <w:rPr>
          <w:lang w:val="en-NZ"/>
        </w:rPr>
        <w:t xml:space="preserve">7. </w:t>
      </w:r>
      <w:r w:rsidR="00D52124" w:rsidRPr="004F5A83">
        <w:rPr>
          <w:lang w:val="en-NZ"/>
        </w:rPr>
        <w:t xml:space="preserve">Terms and </w:t>
      </w:r>
      <w:r w:rsidR="00A4782D">
        <w:rPr>
          <w:lang w:val="en-NZ"/>
        </w:rPr>
        <w:t>c</w:t>
      </w:r>
      <w:r w:rsidR="00D52124" w:rsidRPr="004F5A83">
        <w:rPr>
          <w:lang w:val="en-NZ"/>
        </w:rPr>
        <w:t xml:space="preserve">onditions of </w:t>
      </w:r>
      <w:r w:rsidR="00A4782D">
        <w:rPr>
          <w:lang w:val="en-NZ"/>
        </w:rPr>
        <w:t>a</w:t>
      </w:r>
      <w:r w:rsidR="00D52124" w:rsidRPr="004F5A83">
        <w:rPr>
          <w:lang w:val="en-NZ"/>
        </w:rPr>
        <w:t xml:space="preserve">ppointment </w:t>
      </w:r>
    </w:p>
    <w:p w14:paraId="0E52929E" w14:textId="0D3C85D2" w:rsidR="00D52124" w:rsidRPr="004F5A83" w:rsidRDefault="00D52124" w:rsidP="00423164">
      <w:pPr>
        <w:pStyle w:val="Bodyevidencesummary"/>
        <w:spacing w:after="120"/>
        <w:rPr>
          <w:b/>
          <w:lang w:val="en-NZ"/>
        </w:rPr>
      </w:pPr>
      <w:r w:rsidRPr="004F5A83">
        <w:rPr>
          <w:lang w:val="en-NZ"/>
        </w:rPr>
        <w:t>Members will be appointed to ensure appropriate representation from medicine, nursing,</w:t>
      </w:r>
      <w:r w:rsidR="00785294" w:rsidRPr="004F5A83">
        <w:rPr>
          <w:lang w:val="en-NZ"/>
        </w:rPr>
        <w:t xml:space="preserve"> midwifery</w:t>
      </w:r>
      <w:r w:rsidR="00502085">
        <w:rPr>
          <w:lang w:val="en-NZ"/>
        </w:rPr>
        <w:t>,</w:t>
      </w:r>
      <w:r w:rsidRPr="004F5A83">
        <w:rPr>
          <w:lang w:val="en-NZ"/>
        </w:rPr>
        <w:t xml:space="preserve"> allied health, quality and safety, operational management, and consumers. </w:t>
      </w:r>
      <w:r w:rsidR="005A2FD3" w:rsidRPr="004F5A83">
        <w:rPr>
          <w:lang w:val="en-NZ"/>
        </w:rPr>
        <w:t>Specific time will be allocated to ensure that members are able to fulfil their responsibilities for the committee.</w:t>
      </w:r>
    </w:p>
    <w:p w14:paraId="10CF603D" w14:textId="77777777" w:rsidR="00D52124" w:rsidRPr="004F5A83" w:rsidRDefault="00D52124" w:rsidP="00423164">
      <w:pPr>
        <w:pStyle w:val="Bodyevidencesummary"/>
        <w:spacing w:after="120"/>
        <w:rPr>
          <w:b/>
          <w:lang w:val="en-NZ"/>
        </w:rPr>
      </w:pPr>
      <w:r w:rsidRPr="004F5A83">
        <w:rPr>
          <w:lang w:val="en-NZ"/>
        </w:rPr>
        <w:t>A chair for the committee will be nominated from the membership and</w:t>
      </w:r>
      <w:r w:rsidR="008C3501" w:rsidRPr="004F5A83">
        <w:rPr>
          <w:lang w:val="en-NZ"/>
        </w:rPr>
        <w:t xml:space="preserve"> appointed with agreement of senior professional leaders</w:t>
      </w:r>
      <w:r w:rsidRPr="004F5A83">
        <w:rPr>
          <w:lang w:val="en-NZ"/>
        </w:rPr>
        <w:t>.</w:t>
      </w:r>
    </w:p>
    <w:p w14:paraId="7EABB768" w14:textId="77777777" w:rsidR="00D52124" w:rsidRPr="004F5A83" w:rsidRDefault="00D52124" w:rsidP="00423164">
      <w:pPr>
        <w:pStyle w:val="Bodyevidencesummary"/>
        <w:spacing w:after="120"/>
        <w:rPr>
          <w:b/>
          <w:lang w:val="en-NZ" w:eastAsia="en-GB"/>
        </w:rPr>
      </w:pPr>
      <w:r w:rsidRPr="004F5A83">
        <w:rPr>
          <w:lang w:val="en-NZ"/>
        </w:rPr>
        <w:t xml:space="preserve">The terms of reference for the group will be reviewed </w:t>
      </w:r>
      <w:r w:rsidR="008C3501" w:rsidRPr="004F5A83">
        <w:rPr>
          <w:lang w:val="en-NZ"/>
        </w:rPr>
        <w:t>annually</w:t>
      </w:r>
      <w:r w:rsidRPr="004F5A83">
        <w:rPr>
          <w:lang w:val="en-NZ"/>
        </w:rPr>
        <w:t>.</w:t>
      </w:r>
    </w:p>
    <w:sectPr w:rsidR="00D52124" w:rsidRPr="004F5A83" w:rsidSect="00B22222">
      <w:footerReference w:type="first" r:id="rId15"/>
      <w:pgSz w:w="11906" w:h="16838"/>
      <w:pgMar w:top="851" w:right="1418"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10342" w14:textId="77777777" w:rsidR="008D5919" w:rsidRDefault="008D5919">
      <w:r>
        <w:separator/>
      </w:r>
    </w:p>
  </w:endnote>
  <w:endnote w:type="continuationSeparator" w:id="0">
    <w:p w14:paraId="5B9C3118" w14:textId="77777777" w:rsidR="008D5919" w:rsidRDefault="008D5919">
      <w:r>
        <w:continuationSeparator/>
      </w:r>
    </w:p>
  </w:endnote>
  <w:endnote w:type="continuationNotice" w:id="1">
    <w:p w14:paraId="32A84B24" w14:textId="77777777" w:rsidR="008D5919" w:rsidRDefault="008D5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venir-Book">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909D2" w14:textId="35B7D170" w:rsidR="0078502D" w:rsidRPr="00423164" w:rsidRDefault="003F48F5" w:rsidP="00502085">
    <w:pPr>
      <w:pStyle w:val="Footer"/>
      <w:tabs>
        <w:tab w:val="clear" w:pos="8306"/>
        <w:tab w:val="right" w:pos="9072"/>
      </w:tabs>
      <w:jc w:val="right"/>
      <w:rPr>
        <w:rFonts w:ascii="Arial" w:hAnsi="Arial" w:cs="Arial"/>
        <w:sz w:val="20"/>
        <w:szCs w:val="18"/>
      </w:rPr>
    </w:pPr>
    <w:r w:rsidRPr="00423164">
      <w:rPr>
        <w:rFonts w:ascii="Arial" w:hAnsi="Arial" w:cs="Arial"/>
        <w:noProof/>
        <w:sz w:val="20"/>
        <w:szCs w:val="18"/>
      </w:rPr>
      <w:t xml:space="preserve">Leadership and clinical governance </w:t>
    </w:r>
    <w:r w:rsidR="00D52124" w:rsidRPr="00423164">
      <w:rPr>
        <w:rFonts w:ascii="Arial" w:hAnsi="Arial" w:cs="Arial"/>
        <w:noProof/>
        <w:sz w:val="20"/>
        <w:szCs w:val="18"/>
      </w:rPr>
      <w:t>for recognition and response system</w:t>
    </w:r>
    <w:r w:rsidRPr="00423164">
      <w:rPr>
        <w:rFonts w:ascii="Arial" w:hAnsi="Arial" w:cs="Arial"/>
        <w:noProof/>
        <w:sz w:val="20"/>
        <w:szCs w:val="18"/>
      </w:rPr>
      <w:t>s</w:t>
    </w:r>
    <w:r w:rsidR="00785294">
      <w:rPr>
        <w:rFonts w:ascii="Arial" w:hAnsi="Arial" w:cs="Arial"/>
        <w:noProof/>
        <w:sz w:val="20"/>
        <w:szCs w:val="18"/>
      </w:rPr>
      <w:t xml:space="preserve"> updated April 2021</w:t>
    </w:r>
    <w:r w:rsidR="0078502D" w:rsidRPr="00423164">
      <w:rPr>
        <w:rFonts w:ascii="Arial" w:hAnsi="Arial" w:cs="Arial"/>
        <w:sz w:val="20"/>
        <w:szCs w:val="18"/>
      </w:rPr>
      <w:tab/>
    </w:r>
    <w:r w:rsidR="0078502D" w:rsidRPr="00423164">
      <w:rPr>
        <w:rFonts w:ascii="Arial" w:hAnsi="Arial" w:cs="Arial"/>
        <w:sz w:val="20"/>
        <w:szCs w:val="18"/>
      </w:rPr>
      <w:fldChar w:fldCharType="begin"/>
    </w:r>
    <w:r w:rsidR="0078502D" w:rsidRPr="00423164">
      <w:rPr>
        <w:rFonts w:ascii="Arial" w:hAnsi="Arial" w:cs="Arial"/>
        <w:sz w:val="20"/>
        <w:szCs w:val="18"/>
      </w:rPr>
      <w:instrText xml:space="preserve"> PAGE </w:instrText>
    </w:r>
    <w:r w:rsidR="0078502D" w:rsidRPr="00423164">
      <w:rPr>
        <w:rFonts w:ascii="Arial" w:hAnsi="Arial" w:cs="Arial"/>
        <w:sz w:val="20"/>
        <w:szCs w:val="18"/>
      </w:rPr>
      <w:fldChar w:fldCharType="separate"/>
    </w:r>
    <w:r w:rsidR="00D0270D">
      <w:rPr>
        <w:rFonts w:ascii="Arial" w:hAnsi="Arial" w:cs="Arial"/>
        <w:noProof/>
        <w:sz w:val="20"/>
        <w:szCs w:val="18"/>
      </w:rPr>
      <w:t>3</w:t>
    </w:r>
    <w:r w:rsidR="0078502D" w:rsidRPr="00423164">
      <w:rPr>
        <w:rFonts w:ascii="Arial" w:hAnsi="Arial" w:cs="Arial"/>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8E7C7" w14:textId="421A710A" w:rsidR="0078502D" w:rsidRPr="00423164" w:rsidRDefault="00D21AE3" w:rsidP="00502085">
    <w:pPr>
      <w:pStyle w:val="Footer"/>
      <w:tabs>
        <w:tab w:val="clear" w:pos="8306"/>
        <w:tab w:val="right" w:pos="9072"/>
      </w:tabs>
      <w:spacing w:after="40"/>
      <w:rPr>
        <w:rFonts w:ascii="Arial" w:hAnsi="Arial" w:cs="Arial"/>
        <w:sz w:val="20"/>
        <w:szCs w:val="18"/>
      </w:rPr>
    </w:pPr>
    <w:r w:rsidRPr="00423164">
      <w:rPr>
        <w:rFonts w:ascii="Arial" w:hAnsi="Arial" w:cs="Arial"/>
        <w:noProof/>
        <w:sz w:val="20"/>
        <w:szCs w:val="18"/>
      </w:rPr>
      <w:t>Leadership and clinical governance for recognition and response systems</w:t>
    </w:r>
    <w:r w:rsidR="00785294">
      <w:rPr>
        <w:rFonts w:ascii="Arial" w:hAnsi="Arial" w:cs="Arial"/>
        <w:noProof/>
        <w:sz w:val="20"/>
        <w:szCs w:val="18"/>
      </w:rPr>
      <w:t xml:space="preserve"> updated April 2021</w:t>
    </w:r>
    <w:r w:rsidR="0078502D" w:rsidRPr="00423164">
      <w:rPr>
        <w:rFonts w:ascii="Arial" w:hAnsi="Arial" w:cs="Arial"/>
        <w:sz w:val="20"/>
        <w:szCs w:val="18"/>
      </w:rPr>
      <w:tab/>
    </w:r>
    <w:r w:rsidR="0078502D" w:rsidRPr="00423164">
      <w:rPr>
        <w:rFonts w:ascii="Arial" w:hAnsi="Arial" w:cs="Arial"/>
        <w:sz w:val="20"/>
        <w:szCs w:val="18"/>
      </w:rPr>
      <w:fldChar w:fldCharType="begin"/>
    </w:r>
    <w:r w:rsidR="0078502D" w:rsidRPr="00423164">
      <w:rPr>
        <w:rFonts w:ascii="Arial" w:hAnsi="Arial" w:cs="Arial"/>
        <w:sz w:val="20"/>
        <w:szCs w:val="18"/>
      </w:rPr>
      <w:instrText xml:space="preserve"> PAGE </w:instrText>
    </w:r>
    <w:r w:rsidR="0078502D" w:rsidRPr="00423164">
      <w:rPr>
        <w:rFonts w:ascii="Arial" w:hAnsi="Arial" w:cs="Arial"/>
        <w:sz w:val="20"/>
        <w:szCs w:val="18"/>
      </w:rPr>
      <w:fldChar w:fldCharType="separate"/>
    </w:r>
    <w:r w:rsidR="00EB050C">
      <w:rPr>
        <w:rFonts w:ascii="Arial" w:hAnsi="Arial" w:cs="Arial"/>
        <w:noProof/>
        <w:sz w:val="20"/>
        <w:szCs w:val="18"/>
      </w:rPr>
      <w:t>1</w:t>
    </w:r>
    <w:r w:rsidR="0078502D" w:rsidRPr="00423164">
      <w:rPr>
        <w:rFonts w:ascii="Arial" w:hAnsi="Arial" w:cs="Arial"/>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C4CD7" w14:textId="190F13DB" w:rsidR="00D52124" w:rsidRPr="00423164" w:rsidRDefault="00B22222" w:rsidP="00144036">
    <w:pPr>
      <w:pStyle w:val="Footer"/>
      <w:tabs>
        <w:tab w:val="clear" w:pos="8306"/>
        <w:tab w:val="right" w:pos="9072"/>
      </w:tabs>
      <w:rPr>
        <w:rFonts w:ascii="Arial" w:hAnsi="Arial" w:cs="Arial"/>
        <w:sz w:val="20"/>
        <w:szCs w:val="20"/>
      </w:rPr>
    </w:pPr>
    <w:r w:rsidRPr="00423164">
      <w:rPr>
        <w:rFonts w:ascii="Arial" w:hAnsi="Arial" w:cs="Arial"/>
        <w:noProof/>
        <w:sz w:val="20"/>
        <w:szCs w:val="20"/>
      </w:rPr>
      <w:t>Leadership and clinical governance for recognition and response systems</w:t>
    </w:r>
    <w:r w:rsidR="00D52124" w:rsidRPr="00423164">
      <w:rPr>
        <w:rFonts w:ascii="Arial" w:hAnsi="Arial" w:cs="Arial"/>
        <w:noProof/>
        <w:sz w:val="20"/>
        <w:szCs w:val="20"/>
      </w:rPr>
      <w:t xml:space="preserve"> </w:t>
    </w:r>
    <w:r w:rsidR="00785294">
      <w:rPr>
        <w:rFonts w:ascii="Arial" w:hAnsi="Arial" w:cs="Arial"/>
        <w:sz w:val="20"/>
        <w:szCs w:val="20"/>
      </w:rPr>
      <w:t>updated April 2021</w:t>
    </w:r>
    <w:r w:rsidR="00D52124" w:rsidRPr="00423164">
      <w:rPr>
        <w:rFonts w:ascii="Arial" w:hAnsi="Arial" w:cs="Arial"/>
        <w:sz w:val="20"/>
        <w:szCs w:val="20"/>
      </w:rPr>
      <w:tab/>
      <w:t xml:space="preserve">Page </w:t>
    </w:r>
    <w:r w:rsidR="00D52124" w:rsidRPr="00423164">
      <w:rPr>
        <w:rFonts w:ascii="Arial" w:hAnsi="Arial" w:cs="Arial"/>
        <w:sz w:val="20"/>
        <w:szCs w:val="20"/>
      </w:rPr>
      <w:fldChar w:fldCharType="begin"/>
    </w:r>
    <w:r w:rsidR="00D52124" w:rsidRPr="00423164">
      <w:rPr>
        <w:rFonts w:ascii="Arial" w:hAnsi="Arial" w:cs="Arial"/>
        <w:sz w:val="20"/>
        <w:szCs w:val="20"/>
      </w:rPr>
      <w:instrText xml:space="preserve"> PAGE </w:instrText>
    </w:r>
    <w:r w:rsidR="00D52124" w:rsidRPr="00423164">
      <w:rPr>
        <w:rFonts w:ascii="Arial" w:hAnsi="Arial" w:cs="Arial"/>
        <w:sz w:val="20"/>
        <w:szCs w:val="20"/>
      </w:rPr>
      <w:fldChar w:fldCharType="separate"/>
    </w:r>
    <w:r w:rsidR="00D0270D">
      <w:rPr>
        <w:rFonts w:ascii="Arial" w:hAnsi="Arial" w:cs="Arial"/>
        <w:noProof/>
        <w:sz w:val="20"/>
        <w:szCs w:val="20"/>
      </w:rPr>
      <w:t>4</w:t>
    </w:r>
    <w:r w:rsidR="00D52124" w:rsidRPr="00423164">
      <w:rPr>
        <w:rFonts w:ascii="Arial" w:hAnsi="Arial" w:cs="Arial"/>
        <w:sz w:val="20"/>
        <w:szCs w:val="20"/>
      </w:rPr>
      <w:fldChar w:fldCharType="end"/>
    </w:r>
    <w:r w:rsidR="00D52124" w:rsidRPr="00423164">
      <w:rPr>
        <w:rFonts w:ascii="Arial" w:hAnsi="Arial" w:cs="Arial"/>
        <w:sz w:val="20"/>
        <w:szCs w:val="20"/>
      </w:rPr>
      <w:t xml:space="preserve"> of </w:t>
    </w:r>
    <w:r w:rsidR="00423164">
      <w:rPr>
        <w:rFonts w:ascii="Arial" w:hAnsi="Arial" w:cs="Arial"/>
        <w:sz w:val="20"/>
        <w:szCs w:val="20"/>
      </w:rPr>
      <w:fldChar w:fldCharType="begin"/>
    </w:r>
    <w:r w:rsidR="00423164">
      <w:rPr>
        <w:rFonts w:ascii="Arial" w:hAnsi="Arial" w:cs="Arial"/>
        <w:sz w:val="20"/>
        <w:szCs w:val="20"/>
      </w:rPr>
      <w:instrText xml:space="preserve"> NUMPAGES  \* Arabic  \* MERGEFORMAT </w:instrText>
    </w:r>
    <w:r w:rsidR="00423164">
      <w:rPr>
        <w:rFonts w:ascii="Arial" w:hAnsi="Arial" w:cs="Arial"/>
        <w:sz w:val="20"/>
        <w:szCs w:val="20"/>
      </w:rPr>
      <w:fldChar w:fldCharType="separate"/>
    </w:r>
    <w:r w:rsidR="00D0270D">
      <w:rPr>
        <w:rFonts w:ascii="Arial" w:hAnsi="Arial" w:cs="Arial"/>
        <w:noProof/>
        <w:sz w:val="20"/>
        <w:szCs w:val="20"/>
      </w:rPr>
      <w:t>5</w:t>
    </w:r>
    <w:r w:rsidR="0042316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BAAAD" w14:textId="77777777" w:rsidR="008D5919" w:rsidRDefault="008D5919">
      <w:r>
        <w:separator/>
      </w:r>
    </w:p>
  </w:footnote>
  <w:footnote w:type="continuationSeparator" w:id="0">
    <w:p w14:paraId="0170B177" w14:textId="77777777" w:rsidR="008D5919" w:rsidRDefault="008D5919">
      <w:r>
        <w:continuationSeparator/>
      </w:r>
    </w:p>
  </w:footnote>
  <w:footnote w:type="continuationNotice" w:id="1">
    <w:p w14:paraId="61DC23D0" w14:textId="77777777" w:rsidR="008D5919" w:rsidRDefault="008D5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0E723" w14:textId="77777777" w:rsidR="0078502D" w:rsidRDefault="0078502D">
    <w:pPr>
      <w:pStyle w:val="Header"/>
    </w:pPr>
    <w:r>
      <w:rPr>
        <w:noProof/>
      </w:rPr>
      <w:drawing>
        <wp:anchor distT="0" distB="0" distL="114300" distR="114300" simplePos="0" relativeHeight="251669504" behindDoc="0" locked="0" layoutInCell="1" allowOverlap="1" wp14:anchorId="6C4BB188" wp14:editId="0D20BFAF">
          <wp:simplePos x="0" y="0"/>
          <wp:positionH relativeFrom="column">
            <wp:posOffset>4452620</wp:posOffset>
          </wp:positionH>
          <wp:positionV relativeFrom="paragraph">
            <wp:posOffset>-78740</wp:posOffset>
          </wp:positionV>
          <wp:extent cx="1905000" cy="479425"/>
          <wp:effectExtent l="0" t="0" r="0" b="0"/>
          <wp:wrapTopAndBottom/>
          <wp:docPr id="1" name="Picture 1" descr="C:\Users\bertelsenj\Documents\Drop box revised headers footer\Drop box\B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telsenj\Documents\Drop box revised headers footer\Drop box\BP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43531"/>
                  <a:stretch/>
                </pic:blipFill>
                <pic:spPr bwMode="auto">
                  <a:xfrm>
                    <a:off x="0" y="0"/>
                    <a:ext cx="1905000" cy="479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5909C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FBD050B"/>
    <w:multiLevelType w:val="hybridMultilevel"/>
    <w:tmpl w:val="C4B278FA"/>
    <w:lvl w:ilvl="0" w:tplc="737CD1AE">
      <w:start w:val="1"/>
      <w:numFmt w:val="bullet"/>
      <w:pStyle w:val="Bulletsevidencesummary"/>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7FF4856"/>
    <w:multiLevelType w:val="hybridMultilevel"/>
    <w:tmpl w:val="1C4853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9FA361E"/>
    <w:multiLevelType w:val="multilevel"/>
    <w:tmpl w:val="5CCC82FE"/>
    <w:lvl w:ilvl="0">
      <w:start w:val="1"/>
      <w:numFmt w:val="bullet"/>
      <w:pStyle w:val="Bullet2"/>
      <w:lvlText w:val=""/>
      <w:lvlJc w:val="left"/>
      <w:pPr>
        <w:tabs>
          <w:tab w:val="num" w:pos="850"/>
        </w:tabs>
        <w:ind w:left="850" w:hanging="425"/>
      </w:pPr>
      <w:rPr>
        <w:rFonts w:ascii="Symbol" w:hAnsi="Symbol" w:hint="default"/>
      </w:rPr>
    </w:lvl>
    <w:lvl w:ilvl="1">
      <w:start w:val="1"/>
      <w:numFmt w:val="bullet"/>
      <w:lvlText w:val="–"/>
      <w:lvlJc w:val="left"/>
      <w:pPr>
        <w:tabs>
          <w:tab w:val="num" w:pos="1276"/>
        </w:tabs>
        <w:ind w:left="1276" w:hanging="426"/>
      </w:pPr>
      <w:rPr>
        <w:rFonts w:ascii="Times New Roman" w:hAnsi="Times New Roman" w:cs="Times New Roman" w:hint="default"/>
      </w:rPr>
    </w:lvl>
    <w:lvl w:ilvl="2">
      <w:start w:val="1"/>
      <w:numFmt w:val="decimal"/>
      <w:lvlText w:val="%1.%2.%3."/>
      <w:lvlJc w:val="left"/>
      <w:pPr>
        <w:tabs>
          <w:tab w:val="num" w:pos="2225"/>
        </w:tabs>
        <w:ind w:left="1649" w:hanging="504"/>
      </w:pPr>
      <w:rPr>
        <w:rFonts w:hint="default"/>
      </w:rPr>
    </w:lvl>
    <w:lvl w:ilvl="3">
      <w:start w:val="1"/>
      <w:numFmt w:val="decimal"/>
      <w:lvlText w:val="%1.%2.%3.%4."/>
      <w:lvlJc w:val="left"/>
      <w:pPr>
        <w:tabs>
          <w:tab w:val="num" w:pos="2945"/>
        </w:tabs>
        <w:ind w:left="2153" w:hanging="648"/>
      </w:pPr>
      <w:rPr>
        <w:rFonts w:hint="default"/>
      </w:rPr>
    </w:lvl>
    <w:lvl w:ilvl="4">
      <w:start w:val="1"/>
      <w:numFmt w:val="decimal"/>
      <w:lvlText w:val="%1.%2.%3.%4.%5."/>
      <w:lvlJc w:val="left"/>
      <w:pPr>
        <w:tabs>
          <w:tab w:val="num" w:pos="3665"/>
        </w:tabs>
        <w:ind w:left="2657" w:hanging="792"/>
      </w:pPr>
      <w:rPr>
        <w:rFonts w:hint="default"/>
      </w:rPr>
    </w:lvl>
    <w:lvl w:ilvl="5">
      <w:start w:val="1"/>
      <w:numFmt w:val="decimal"/>
      <w:lvlText w:val="%1.%2.%3.%4.%5.%6."/>
      <w:lvlJc w:val="left"/>
      <w:pPr>
        <w:tabs>
          <w:tab w:val="num" w:pos="4385"/>
        </w:tabs>
        <w:ind w:left="3161" w:hanging="936"/>
      </w:pPr>
      <w:rPr>
        <w:rFonts w:hint="default"/>
      </w:rPr>
    </w:lvl>
    <w:lvl w:ilvl="6">
      <w:start w:val="1"/>
      <w:numFmt w:val="decimal"/>
      <w:lvlText w:val="%1.%2.%3.%4.%5.%6.%7."/>
      <w:lvlJc w:val="left"/>
      <w:pPr>
        <w:tabs>
          <w:tab w:val="num" w:pos="5105"/>
        </w:tabs>
        <w:ind w:left="3665" w:hanging="1080"/>
      </w:pPr>
      <w:rPr>
        <w:rFonts w:hint="default"/>
      </w:rPr>
    </w:lvl>
    <w:lvl w:ilvl="7">
      <w:start w:val="1"/>
      <w:numFmt w:val="decimal"/>
      <w:lvlText w:val="%1.%2.%3.%4.%5.%6.%7.%8."/>
      <w:lvlJc w:val="left"/>
      <w:pPr>
        <w:tabs>
          <w:tab w:val="num" w:pos="5825"/>
        </w:tabs>
        <w:ind w:left="4169" w:hanging="1224"/>
      </w:pPr>
      <w:rPr>
        <w:rFonts w:hint="default"/>
      </w:rPr>
    </w:lvl>
    <w:lvl w:ilvl="8">
      <w:start w:val="1"/>
      <w:numFmt w:val="decimal"/>
      <w:lvlText w:val="%1.%2.%3.%4.%5.%6.%7.%8.%9."/>
      <w:lvlJc w:val="left"/>
      <w:pPr>
        <w:tabs>
          <w:tab w:val="num" w:pos="6545"/>
        </w:tabs>
        <w:ind w:left="4745" w:hanging="1440"/>
      </w:pPr>
      <w:rPr>
        <w:rFonts w:hint="default"/>
      </w:rPr>
    </w:lvl>
  </w:abstractNum>
  <w:abstractNum w:abstractNumId="4" w15:restartNumberingAfterBreak="0">
    <w:nsid w:val="7D352C2E"/>
    <w:multiLevelType w:val="hybridMultilevel"/>
    <w:tmpl w:val="5AFAB2D2"/>
    <w:styleLink w:val="Bullet"/>
    <w:lvl w:ilvl="0" w:tplc="9626D024">
      <w:start w:val="1"/>
      <w:numFmt w:val="bullet"/>
      <w:lvlText w:val="•"/>
      <w:lvlJc w:val="left"/>
      <w:pPr>
        <w:ind w:left="21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C3A86">
      <w:start w:val="1"/>
      <w:numFmt w:val="bullet"/>
      <w:lvlText w:val="•"/>
      <w:lvlJc w:val="left"/>
      <w:pPr>
        <w:ind w:left="39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AE7DA8">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30CD5A">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94732E">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5E1B7E">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288CE0">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CC78CC">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06D27E">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1"/>
  </w:num>
  <w:num w:numId="4">
    <w:abstractNumId w:val="2"/>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7C4E252-CF07-4D72-A32B-6F8C7C86A3D3}"/>
    <w:docVar w:name="dgnword-eventsink" w:val="645819192"/>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5x0dfrwoze50te9evn5vr2osasvvr0erdds&quot;&gt;Patient deterioration library&lt;record-ids&gt;&lt;item&gt;20&lt;/item&gt;&lt;item&gt;21&lt;/item&gt;&lt;item&gt;45&lt;/item&gt;&lt;item&gt;47&lt;/item&gt;&lt;/record-ids&gt;&lt;/item&gt;&lt;/Libraries&gt;"/>
  </w:docVars>
  <w:rsids>
    <w:rsidRoot w:val="004A1D5B"/>
    <w:rsid w:val="0000035B"/>
    <w:rsid w:val="00001EFB"/>
    <w:rsid w:val="00006B57"/>
    <w:rsid w:val="00020905"/>
    <w:rsid w:val="0002313A"/>
    <w:rsid w:val="00025F4C"/>
    <w:rsid w:val="00030E9B"/>
    <w:rsid w:val="00031FC1"/>
    <w:rsid w:val="000343A1"/>
    <w:rsid w:val="00036108"/>
    <w:rsid w:val="0003624D"/>
    <w:rsid w:val="0004077B"/>
    <w:rsid w:val="00040866"/>
    <w:rsid w:val="00042E7E"/>
    <w:rsid w:val="00047FA0"/>
    <w:rsid w:val="000500B1"/>
    <w:rsid w:val="000502C7"/>
    <w:rsid w:val="0005220F"/>
    <w:rsid w:val="0005313D"/>
    <w:rsid w:val="00053DAA"/>
    <w:rsid w:val="00054552"/>
    <w:rsid w:val="00057A7F"/>
    <w:rsid w:val="00060378"/>
    <w:rsid w:val="0006519D"/>
    <w:rsid w:val="000673DF"/>
    <w:rsid w:val="000711E3"/>
    <w:rsid w:val="000772F2"/>
    <w:rsid w:val="00080CE1"/>
    <w:rsid w:val="00081A6C"/>
    <w:rsid w:val="000833F8"/>
    <w:rsid w:val="00087542"/>
    <w:rsid w:val="00091C5C"/>
    <w:rsid w:val="00091D6E"/>
    <w:rsid w:val="00095DA8"/>
    <w:rsid w:val="000A3D27"/>
    <w:rsid w:val="000A4074"/>
    <w:rsid w:val="000A4C76"/>
    <w:rsid w:val="000A6552"/>
    <w:rsid w:val="000B0A56"/>
    <w:rsid w:val="000B1404"/>
    <w:rsid w:val="000B6088"/>
    <w:rsid w:val="000B698E"/>
    <w:rsid w:val="000C0D22"/>
    <w:rsid w:val="000C22FD"/>
    <w:rsid w:val="000C3EE0"/>
    <w:rsid w:val="000C5077"/>
    <w:rsid w:val="000C5A9B"/>
    <w:rsid w:val="000D0C92"/>
    <w:rsid w:val="000D179E"/>
    <w:rsid w:val="000D1F7C"/>
    <w:rsid w:val="000D2610"/>
    <w:rsid w:val="000D595C"/>
    <w:rsid w:val="000D6182"/>
    <w:rsid w:val="000E1322"/>
    <w:rsid w:val="000E1934"/>
    <w:rsid w:val="000F1C32"/>
    <w:rsid w:val="000F3147"/>
    <w:rsid w:val="000F5256"/>
    <w:rsid w:val="000F564D"/>
    <w:rsid w:val="00101549"/>
    <w:rsid w:val="00102D2A"/>
    <w:rsid w:val="00107A45"/>
    <w:rsid w:val="00107ED5"/>
    <w:rsid w:val="00110EF0"/>
    <w:rsid w:val="00112A24"/>
    <w:rsid w:val="00117003"/>
    <w:rsid w:val="00117180"/>
    <w:rsid w:val="0012279C"/>
    <w:rsid w:val="001234DC"/>
    <w:rsid w:val="001274C4"/>
    <w:rsid w:val="00127633"/>
    <w:rsid w:val="001314D4"/>
    <w:rsid w:val="00131D6D"/>
    <w:rsid w:val="001336D6"/>
    <w:rsid w:val="00133743"/>
    <w:rsid w:val="0013374C"/>
    <w:rsid w:val="00137444"/>
    <w:rsid w:val="001416B6"/>
    <w:rsid w:val="00144036"/>
    <w:rsid w:val="0014600F"/>
    <w:rsid w:val="001479E4"/>
    <w:rsid w:val="001509EF"/>
    <w:rsid w:val="00151966"/>
    <w:rsid w:val="00151A12"/>
    <w:rsid w:val="00153240"/>
    <w:rsid w:val="00155700"/>
    <w:rsid w:val="00155E92"/>
    <w:rsid w:val="00160B9C"/>
    <w:rsid w:val="0016198A"/>
    <w:rsid w:val="00162AB9"/>
    <w:rsid w:val="00163271"/>
    <w:rsid w:val="00170483"/>
    <w:rsid w:val="001714F9"/>
    <w:rsid w:val="00177BD4"/>
    <w:rsid w:val="00180992"/>
    <w:rsid w:val="00182129"/>
    <w:rsid w:val="00183F84"/>
    <w:rsid w:val="00190696"/>
    <w:rsid w:val="00192484"/>
    <w:rsid w:val="00192A16"/>
    <w:rsid w:val="001935A0"/>
    <w:rsid w:val="00195042"/>
    <w:rsid w:val="00195666"/>
    <w:rsid w:val="00195FD8"/>
    <w:rsid w:val="00196EF4"/>
    <w:rsid w:val="001A07E9"/>
    <w:rsid w:val="001A0A98"/>
    <w:rsid w:val="001A2854"/>
    <w:rsid w:val="001A3579"/>
    <w:rsid w:val="001A3A33"/>
    <w:rsid w:val="001A5837"/>
    <w:rsid w:val="001A765D"/>
    <w:rsid w:val="001B12A5"/>
    <w:rsid w:val="001B5F4F"/>
    <w:rsid w:val="001B640A"/>
    <w:rsid w:val="001C1245"/>
    <w:rsid w:val="001C1E88"/>
    <w:rsid w:val="001C2D94"/>
    <w:rsid w:val="001C7C9F"/>
    <w:rsid w:val="001D019A"/>
    <w:rsid w:val="001D173E"/>
    <w:rsid w:val="001D190B"/>
    <w:rsid w:val="001D2215"/>
    <w:rsid w:val="001D341D"/>
    <w:rsid w:val="001D363E"/>
    <w:rsid w:val="001D3801"/>
    <w:rsid w:val="001E42C2"/>
    <w:rsid w:val="001E53FB"/>
    <w:rsid w:val="001E5DCD"/>
    <w:rsid w:val="001E72D2"/>
    <w:rsid w:val="001E7AB8"/>
    <w:rsid w:val="001F2212"/>
    <w:rsid w:val="001F6883"/>
    <w:rsid w:val="00210C6E"/>
    <w:rsid w:val="00211432"/>
    <w:rsid w:val="0021719D"/>
    <w:rsid w:val="00223F27"/>
    <w:rsid w:val="0023030D"/>
    <w:rsid w:val="00244F15"/>
    <w:rsid w:val="002452D0"/>
    <w:rsid w:val="00247C05"/>
    <w:rsid w:val="002536F1"/>
    <w:rsid w:val="00256498"/>
    <w:rsid w:val="00257430"/>
    <w:rsid w:val="00257632"/>
    <w:rsid w:val="002639BE"/>
    <w:rsid w:val="00272298"/>
    <w:rsid w:val="00275CB8"/>
    <w:rsid w:val="00276A54"/>
    <w:rsid w:val="00291452"/>
    <w:rsid w:val="002918E1"/>
    <w:rsid w:val="00292340"/>
    <w:rsid w:val="0029420A"/>
    <w:rsid w:val="0029548C"/>
    <w:rsid w:val="002A45D2"/>
    <w:rsid w:val="002A4679"/>
    <w:rsid w:val="002A4BE0"/>
    <w:rsid w:val="002A6F84"/>
    <w:rsid w:val="002B0204"/>
    <w:rsid w:val="002B1BA5"/>
    <w:rsid w:val="002C10C5"/>
    <w:rsid w:val="002C3D97"/>
    <w:rsid w:val="002C5A4C"/>
    <w:rsid w:val="002C61B9"/>
    <w:rsid w:val="002C7884"/>
    <w:rsid w:val="002D1779"/>
    <w:rsid w:val="002D2BA4"/>
    <w:rsid w:val="002D2C7C"/>
    <w:rsid w:val="002D317D"/>
    <w:rsid w:val="002D358A"/>
    <w:rsid w:val="002D3F8E"/>
    <w:rsid w:val="002D555B"/>
    <w:rsid w:val="002E1FB3"/>
    <w:rsid w:val="002F0881"/>
    <w:rsid w:val="002F0BD0"/>
    <w:rsid w:val="002F1C24"/>
    <w:rsid w:val="002F50BF"/>
    <w:rsid w:val="002F5B46"/>
    <w:rsid w:val="002F7DBB"/>
    <w:rsid w:val="00300C6A"/>
    <w:rsid w:val="00303BA0"/>
    <w:rsid w:val="0030461B"/>
    <w:rsid w:val="00310E53"/>
    <w:rsid w:val="0031410F"/>
    <w:rsid w:val="00314AD9"/>
    <w:rsid w:val="00317EA7"/>
    <w:rsid w:val="00327483"/>
    <w:rsid w:val="003310B7"/>
    <w:rsid w:val="0034157E"/>
    <w:rsid w:val="00343293"/>
    <w:rsid w:val="00343327"/>
    <w:rsid w:val="0035148E"/>
    <w:rsid w:val="00362096"/>
    <w:rsid w:val="00362457"/>
    <w:rsid w:val="00363F02"/>
    <w:rsid w:val="0036585F"/>
    <w:rsid w:val="00370325"/>
    <w:rsid w:val="00371648"/>
    <w:rsid w:val="00371AC4"/>
    <w:rsid w:val="00382A94"/>
    <w:rsid w:val="00386691"/>
    <w:rsid w:val="00391C6E"/>
    <w:rsid w:val="00392B92"/>
    <w:rsid w:val="00395255"/>
    <w:rsid w:val="00395757"/>
    <w:rsid w:val="00396AC5"/>
    <w:rsid w:val="003A467C"/>
    <w:rsid w:val="003A79EE"/>
    <w:rsid w:val="003B0D4E"/>
    <w:rsid w:val="003B2FE4"/>
    <w:rsid w:val="003B5B4C"/>
    <w:rsid w:val="003B7EB2"/>
    <w:rsid w:val="003C143B"/>
    <w:rsid w:val="003C340D"/>
    <w:rsid w:val="003D006E"/>
    <w:rsid w:val="003D22A7"/>
    <w:rsid w:val="003D2798"/>
    <w:rsid w:val="003D6C3D"/>
    <w:rsid w:val="003E27AE"/>
    <w:rsid w:val="003E36B5"/>
    <w:rsid w:val="003E3733"/>
    <w:rsid w:val="003F05D4"/>
    <w:rsid w:val="003F48F5"/>
    <w:rsid w:val="003F6D82"/>
    <w:rsid w:val="004110E3"/>
    <w:rsid w:val="00415EC5"/>
    <w:rsid w:val="0042262B"/>
    <w:rsid w:val="00423164"/>
    <w:rsid w:val="004245E2"/>
    <w:rsid w:val="00427A2B"/>
    <w:rsid w:val="00430F4C"/>
    <w:rsid w:val="00434A0C"/>
    <w:rsid w:val="00434FD0"/>
    <w:rsid w:val="00435022"/>
    <w:rsid w:val="00435E34"/>
    <w:rsid w:val="00437B80"/>
    <w:rsid w:val="0044776B"/>
    <w:rsid w:val="00447E35"/>
    <w:rsid w:val="004505DB"/>
    <w:rsid w:val="004537BC"/>
    <w:rsid w:val="00453C84"/>
    <w:rsid w:val="00455C5C"/>
    <w:rsid w:val="00460541"/>
    <w:rsid w:val="00461DE1"/>
    <w:rsid w:val="00464358"/>
    <w:rsid w:val="0047076C"/>
    <w:rsid w:val="0047280F"/>
    <w:rsid w:val="0047647A"/>
    <w:rsid w:val="00481C41"/>
    <w:rsid w:val="00485786"/>
    <w:rsid w:val="00490227"/>
    <w:rsid w:val="00490CB9"/>
    <w:rsid w:val="00494806"/>
    <w:rsid w:val="004A1D5B"/>
    <w:rsid w:val="004A654F"/>
    <w:rsid w:val="004A7A36"/>
    <w:rsid w:val="004B1C8B"/>
    <w:rsid w:val="004B44D5"/>
    <w:rsid w:val="004B7CE2"/>
    <w:rsid w:val="004C166C"/>
    <w:rsid w:val="004C35BB"/>
    <w:rsid w:val="004C4836"/>
    <w:rsid w:val="004D1488"/>
    <w:rsid w:val="004D1753"/>
    <w:rsid w:val="004D4095"/>
    <w:rsid w:val="004E19C8"/>
    <w:rsid w:val="004F0B3C"/>
    <w:rsid w:val="004F1D2F"/>
    <w:rsid w:val="004F278D"/>
    <w:rsid w:val="004F548C"/>
    <w:rsid w:val="004F5A83"/>
    <w:rsid w:val="004F7175"/>
    <w:rsid w:val="00502085"/>
    <w:rsid w:val="00503630"/>
    <w:rsid w:val="00504AFB"/>
    <w:rsid w:val="0050501D"/>
    <w:rsid w:val="00507DA7"/>
    <w:rsid w:val="005105A4"/>
    <w:rsid w:val="005124AA"/>
    <w:rsid w:val="00513C3E"/>
    <w:rsid w:val="0051503D"/>
    <w:rsid w:val="00517397"/>
    <w:rsid w:val="0052112C"/>
    <w:rsid w:val="00526482"/>
    <w:rsid w:val="00526CB6"/>
    <w:rsid w:val="00526D50"/>
    <w:rsid w:val="0053012A"/>
    <w:rsid w:val="005332B0"/>
    <w:rsid w:val="00534CDE"/>
    <w:rsid w:val="00545600"/>
    <w:rsid w:val="00545950"/>
    <w:rsid w:val="00551140"/>
    <w:rsid w:val="00551CAD"/>
    <w:rsid w:val="00554C74"/>
    <w:rsid w:val="0056415C"/>
    <w:rsid w:val="00565E63"/>
    <w:rsid w:val="005700F2"/>
    <w:rsid w:val="00576E3D"/>
    <w:rsid w:val="00580835"/>
    <w:rsid w:val="00582F2E"/>
    <w:rsid w:val="00583149"/>
    <w:rsid w:val="005A2FD3"/>
    <w:rsid w:val="005B1037"/>
    <w:rsid w:val="005B3E0B"/>
    <w:rsid w:val="005B4E83"/>
    <w:rsid w:val="005C0E98"/>
    <w:rsid w:val="005D5AE7"/>
    <w:rsid w:val="005D6C83"/>
    <w:rsid w:val="005D72F6"/>
    <w:rsid w:val="005E3EDD"/>
    <w:rsid w:val="005E557B"/>
    <w:rsid w:val="005F0A6D"/>
    <w:rsid w:val="005F0F32"/>
    <w:rsid w:val="005F2CBB"/>
    <w:rsid w:val="005F362C"/>
    <w:rsid w:val="005F41EE"/>
    <w:rsid w:val="006001D2"/>
    <w:rsid w:val="00601061"/>
    <w:rsid w:val="006012C0"/>
    <w:rsid w:val="0060169C"/>
    <w:rsid w:val="00606B52"/>
    <w:rsid w:val="00614FBA"/>
    <w:rsid w:val="00623A82"/>
    <w:rsid w:val="00625170"/>
    <w:rsid w:val="006319FD"/>
    <w:rsid w:val="0063390D"/>
    <w:rsid w:val="00633F3E"/>
    <w:rsid w:val="00641D41"/>
    <w:rsid w:val="00644299"/>
    <w:rsid w:val="00645EAF"/>
    <w:rsid w:val="00646A66"/>
    <w:rsid w:val="006511A5"/>
    <w:rsid w:val="00652B06"/>
    <w:rsid w:val="00655581"/>
    <w:rsid w:val="00656B93"/>
    <w:rsid w:val="00662968"/>
    <w:rsid w:val="00667317"/>
    <w:rsid w:val="00673887"/>
    <w:rsid w:val="00675FE8"/>
    <w:rsid w:val="0067761B"/>
    <w:rsid w:val="00677912"/>
    <w:rsid w:val="00680B4B"/>
    <w:rsid w:val="00680EE9"/>
    <w:rsid w:val="006810A5"/>
    <w:rsid w:val="006837BE"/>
    <w:rsid w:val="0069332C"/>
    <w:rsid w:val="00693FA8"/>
    <w:rsid w:val="00695F41"/>
    <w:rsid w:val="00696AE4"/>
    <w:rsid w:val="006A0C27"/>
    <w:rsid w:val="006A2556"/>
    <w:rsid w:val="006A4FF4"/>
    <w:rsid w:val="006A62B9"/>
    <w:rsid w:val="006A6C61"/>
    <w:rsid w:val="006B1C17"/>
    <w:rsid w:val="006B6385"/>
    <w:rsid w:val="006C2E4C"/>
    <w:rsid w:val="006C33EC"/>
    <w:rsid w:val="006C37DC"/>
    <w:rsid w:val="006D0D4F"/>
    <w:rsid w:val="006D0F5F"/>
    <w:rsid w:val="006D31FF"/>
    <w:rsid w:val="006E2BD7"/>
    <w:rsid w:val="006E465B"/>
    <w:rsid w:val="006E4690"/>
    <w:rsid w:val="006E7051"/>
    <w:rsid w:val="006F1B51"/>
    <w:rsid w:val="006F6302"/>
    <w:rsid w:val="00702623"/>
    <w:rsid w:val="00704EED"/>
    <w:rsid w:val="007062AC"/>
    <w:rsid w:val="0071164F"/>
    <w:rsid w:val="0071596A"/>
    <w:rsid w:val="00717AD5"/>
    <w:rsid w:val="00721A48"/>
    <w:rsid w:val="00725E90"/>
    <w:rsid w:val="00726C2A"/>
    <w:rsid w:val="007317F7"/>
    <w:rsid w:val="00735651"/>
    <w:rsid w:val="00735CFA"/>
    <w:rsid w:val="007367D4"/>
    <w:rsid w:val="00736973"/>
    <w:rsid w:val="007415BE"/>
    <w:rsid w:val="00750717"/>
    <w:rsid w:val="007525E5"/>
    <w:rsid w:val="00753B50"/>
    <w:rsid w:val="00753B9B"/>
    <w:rsid w:val="00764506"/>
    <w:rsid w:val="00766726"/>
    <w:rsid w:val="00774632"/>
    <w:rsid w:val="0077487F"/>
    <w:rsid w:val="007755D5"/>
    <w:rsid w:val="00776D61"/>
    <w:rsid w:val="00780EBD"/>
    <w:rsid w:val="00780FAD"/>
    <w:rsid w:val="00781091"/>
    <w:rsid w:val="007826EA"/>
    <w:rsid w:val="0078337D"/>
    <w:rsid w:val="0078502D"/>
    <w:rsid w:val="00785294"/>
    <w:rsid w:val="00785C15"/>
    <w:rsid w:val="00791B59"/>
    <w:rsid w:val="007A5F8D"/>
    <w:rsid w:val="007A68ED"/>
    <w:rsid w:val="007B3F88"/>
    <w:rsid w:val="007C3318"/>
    <w:rsid w:val="007C4576"/>
    <w:rsid w:val="007C7B64"/>
    <w:rsid w:val="007D485E"/>
    <w:rsid w:val="007D669A"/>
    <w:rsid w:val="007E0CE1"/>
    <w:rsid w:val="007E0F05"/>
    <w:rsid w:val="007E3F5C"/>
    <w:rsid w:val="007E59BF"/>
    <w:rsid w:val="007E662E"/>
    <w:rsid w:val="007F10D0"/>
    <w:rsid w:val="007F188E"/>
    <w:rsid w:val="007F1B30"/>
    <w:rsid w:val="007F2278"/>
    <w:rsid w:val="007F792A"/>
    <w:rsid w:val="00804317"/>
    <w:rsid w:val="0080496E"/>
    <w:rsid w:val="00806243"/>
    <w:rsid w:val="008109C9"/>
    <w:rsid w:val="00813FBC"/>
    <w:rsid w:val="00815D30"/>
    <w:rsid w:val="008165C2"/>
    <w:rsid w:val="008179E7"/>
    <w:rsid w:val="00817ACB"/>
    <w:rsid w:val="0082025C"/>
    <w:rsid w:val="008215C7"/>
    <w:rsid w:val="008228BE"/>
    <w:rsid w:val="00824AFA"/>
    <w:rsid w:val="00826CDE"/>
    <w:rsid w:val="008301B9"/>
    <w:rsid w:val="00835E48"/>
    <w:rsid w:val="00840C5E"/>
    <w:rsid w:val="00843F77"/>
    <w:rsid w:val="00844731"/>
    <w:rsid w:val="00847A1F"/>
    <w:rsid w:val="00855E95"/>
    <w:rsid w:val="0086221D"/>
    <w:rsid w:val="00865E46"/>
    <w:rsid w:val="00873C78"/>
    <w:rsid w:val="0087733A"/>
    <w:rsid w:val="00880B96"/>
    <w:rsid w:val="008824EC"/>
    <w:rsid w:val="008827D9"/>
    <w:rsid w:val="00883857"/>
    <w:rsid w:val="0088579F"/>
    <w:rsid w:val="00885E50"/>
    <w:rsid w:val="00886B9B"/>
    <w:rsid w:val="0088790D"/>
    <w:rsid w:val="00892C4D"/>
    <w:rsid w:val="00893C3B"/>
    <w:rsid w:val="008A300A"/>
    <w:rsid w:val="008A3E58"/>
    <w:rsid w:val="008A4E2A"/>
    <w:rsid w:val="008B28B7"/>
    <w:rsid w:val="008B2B40"/>
    <w:rsid w:val="008B33FC"/>
    <w:rsid w:val="008B3A0D"/>
    <w:rsid w:val="008B4852"/>
    <w:rsid w:val="008B5320"/>
    <w:rsid w:val="008B5820"/>
    <w:rsid w:val="008B5BC6"/>
    <w:rsid w:val="008B754B"/>
    <w:rsid w:val="008B7BB8"/>
    <w:rsid w:val="008C1275"/>
    <w:rsid w:val="008C3501"/>
    <w:rsid w:val="008C5BCA"/>
    <w:rsid w:val="008D0E08"/>
    <w:rsid w:val="008D4905"/>
    <w:rsid w:val="008D57A8"/>
    <w:rsid w:val="008D5919"/>
    <w:rsid w:val="008D5D5A"/>
    <w:rsid w:val="008D68C7"/>
    <w:rsid w:val="008E0401"/>
    <w:rsid w:val="008E2488"/>
    <w:rsid w:val="008E38D6"/>
    <w:rsid w:val="008E403D"/>
    <w:rsid w:val="008F01CE"/>
    <w:rsid w:val="008F26D9"/>
    <w:rsid w:val="00900B64"/>
    <w:rsid w:val="00901671"/>
    <w:rsid w:val="00901EE6"/>
    <w:rsid w:val="00903608"/>
    <w:rsid w:val="00905654"/>
    <w:rsid w:val="00906BD0"/>
    <w:rsid w:val="00912190"/>
    <w:rsid w:val="00917859"/>
    <w:rsid w:val="009205F7"/>
    <w:rsid w:val="00924F36"/>
    <w:rsid w:val="00925867"/>
    <w:rsid w:val="0093326C"/>
    <w:rsid w:val="00934A5E"/>
    <w:rsid w:val="00942B21"/>
    <w:rsid w:val="00943343"/>
    <w:rsid w:val="00955EC1"/>
    <w:rsid w:val="00957F57"/>
    <w:rsid w:val="00966D45"/>
    <w:rsid w:val="0097078D"/>
    <w:rsid w:val="00981A59"/>
    <w:rsid w:val="009820C9"/>
    <w:rsid w:val="00982FF3"/>
    <w:rsid w:val="009857E9"/>
    <w:rsid w:val="00990131"/>
    <w:rsid w:val="009929DB"/>
    <w:rsid w:val="009944C1"/>
    <w:rsid w:val="009949FF"/>
    <w:rsid w:val="00995374"/>
    <w:rsid w:val="009973F1"/>
    <w:rsid w:val="009A200C"/>
    <w:rsid w:val="009A3414"/>
    <w:rsid w:val="009A4564"/>
    <w:rsid w:val="009A73EC"/>
    <w:rsid w:val="009B3C74"/>
    <w:rsid w:val="009C0695"/>
    <w:rsid w:val="009C15AC"/>
    <w:rsid w:val="009C2E2F"/>
    <w:rsid w:val="009C33B4"/>
    <w:rsid w:val="009C35AB"/>
    <w:rsid w:val="009C6724"/>
    <w:rsid w:val="009D3ECE"/>
    <w:rsid w:val="009D5559"/>
    <w:rsid w:val="009E15D9"/>
    <w:rsid w:val="009E17B3"/>
    <w:rsid w:val="009E4F69"/>
    <w:rsid w:val="009E62F2"/>
    <w:rsid w:val="009F0AE5"/>
    <w:rsid w:val="009F3CC6"/>
    <w:rsid w:val="009F3CEC"/>
    <w:rsid w:val="009F52F0"/>
    <w:rsid w:val="009F5F9B"/>
    <w:rsid w:val="00A02469"/>
    <w:rsid w:val="00A03C34"/>
    <w:rsid w:val="00A06FF8"/>
    <w:rsid w:val="00A109FF"/>
    <w:rsid w:val="00A1446A"/>
    <w:rsid w:val="00A17E45"/>
    <w:rsid w:val="00A23937"/>
    <w:rsid w:val="00A320CA"/>
    <w:rsid w:val="00A35D85"/>
    <w:rsid w:val="00A36307"/>
    <w:rsid w:val="00A41B94"/>
    <w:rsid w:val="00A42F89"/>
    <w:rsid w:val="00A451D7"/>
    <w:rsid w:val="00A4564B"/>
    <w:rsid w:val="00A46E80"/>
    <w:rsid w:val="00A4782D"/>
    <w:rsid w:val="00A51038"/>
    <w:rsid w:val="00A5309D"/>
    <w:rsid w:val="00A53EFB"/>
    <w:rsid w:val="00A54721"/>
    <w:rsid w:val="00A54F55"/>
    <w:rsid w:val="00A5540E"/>
    <w:rsid w:val="00A57011"/>
    <w:rsid w:val="00A57B1E"/>
    <w:rsid w:val="00A644EA"/>
    <w:rsid w:val="00A6577F"/>
    <w:rsid w:val="00A70961"/>
    <w:rsid w:val="00A72CB3"/>
    <w:rsid w:val="00A732B6"/>
    <w:rsid w:val="00A7350A"/>
    <w:rsid w:val="00A7491F"/>
    <w:rsid w:val="00A803C0"/>
    <w:rsid w:val="00A8449F"/>
    <w:rsid w:val="00A85819"/>
    <w:rsid w:val="00A860C1"/>
    <w:rsid w:val="00A91654"/>
    <w:rsid w:val="00A91B0D"/>
    <w:rsid w:val="00A9250C"/>
    <w:rsid w:val="00A9717E"/>
    <w:rsid w:val="00A97714"/>
    <w:rsid w:val="00A97A76"/>
    <w:rsid w:val="00AA22CD"/>
    <w:rsid w:val="00AA4D37"/>
    <w:rsid w:val="00AA5163"/>
    <w:rsid w:val="00AA714A"/>
    <w:rsid w:val="00AB1015"/>
    <w:rsid w:val="00AB129E"/>
    <w:rsid w:val="00AB1796"/>
    <w:rsid w:val="00AB3FEC"/>
    <w:rsid w:val="00AB48F6"/>
    <w:rsid w:val="00AC098F"/>
    <w:rsid w:val="00AC0E3C"/>
    <w:rsid w:val="00AC1518"/>
    <w:rsid w:val="00AC7758"/>
    <w:rsid w:val="00AD0089"/>
    <w:rsid w:val="00AD3BC1"/>
    <w:rsid w:val="00AD6245"/>
    <w:rsid w:val="00AD6D4A"/>
    <w:rsid w:val="00AE0758"/>
    <w:rsid w:val="00AE445B"/>
    <w:rsid w:val="00AE57EA"/>
    <w:rsid w:val="00AE7BD5"/>
    <w:rsid w:val="00AF47FB"/>
    <w:rsid w:val="00AF4B65"/>
    <w:rsid w:val="00B01973"/>
    <w:rsid w:val="00B0307E"/>
    <w:rsid w:val="00B03A4B"/>
    <w:rsid w:val="00B0494B"/>
    <w:rsid w:val="00B06047"/>
    <w:rsid w:val="00B061C6"/>
    <w:rsid w:val="00B10C3E"/>
    <w:rsid w:val="00B114F4"/>
    <w:rsid w:val="00B13613"/>
    <w:rsid w:val="00B1437E"/>
    <w:rsid w:val="00B14F0E"/>
    <w:rsid w:val="00B171FE"/>
    <w:rsid w:val="00B20D72"/>
    <w:rsid w:val="00B22222"/>
    <w:rsid w:val="00B225B0"/>
    <w:rsid w:val="00B26F14"/>
    <w:rsid w:val="00B402F1"/>
    <w:rsid w:val="00B4123E"/>
    <w:rsid w:val="00B41377"/>
    <w:rsid w:val="00B41FF9"/>
    <w:rsid w:val="00B42F74"/>
    <w:rsid w:val="00B43F12"/>
    <w:rsid w:val="00B442D8"/>
    <w:rsid w:val="00B473BD"/>
    <w:rsid w:val="00B5280B"/>
    <w:rsid w:val="00B53B94"/>
    <w:rsid w:val="00B60FD9"/>
    <w:rsid w:val="00B61F54"/>
    <w:rsid w:val="00B738E6"/>
    <w:rsid w:val="00B77FD6"/>
    <w:rsid w:val="00B8038F"/>
    <w:rsid w:val="00B810CB"/>
    <w:rsid w:val="00B816FA"/>
    <w:rsid w:val="00B85E0D"/>
    <w:rsid w:val="00B87BFE"/>
    <w:rsid w:val="00B87D59"/>
    <w:rsid w:val="00B94047"/>
    <w:rsid w:val="00B95288"/>
    <w:rsid w:val="00B95A3E"/>
    <w:rsid w:val="00BA283F"/>
    <w:rsid w:val="00BA49E3"/>
    <w:rsid w:val="00BA60C8"/>
    <w:rsid w:val="00BA68C4"/>
    <w:rsid w:val="00BB0902"/>
    <w:rsid w:val="00BB136C"/>
    <w:rsid w:val="00BB174B"/>
    <w:rsid w:val="00BB2663"/>
    <w:rsid w:val="00BB3A85"/>
    <w:rsid w:val="00BB675B"/>
    <w:rsid w:val="00BB7D09"/>
    <w:rsid w:val="00BC1D9C"/>
    <w:rsid w:val="00BC29D8"/>
    <w:rsid w:val="00BC3323"/>
    <w:rsid w:val="00BC58E1"/>
    <w:rsid w:val="00BC5A10"/>
    <w:rsid w:val="00BC6F86"/>
    <w:rsid w:val="00BC79D8"/>
    <w:rsid w:val="00BD078A"/>
    <w:rsid w:val="00BD2D85"/>
    <w:rsid w:val="00BD3B6E"/>
    <w:rsid w:val="00BE0E9F"/>
    <w:rsid w:val="00BF0AAA"/>
    <w:rsid w:val="00BF1189"/>
    <w:rsid w:val="00BF15B8"/>
    <w:rsid w:val="00BF3CAF"/>
    <w:rsid w:val="00BF4C5D"/>
    <w:rsid w:val="00C02A9C"/>
    <w:rsid w:val="00C1288F"/>
    <w:rsid w:val="00C129B1"/>
    <w:rsid w:val="00C13CE6"/>
    <w:rsid w:val="00C174A4"/>
    <w:rsid w:val="00C17624"/>
    <w:rsid w:val="00C17CF6"/>
    <w:rsid w:val="00C22C8F"/>
    <w:rsid w:val="00C237E6"/>
    <w:rsid w:val="00C24C84"/>
    <w:rsid w:val="00C3410F"/>
    <w:rsid w:val="00C42155"/>
    <w:rsid w:val="00C44050"/>
    <w:rsid w:val="00C4405A"/>
    <w:rsid w:val="00C52C1A"/>
    <w:rsid w:val="00C52E48"/>
    <w:rsid w:val="00C5483B"/>
    <w:rsid w:val="00C56293"/>
    <w:rsid w:val="00C56D67"/>
    <w:rsid w:val="00C574DD"/>
    <w:rsid w:val="00C61E7C"/>
    <w:rsid w:val="00C651A3"/>
    <w:rsid w:val="00C65FEB"/>
    <w:rsid w:val="00C70B75"/>
    <w:rsid w:val="00C765B7"/>
    <w:rsid w:val="00C766FD"/>
    <w:rsid w:val="00C772DD"/>
    <w:rsid w:val="00C82D5E"/>
    <w:rsid w:val="00C848CC"/>
    <w:rsid w:val="00C84EB9"/>
    <w:rsid w:val="00C87C73"/>
    <w:rsid w:val="00C9056D"/>
    <w:rsid w:val="00C911BF"/>
    <w:rsid w:val="00C955E9"/>
    <w:rsid w:val="00C963B9"/>
    <w:rsid w:val="00CB1F65"/>
    <w:rsid w:val="00CB543C"/>
    <w:rsid w:val="00CB56E0"/>
    <w:rsid w:val="00CC08EC"/>
    <w:rsid w:val="00CC1A5E"/>
    <w:rsid w:val="00CC23B0"/>
    <w:rsid w:val="00CC2D5E"/>
    <w:rsid w:val="00CC62E0"/>
    <w:rsid w:val="00CD0B46"/>
    <w:rsid w:val="00CD3710"/>
    <w:rsid w:val="00CD57E3"/>
    <w:rsid w:val="00CD7139"/>
    <w:rsid w:val="00CD7689"/>
    <w:rsid w:val="00CE0656"/>
    <w:rsid w:val="00CE34F4"/>
    <w:rsid w:val="00CE42BC"/>
    <w:rsid w:val="00CF0A62"/>
    <w:rsid w:val="00CF0F3B"/>
    <w:rsid w:val="00CF1974"/>
    <w:rsid w:val="00CF4186"/>
    <w:rsid w:val="00CF490B"/>
    <w:rsid w:val="00CF63F8"/>
    <w:rsid w:val="00CF7D37"/>
    <w:rsid w:val="00D0270D"/>
    <w:rsid w:val="00D031D8"/>
    <w:rsid w:val="00D04602"/>
    <w:rsid w:val="00D07683"/>
    <w:rsid w:val="00D15B83"/>
    <w:rsid w:val="00D161D0"/>
    <w:rsid w:val="00D16D75"/>
    <w:rsid w:val="00D215B6"/>
    <w:rsid w:val="00D21AE3"/>
    <w:rsid w:val="00D225E0"/>
    <w:rsid w:val="00D43A9C"/>
    <w:rsid w:val="00D44B7F"/>
    <w:rsid w:val="00D474FB"/>
    <w:rsid w:val="00D5096A"/>
    <w:rsid w:val="00D50EC3"/>
    <w:rsid w:val="00D52124"/>
    <w:rsid w:val="00D608CF"/>
    <w:rsid w:val="00D64E26"/>
    <w:rsid w:val="00D65A0C"/>
    <w:rsid w:val="00D67743"/>
    <w:rsid w:val="00D7039B"/>
    <w:rsid w:val="00D774C9"/>
    <w:rsid w:val="00D7791A"/>
    <w:rsid w:val="00D87627"/>
    <w:rsid w:val="00D932B3"/>
    <w:rsid w:val="00D95B7F"/>
    <w:rsid w:val="00D971EB"/>
    <w:rsid w:val="00DA6A43"/>
    <w:rsid w:val="00DB28B4"/>
    <w:rsid w:val="00DB3B24"/>
    <w:rsid w:val="00DB7814"/>
    <w:rsid w:val="00DB79AF"/>
    <w:rsid w:val="00DC025A"/>
    <w:rsid w:val="00DC0C7B"/>
    <w:rsid w:val="00DC72F8"/>
    <w:rsid w:val="00DD5FF8"/>
    <w:rsid w:val="00DD68EE"/>
    <w:rsid w:val="00DE3D59"/>
    <w:rsid w:val="00DE4D3D"/>
    <w:rsid w:val="00DF0608"/>
    <w:rsid w:val="00E0001F"/>
    <w:rsid w:val="00E02767"/>
    <w:rsid w:val="00E05751"/>
    <w:rsid w:val="00E1053B"/>
    <w:rsid w:val="00E15923"/>
    <w:rsid w:val="00E15FA3"/>
    <w:rsid w:val="00E2761E"/>
    <w:rsid w:val="00E316F1"/>
    <w:rsid w:val="00E31EED"/>
    <w:rsid w:val="00E33234"/>
    <w:rsid w:val="00E36445"/>
    <w:rsid w:val="00E364F1"/>
    <w:rsid w:val="00E36678"/>
    <w:rsid w:val="00E41DD3"/>
    <w:rsid w:val="00E44DAF"/>
    <w:rsid w:val="00E45650"/>
    <w:rsid w:val="00E46105"/>
    <w:rsid w:val="00E5090E"/>
    <w:rsid w:val="00E51D4F"/>
    <w:rsid w:val="00E544FA"/>
    <w:rsid w:val="00E5635A"/>
    <w:rsid w:val="00E64639"/>
    <w:rsid w:val="00E65670"/>
    <w:rsid w:val="00E66263"/>
    <w:rsid w:val="00E67454"/>
    <w:rsid w:val="00E707DA"/>
    <w:rsid w:val="00E71FC4"/>
    <w:rsid w:val="00E7312E"/>
    <w:rsid w:val="00E75709"/>
    <w:rsid w:val="00E8454B"/>
    <w:rsid w:val="00E85EA2"/>
    <w:rsid w:val="00E86332"/>
    <w:rsid w:val="00E865F1"/>
    <w:rsid w:val="00E90D9A"/>
    <w:rsid w:val="00E90DAD"/>
    <w:rsid w:val="00E958AA"/>
    <w:rsid w:val="00EA316D"/>
    <w:rsid w:val="00EA35D4"/>
    <w:rsid w:val="00EA7177"/>
    <w:rsid w:val="00EB050C"/>
    <w:rsid w:val="00EB13D6"/>
    <w:rsid w:val="00EB3C29"/>
    <w:rsid w:val="00EB3FE8"/>
    <w:rsid w:val="00EB7545"/>
    <w:rsid w:val="00EC1AE7"/>
    <w:rsid w:val="00EC663A"/>
    <w:rsid w:val="00ED13C3"/>
    <w:rsid w:val="00ED3519"/>
    <w:rsid w:val="00ED49D5"/>
    <w:rsid w:val="00ED5593"/>
    <w:rsid w:val="00ED72E0"/>
    <w:rsid w:val="00EE2843"/>
    <w:rsid w:val="00EE28AF"/>
    <w:rsid w:val="00EE3E5A"/>
    <w:rsid w:val="00EE42A0"/>
    <w:rsid w:val="00EE4C9D"/>
    <w:rsid w:val="00EE4E53"/>
    <w:rsid w:val="00EE4ECD"/>
    <w:rsid w:val="00EE5C0B"/>
    <w:rsid w:val="00EE6835"/>
    <w:rsid w:val="00EE774F"/>
    <w:rsid w:val="00EE7C6B"/>
    <w:rsid w:val="00EF1053"/>
    <w:rsid w:val="00EF15A5"/>
    <w:rsid w:val="00EF2FC2"/>
    <w:rsid w:val="00EF3D06"/>
    <w:rsid w:val="00EF484F"/>
    <w:rsid w:val="00F00DC5"/>
    <w:rsid w:val="00F03FB1"/>
    <w:rsid w:val="00F0607C"/>
    <w:rsid w:val="00F13091"/>
    <w:rsid w:val="00F17180"/>
    <w:rsid w:val="00F208E5"/>
    <w:rsid w:val="00F20E44"/>
    <w:rsid w:val="00F20F7B"/>
    <w:rsid w:val="00F21644"/>
    <w:rsid w:val="00F22234"/>
    <w:rsid w:val="00F26AF2"/>
    <w:rsid w:val="00F316C2"/>
    <w:rsid w:val="00F32229"/>
    <w:rsid w:val="00F35072"/>
    <w:rsid w:val="00F379AA"/>
    <w:rsid w:val="00F40DED"/>
    <w:rsid w:val="00F41F4A"/>
    <w:rsid w:val="00F42D72"/>
    <w:rsid w:val="00F42ECD"/>
    <w:rsid w:val="00F4350D"/>
    <w:rsid w:val="00F436AA"/>
    <w:rsid w:val="00F43D4C"/>
    <w:rsid w:val="00F465FD"/>
    <w:rsid w:val="00F46BAD"/>
    <w:rsid w:val="00F5023B"/>
    <w:rsid w:val="00F550B9"/>
    <w:rsid w:val="00F5535A"/>
    <w:rsid w:val="00F60244"/>
    <w:rsid w:val="00F61DD0"/>
    <w:rsid w:val="00F667F1"/>
    <w:rsid w:val="00F70153"/>
    <w:rsid w:val="00F7602F"/>
    <w:rsid w:val="00F76FB4"/>
    <w:rsid w:val="00F817BE"/>
    <w:rsid w:val="00F827CA"/>
    <w:rsid w:val="00F83ECD"/>
    <w:rsid w:val="00F843CE"/>
    <w:rsid w:val="00F96862"/>
    <w:rsid w:val="00FA3B92"/>
    <w:rsid w:val="00FA5536"/>
    <w:rsid w:val="00FB00BB"/>
    <w:rsid w:val="00FB2846"/>
    <w:rsid w:val="00FB2F84"/>
    <w:rsid w:val="00FB4726"/>
    <w:rsid w:val="00FB4C51"/>
    <w:rsid w:val="00FB680E"/>
    <w:rsid w:val="00FB692B"/>
    <w:rsid w:val="00FC5E68"/>
    <w:rsid w:val="00FD62A8"/>
    <w:rsid w:val="00FD7041"/>
    <w:rsid w:val="00FD7389"/>
    <w:rsid w:val="00FD7F18"/>
    <w:rsid w:val="00FE15F6"/>
    <w:rsid w:val="00FE2BE9"/>
    <w:rsid w:val="00FE6789"/>
    <w:rsid w:val="00FF2D66"/>
    <w:rsid w:val="00FF3D5C"/>
    <w:rsid w:val="00FF489D"/>
    <w:rsid w:val="00FF5A4F"/>
    <w:rsid w:val="00FF6C6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1571C3"/>
  <w15:docId w15:val="{CA93AB80-A5D9-45DC-AFA3-D5874CC9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NZ" w:eastAsia="en-NZ"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4" w:semiHidden="1" w:unhideWhenUsed="1"/>
    <w:lsdException w:name="heading 5" w:semiHidden="1" w:unhideWhenUsed="1"/>
    <w:lsdException w:name="heading 6" w:semiHidden="1"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9D8"/>
  </w:style>
  <w:style w:type="paragraph" w:styleId="Heading1">
    <w:name w:val="heading 1"/>
    <w:basedOn w:val="NoSpacing"/>
    <w:next w:val="Normal"/>
    <w:link w:val="Heading1Char"/>
    <w:qFormat/>
    <w:rsid w:val="001234DC"/>
    <w:pPr>
      <w:keepNext/>
      <w:outlineLvl w:val="0"/>
    </w:pPr>
    <w:rPr>
      <w:b/>
      <w:sz w:val="24"/>
      <w:szCs w:val="24"/>
    </w:rPr>
  </w:style>
  <w:style w:type="paragraph" w:styleId="Heading2">
    <w:name w:val="heading 2"/>
    <w:basedOn w:val="Normal"/>
    <w:next w:val="Normal"/>
    <w:link w:val="Heading2Char"/>
    <w:uiPriority w:val="9"/>
    <w:unhideWhenUsed/>
    <w:qFormat/>
    <w:rsid w:val="00781091"/>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rsid w:val="00D50EC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0EC3"/>
    <w:pPr>
      <w:tabs>
        <w:tab w:val="center" w:pos="4153"/>
        <w:tab w:val="right" w:pos="8306"/>
      </w:tabs>
    </w:pPr>
  </w:style>
  <w:style w:type="paragraph" w:styleId="Footer">
    <w:name w:val="footer"/>
    <w:basedOn w:val="Normal"/>
    <w:link w:val="FooterChar"/>
    <w:uiPriority w:val="99"/>
    <w:rsid w:val="00D50EC3"/>
    <w:pPr>
      <w:tabs>
        <w:tab w:val="center" w:pos="4153"/>
        <w:tab w:val="right" w:pos="8306"/>
      </w:tabs>
    </w:pPr>
  </w:style>
  <w:style w:type="table" w:styleId="TableGrid">
    <w:name w:val="Table Grid"/>
    <w:basedOn w:val="TableNormal"/>
    <w:uiPriority w:val="39"/>
    <w:rsid w:val="00D5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D50EC3"/>
    <w:pPr>
      <w:spacing w:before="80" w:after="80"/>
    </w:pPr>
    <w:rPr>
      <w:sz w:val="20"/>
    </w:rPr>
  </w:style>
  <w:style w:type="paragraph" w:customStyle="1" w:styleId="a">
    <w:basedOn w:val="Normal"/>
    <w:rsid w:val="00133743"/>
    <w:pPr>
      <w:spacing w:after="160" w:line="240" w:lineRule="exact"/>
    </w:pPr>
    <w:rPr>
      <w:sz w:val="20"/>
      <w:lang w:val="en-US" w:eastAsia="en-US"/>
    </w:rPr>
  </w:style>
  <w:style w:type="paragraph" w:styleId="FootnoteText">
    <w:name w:val="footnote text"/>
    <w:basedOn w:val="Normal"/>
    <w:link w:val="FootnoteTextChar"/>
    <w:uiPriority w:val="99"/>
    <w:semiHidden/>
    <w:rsid w:val="00434FD0"/>
    <w:rPr>
      <w:sz w:val="20"/>
    </w:rPr>
  </w:style>
  <w:style w:type="character" w:styleId="FootnoteReference">
    <w:name w:val="footnote reference"/>
    <w:uiPriority w:val="99"/>
    <w:semiHidden/>
    <w:rsid w:val="00434FD0"/>
    <w:rPr>
      <w:vertAlign w:val="superscript"/>
    </w:rPr>
  </w:style>
  <w:style w:type="paragraph" w:styleId="BalloonText">
    <w:name w:val="Balloon Text"/>
    <w:basedOn w:val="Normal"/>
    <w:semiHidden/>
    <w:rsid w:val="008179E7"/>
    <w:rPr>
      <w:rFonts w:ascii="Tahoma" w:hAnsi="Tahoma" w:cs="Tahoma"/>
      <w:sz w:val="16"/>
      <w:szCs w:val="16"/>
    </w:rPr>
  </w:style>
  <w:style w:type="character" w:styleId="PageNumber">
    <w:name w:val="page number"/>
    <w:basedOn w:val="DefaultParagraphFont"/>
    <w:rsid w:val="00AD6245"/>
  </w:style>
  <w:style w:type="character" w:styleId="Hyperlink">
    <w:name w:val="Hyperlink"/>
    <w:rsid w:val="00E0001F"/>
    <w:rPr>
      <w:color w:val="0000FF"/>
      <w:u w:val="single"/>
    </w:rPr>
  </w:style>
  <w:style w:type="character" w:customStyle="1" w:styleId="HeaderChar">
    <w:name w:val="Header Char"/>
    <w:link w:val="Header"/>
    <w:uiPriority w:val="99"/>
    <w:rsid w:val="00E75709"/>
    <w:rPr>
      <w:rFonts w:ascii="Arial" w:hAnsi="Arial"/>
      <w:sz w:val="22"/>
      <w:lang w:eastAsia="en-GB"/>
    </w:rPr>
  </w:style>
  <w:style w:type="paragraph" w:styleId="NoSpacing">
    <w:name w:val="No Spacing"/>
    <w:uiPriority w:val="1"/>
    <w:qFormat/>
    <w:rsid w:val="006E4690"/>
    <w:pPr>
      <w:spacing w:after="0" w:line="240" w:lineRule="auto"/>
    </w:pPr>
  </w:style>
  <w:style w:type="character" w:customStyle="1" w:styleId="FooterChar">
    <w:name w:val="Footer Char"/>
    <w:basedOn w:val="DefaultParagraphFont"/>
    <w:link w:val="Footer"/>
    <w:uiPriority w:val="99"/>
    <w:rsid w:val="000D1F7C"/>
    <w:rPr>
      <w:rFonts w:ascii="Arial" w:hAnsi="Arial"/>
      <w:sz w:val="22"/>
      <w:lang w:eastAsia="en-GB"/>
    </w:rPr>
  </w:style>
  <w:style w:type="character" w:customStyle="1" w:styleId="Heading1Char">
    <w:name w:val="Heading 1 Char"/>
    <w:basedOn w:val="DefaultParagraphFont"/>
    <w:link w:val="Heading1"/>
    <w:rsid w:val="001234DC"/>
    <w:rPr>
      <w:b/>
      <w:sz w:val="24"/>
      <w:szCs w:val="24"/>
      <w:lang w:eastAsia="en-GB"/>
    </w:rPr>
  </w:style>
  <w:style w:type="character" w:customStyle="1" w:styleId="Heading3Char">
    <w:name w:val="Heading 3 Char"/>
    <w:basedOn w:val="DefaultParagraphFont"/>
    <w:link w:val="Heading3"/>
    <w:rsid w:val="00BB7D09"/>
    <w:rPr>
      <w:rFonts w:ascii="Arial" w:hAnsi="Arial" w:cs="Arial"/>
      <w:b/>
      <w:bCs/>
      <w:sz w:val="26"/>
      <w:szCs w:val="26"/>
      <w:lang w:eastAsia="en-GB"/>
    </w:rPr>
  </w:style>
  <w:style w:type="paragraph" w:styleId="ListParagraph">
    <w:name w:val="List Paragraph"/>
    <w:basedOn w:val="Normal"/>
    <w:link w:val="ListParagraphChar"/>
    <w:uiPriority w:val="34"/>
    <w:qFormat/>
    <w:rsid w:val="00F26AF2"/>
    <w:pPr>
      <w:ind w:left="720"/>
      <w:contextualSpacing/>
    </w:pPr>
  </w:style>
  <w:style w:type="character" w:customStyle="1" w:styleId="Heading2Char">
    <w:name w:val="Heading 2 Char"/>
    <w:basedOn w:val="DefaultParagraphFont"/>
    <w:link w:val="Heading2"/>
    <w:uiPriority w:val="9"/>
    <w:rsid w:val="00781091"/>
    <w:rPr>
      <w:rFonts w:asciiTheme="majorHAnsi" w:eastAsiaTheme="majorEastAsia" w:hAnsiTheme="majorHAnsi" w:cstheme="majorBidi"/>
      <w:b/>
      <w:bCs/>
      <w:color w:val="4F81BD" w:themeColor="accent1"/>
      <w:sz w:val="26"/>
      <w:szCs w:val="26"/>
      <w:lang w:eastAsia="en-US"/>
    </w:rPr>
  </w:style>
  <w:style w:type="character" w:customStyle="1" w:styleId="FootnoteTextChar">
    <w:name w:val="Footnote Text Char"/>
    <w:basedOn w:val="DefaultParagraphFont"/>
    <w:link w:val="FootnoteText"/>
    <w:uiPriority w:val="99"/>
    <w:semiHidden/>
    <w:rsid w:val="00C3410F"/>
    <w:rPr>
      <w:sz w:val="20"/>
    </w:rPr>
  </w:style>
  <w:style w:type="paragraph" w:customStyle="1" w:styleId="Bullet2">
    <w:name w:val="Bullet 2"/>
    <w:basedOn w:val="Normal"/>
    <w:rsid w:val="00780EBD"/>
    <w:pPr>
      <w:numPr>
        <w:numId w:val="1"/>
      </w:numPr>
      <w:spacing w:after="120" w:line="280" w:lineRule="atLeast"/>
    </w:pPr>
    <w:rPr>
      <w:sz w:val="20"/>
      <w:szCs w:val="24"/>
      <w:lang w:eastAsia="en-GB"/>
    </w:rPr>
  </w:style>
  <w:style w:type="paragraph" w:styleId="BodyText">
    <w:name w:val="Body Text"/>
    <w:basedOn w:val="Normal"/>
    <w:link w:val="BodyTextChar"/>
    <w:unhideWhenUsed/>
    <w:rsid w:val="00025F4C"/>
    <w:pPr>
      <w:spacing w:after="320" w:line="280" w:lineRule="atLeast"/>
    </w:pPr>
    <w:rPr>
      <w:szCs w:val="24"/>
      <w:lang w:eastAsia="en-GB"/>
    </w:rPr>
  </w:style>
  <w:style w:type="character" w:customStyle="1" w:styleId="BodyTextChar">
    <w:name w:val="Body Text Char"/>
    <w:basedOn w:val="DefaultParagraphFont"/>
    <w:link w:val="BodyText"/>
    <w:rsid w:val="00025F4C"/>
    <w:rPr>
      <w:szCs w:val="24"/>
      <w:lang w:eastAsia="en-GB"/>
    </w:rPr>
  </w:style>
  <w:style w:type="paragraph" w:customStyle="1" w:styleId="Default">
    <w:name w:val="Default"/>
    <w:rsid w:val="00BF3CAF"/>
    <w:pPr>
      <w:autoSpaceDE w:val="0"/>
      <w:autoSpaceDN w:val="0"/>
      <w:adjustRightInd w:val="0"/>
    </w:pPr>
    <w:rPr>
      <w:rFonts w:ascii="Garamond" w:hAnsi="Garamond" w:cs="Garamond"/>
      <w:sz w:val="24"/>
      <w:szCs w:val="24"/>
    </w:rPr>
  </w:style>
  <w:style w:type="character" w:styleId="CommentReference">
    <w:name w:val="annotation reference"/>
    <w:basedOn w:val="DefaultParagraphFont"/>
    <w:rsid w:val="002A6F84"/>
    <w:rPr>
      <w:sz w:val="16"/>
      <w:szCs w:val="16"/>
    </w:rPr>
  </w:style>
  <w:style w:type="paragraph" w:styleId="CommentText">
    <w:name w:val="annotation text"/>
    <w:basedOn w:val="Normal"/>
    <w:link w:val="CommentTextChar"/>
    <w:rsid w:val="002A6F84"/>
    <w:rPr>
      <w:sz w:val="20"/>
      <w:szCs w:val="20"/>
    </w:rPr>
  </w:style>
  <w:style w:type="character" w:customStyle="1" w:styleId="CommentTextChar">
    <w:name w:val="Comment Text Char"/>
    <w:basedOn w:val="DefaultParagraphFont"/>
    <w:link w:val="CommentText"/>
    <w:rsid w:val="002A6F84"/>
    <w:rPr>
      <w:sz w:val="20"/>
      <w:szCs w:val="20"/>
    </w:rPr>
  </w:style>
  <w:style w:type="paragraph" w:styleId="CommentSubject">
    <w:name w:val="annotation subject"/>
    <w:basedOn w:val="CommentText"/>
    <w:next w:val="CommentText"/>
    <w:link w:val="CommentSubjectChar"/>
    <w:rsid w:val="002A6F84"/>
    <w:rPr>
      <w:b/>
      <w:bCs/>
    </w:rPr>
  </w:style>
  <w:style w:type="character" w:customStyle="1" w:styleId="CommentSubjectChar">
    <w:name w:val="Comment Subject Char"/>
    <w:basedOn w:val="CommentTextChar"/>
    <w:link w:val="CommentSubject"/>
    <w:rsid w:val="002A6F84"/>
    <w:rPr>
      <w:b/>
      <w:bCs/>
      <w:sz w:val="20"/>
      <w:szCs w:val="20"/>
    </w:rPr>
  </w:style>
  <w:style w:type="table" w:styleId="Table3Deffects3">
    <w:name w:val="Table 3D effects 3"/>
    <w:basedOn w:val="TableNormal"/>
    <w:rsid w:val="0025649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2564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5649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8">
    <w:name w:val="Table Grid 8"/>
    <w:basedOn w:val="TableNormal"/>
    <w:rsid w:val="00534CD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
    <w:name w:val="Light Shading - Accent 11"/>
    <w:basedOn w:val="TableNormal"/>
    <w:next w:val="LightShading-Accent1"/>
    <w:uiPriority w:val="60"/>
    <w:rsid w:val="008E248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AE445B"/>
    <w:rPr>
      <w:b/>
      <w:bCs/>
    </w:rPr>
  </w:style>
  <w:style w:type="paragraph" w:styleId="Revision">
    <w:name w:val="Revision"/>
    <w:hidden/>
    <w:uiPriority w:val="99"/>
    <w:semiHidden/>
    <w:rsid w:val="00BC79D8"/>
  </w:style>
  <w:style w:type="numbering" w:customStyle="1" w:styleId="Bullet">
    <w:name w:val="Bullet"/>
    <w:rsid w:val="00494806"/>
    <w:pPr>
      <w:numPr>
        <w:numId w:val="2"/>
      </w:numPr>
    </w:pPr>
  </w:style>
  <w:style w:type="paragraph" w:customStyle="1" w:styleId="Footnote">
    <w:name w:val="Footnote"/>
    <w:rsid w:val="00494806"/>
    <w:pPr>
      <w:pBdr>
        <w:top w:val="nil"/>
        <w:left w:val="nil"/>
        <w:bottom w:val="nil"/>
        <w:right w:val="nil"/>
        <w:between w:val="nil"/>
        <w:bar w:val="nil"/>
      </w:pBdr>
    </w:pPr>
    <w:rPr>
      <w:rFonts w:ascii="Helvetica" w:eastAsia="Helvetica" w:hAnsi="Helvetica" w:cs="Helvetica"/>
      <w:bdr w:val="nil"/>
      <w:lang w:val="en-US" w:eastAsia="en-US"/>
    </w:rPr>
  </w:style>
  <w:style w:type="character" w:customStyle="1" w:styleId="Hyperlink0">
    <w:name w:val="Hyperlink.0"/>
    <w:basedOn w:val="Hyperlink"/>
    <w:rsid w:val="00494806"/>
    <w:rPr>
      <w:color w:val="0000FF"/>
      <w:u w:val="single"/>
    </w:rPr>
  </w:style>
  <w:style w:type="paragraph" w:customStyle="1" w:styleId="H1evidencesummary">
    <w:name w:val="H1 evidence summary"/>
    <w:basedOn w:val="Normal"/>
    <w:link w:val="H1evidencesummaryChar"/>
    <w:qFormat/>
    <w:rsid w:val="00F26AF2"/>
    <w:pPr>
      <w:spacing w:before="360"/>
    </w:pPr>
    <w:rPr>
      <w:rFonts w:ascii="Arial" w:eastAsia="Cambria" w:hAnsi="Arial" w:cs="Arial"/>
      <w:b/>
      <w:color w:val="00467F"/>
      <w:sz w:val="28"/>
      <w:szCs w:val="28"/>
      <w:lang w:val="en-AU"/>
    </w:rPr>
  </w:style>
  <w:style w:type="character" w:customStyle="1" w:styleId="H1evidencesummaryChar">
    <w:name w:val="H1 evidence summary Char"/>
    <w:basedOn w:val="DefaultParagraphFont"/>
    <w:link w:val="H1evidencesummary"/>
    <w:rsid w:val="00F26AF2"/>
    <w:rPr>
      <w:rFonts w:ascii="Arial" w:eastAsia="Cambria" w:hAnsi="Arial" w:cs="Arial"/>
      <w:b/>
      <w:color w:val="00467F"/>
      <w:sz w:val="28"/>
      <w:szCs w:val="28"/>
      <w:lang w:val="en-AU"/>
    </w:rPr>
  </w:style>
  <w:style w:type="paragraph" w:customStyle="1" w:styleId="H2evidencesummary">
    <w:name w:val="H2 evidence summary"/>
    <w:basedOn w:val="Heading3"/>
    <w:link w:val="H2evidencesummaryChar"/>
    <w:qFormat/>
    <w:rsid w:val="00F26AF2"/>
    <w:pPr>
      <w:keepLines/>
      <w:spacing w:before="360" w:after="240"/>
    </w:pPr>
    <w:rPr>
      <w:rFonts w:ascii="Arial" w:eastAsia="Cambria" w:hAnsi="Arial"/>
      <w:bCs w:val="0"/>
      <w:color w:val="auto"/>
      <w:sz w:val="24"/>
      <w:szCs w:val="22"/>
      <w:lang w:val="en-AU"/>
    </w:rPr>
  </w:style>
  <w:style w:type="character" w:customStyle="1" w:styleId="H2evidencesummaryChar">
    <w:name w:val="H2 evidence summary Char"/>
    <w:basedOn w:val="Heading3Char"/>
    <w:link w:val="H2evidencesummary"/>
    <w:rsid w:val="00F26AF2"/>
    <w:rPr>
      <w:rFonts w:ascii="Arial" w:eastAsia="Cambria" w:hAnsi="Arial" w:cs="Arial"/>
      <w:b/>
      <w:bCs w:val="0"/>
      <w:color w:val="auto"/>
      <w:sz w:val="24"/>
      <w:szCs w:val="26"/>
      <w:lang w:val="en-AU" w:eastAsia="en-GB"/>
    </w:rPr>
  </w:style>
  <w:style w:type="paragraph" w:customStyle="1" w:styleId="Bodyevidencesummary">
    <w:name w:val="Body evidence summary"/>
    <w:basedOn w:val="Normal"/>
    <w:link w:val="BodyevidencesummaryChar"/>
    <w:qFormat/>
    <w:rsid w:val="00F26AF2"/>
    <w:rPr>
      <w:rFonts w:ascii="Arial" w:hAnsi="Arial" w:cs="Arial"/>
      <w:lang w:val="en-AU"/>
    </w:rPr>
  </w:style>
  <w:style w:type="character" w:customStyle="1" w:styleId="BodyevidencesummaryChar">
    <w:name w:val="Body evidence summary Char"/>
    <w:basedOn w:val="DefaultParagraphFont"/>
    <w:link w:val="Bodyevidencesummary"/>
    <w:rsid w:val="00F26AF2"/>
    <w:rPr>
      <w:rFonts w:ascii="Arial" w:hAnsi="Arial" w:cs="Arial"/>
      <w:lang w:val="en-AU"/>
    </w:rPr>
  </w:style>
  <w:style w:type="paragraph" w:customStyle="1" w:styleId="Bulletsevidencesummary">
    <w:name w:val="Bullets evidence summary"/>
    <w:basedOn w:val="Normal"/>
    <w:link w:val="BulletsevidencesummaryChar"/>
    <w:qFormat/>
    <w:rsid w:val="00F26AF2"/>
    <w:pPr>
      <w:numPr>
        <w:numId w:val="3"/>
      </w:numPr>
      <w:spacing w:after="120"/>
      <w:contextualSpacing/>
    </w:pPr>
    <w:rPr>
      <w:rFonts w:ascii="Arial" w:hAnsi="Arial" w:cs="Arial"/>
      <w:lang w:val="en-AU"/>
    </w:rPr>
  </w:style>
  <w:style w:type="character" w:customStyle="1" w:styleId="BulletsevidencesummaryChar">
    <w:name w:val="Bullets evidence summary Char"/>
    <w:basedOn w:val="DefaultParagraphFont"/>
    <w:link w:val="Bulletsevidencesummary"/>
    <w:rsid w:val="00F26AF2"/>
    <w:rPr>
      <w:rFonts w:ascii="Arial" w:hAnsi="Arial" w:cs="Arial"/>
      <w:lang w:val="en-AU"/>
    </w:rPr>
  </w:style>
  <w:style w:type="paragraph" w:customStyle="1" w:styleId="H3evidencesummary">
    <w:name w:val="H3 evidence summary"/>
    <w:basedOn w:val="H2evidencesummary"/>
    <w:link w:val="H3evidencesummaryChar"/>
    <w:qFormat/>
    <w:rsid w:val="00F26AF2"/>
    <w:rPr>
      <w:i/>
    </w:rPr>
  </w:style>
  <w:style w:type="character" w:customStyle="1" w:styleId="H3evidencesummaryChar">
    <w:name w:val="H3 evidence summary Char"/>
    <w:basedOn w:val="H2evidencesummaryChar"/>
    <w:link w:val="H3evidencesummary"/>
    <w:rsid w:val="00F26AF2"/>
    <w:rPr>
      <w:rFonts w:ascii="Arial" w:eastAsia="Cambria" w:hAnsi="Arial" w:cs="Arial"/>
      <w:b/>
      <w:bCs w:val="0"/>
      <w:i/>
      <w:color w:val="auto"/>
      <w:sz w:val="24"/>
      <w:szCs w:val="26"/>
      <w:lang w:val="en-AU" w:eastAsia="en-GB"/>
    </w:rPr>
  </w:style>
  <w:style w:type="paragraph" w:customStyle="1" w:styleId="H4evidnecesummary">
    <w:name w:val="H4 evidnece summary"/>
    <w:basedOn w:val="Normal"/>
    <w:link w:val="H4evidnecesummaryChar"/>
    <w:qFormat/>
    <w:rsid w:val="00F26AF2"/>
    <w:rPr>
      <w:rFonts w:ascii="Arial" w:hAnsi="Arial" w:cs="Arial"/>
      <w:i/>
      <w:color w:val="00467F"/>
      <w:lang w:val="en-AU"/>
    </w:rPr>
  </w:style>
  <w:style w:type="character" w:customStyle="1" w:styleId="H4evidnecesummaryChar">
    <w:name w:val="H4 evidnece summary Char"/>
    <w:basedOn w:val="DefaultParagraphFont"/>
    <w:link w:val="H4evidnecesummary"/>
    <w:rsid w:val="00F26AF2"/>
    <w:rPr>
      <w:rFonts w:ascii="Arial" w:hAnsi="Arial" w:cs="Arial"/>
      <w:i/>
      <w:color w:val="00467F"/>
      <w:lang w:val="en-AU"/>
    </w:rPr>
  </w:style>
  <w:style w:type="paragraph" w:customStyle="1" w:styleId="Bulletslastevidencesummary">
    <w:name w:val="Bullets last evidence summary"/>
    <w:basedOn w:val="Bulletsevidencesummary"/>
    <w:link w:val="BulletslastevidencesummaryChar"/>
    <w:qFormat/>
    <w:rsid w:val="00F26AF2"/>
    <w:pPr>
      <w:numPr>
        <w:numId w:val="0"/>
      </w:numPr>
      <w:spacing w:after="240"/>
      <w:ind w:left="714" w:hanging="357"/>
    </w:pPr>
  </w:style>
  <w:style w:type="character" w:customStyle="1" w:styleId="BulletslastevidencesummaryChar">
    <w:name w:val="Bullets last evidence summary Char"/>
    <w:basedOn w:val="BulletsevidencesummaryChar"/>
    <w:link w:val="Bulletslastevidencesummary"/>
    <w:rsid w:val="00F26AF2"/>
    <w:rPr>
      <w:rFonts w:ascii="Arial" w:hAnsi="Arial" w:cs="Arial"/>
      <w:lang w:val="en-AU"/>
    </w:rPr>
  </w:style>
  <w:style w:type="paragraph" w:customStyle="1" w:styleId="Body">
    <w:name w:val="Body"/>
    <w:basedOn w:val="Normal"/>
    <w:link w:val="BodyChar"/>
    <w:uiPriority w:val="99"/>
    <w:qFormat/>
    <w:rsid w:val="00F26AF2"/>
    <w:pPr>
      <w:autoSpaceDE w:val="0"/>
      <w:autoSpaceDN w:val="0"/>
      <w:adjustRightInd w:val="0"/>
      <w:spacing w:after="120"/>
    </w:pPr>
    <w:rPr>
      <w:rFonts w:ascii="Arial" w:eastAsia="Avenir-Book" w:hAnsi="Arial" w:cs="Arial"/>
      <w:color w:val="auto"/>
      <w:lang w:val="en-GB"/>
    </w:rPr>
  </w:style>
  <w:style w:type="character" w:customStyle="1" w:styleId="BodyChar">
    <w:name w:val="Body Char"/>
    <w:basedOn w:val="DefaultParagraphFont"/>
    <w:link w:val="Body"/>
    <w:uiPriority w:val="99"/>
    <w:rsid w:val="00F26AF2"/>
    <w:rPr>
      <w:rFonts w:ascii="Arial" w:eastAsia="Avenir-Book" w:hAnsi="Arial" w:cs="Arial"/>
      <w:color w:val="auto"/>
      <w:lang w:val="en-GB"/>
    </w:rPr>
  </w:style>
  <w:style w:type="paragraph" w:styleId="Caption">
    <w:name w:val="caption"/>
    <w:basedOn w:val="Normal"/>
    <w:next w:val="Normal"/>
    <w:uiPriority w:val="35"/>
    <w:semiHidden/>
    <w:unhideWhenUsed/>
    <w:qFormat/>
    <w:rsid w:val="00F26AF2"/>
    <w:pPr>
      <w:spacing w:line="240" w:lineRule="auto"/>
    </w:pPr>
    <w:rPr>
      <w:i/>
      <w:iCs/>
      <w:color w:val="1F497D" w:themeColor="text2"/>
      <w:sz w:val="18"/>
      <w:szCs w:val="18"/>
    </w:rPr>
  </w:style>
  <w:style w:type="character" w:customStyle="1" w:styleId="ListParagraphChar">
    <w:name w:val="List Paragraph Char"/>
    <w:basedOn w:val="DefaultParagraphFont"/>
    <w:link w:val="ListParagraph"/>
    <w:uiPriority w:val="34"/>
    <w:locked/>
    <w:rsid w:val="00F26AF2"/>
  </w:style>
  <w:style w:type="paragraph" w:styleId="TOCHeading">
    <w:name w:val="TOC Heading"/>
    <w:basedOn w:val="Heading1"/>
    <w:next w:val="Normal"/>
    <w:uiPriority w:val="39"/>
    <w:semiHidden/>
    <w:unhideWhenUsed/>
    <w:qFormat/>
    <w:rsid w:val="00F26AF2"/>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ListBullet">
    <w:name w:val="List Bullet"/>
    <w:basedOn w:val="Bulletsevidencesummary"/>
    <w:rsid w:val="001D190B"/>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0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CCF7C8B844A2DA46912A6CED514C3C0A" ma:contentTypeVersion="32" ma:contentTypeDescription="Use this content type to classify and store documents on HQSC DMS website" ma:contentTypeScope="" ma:versionID="569fecc12efa4c784a974675c87edc7c">
  <xsd:schema xmlns:xsd="http://www.w3.org/2001/XMLSchema" xmlns:xs="http://www.w3.org/2001/XMLSchema" xmlns:p="http://schemas.microsoft.com/office/2006/metadata/properties" xmlns:ns3="9648d8c0-db86-4d00-a1b3-c3ab77297c67" xmlns:ns4="bef9904b-9bca-4a1b-aca3-78dad2044d15" targetNamespace="http://schemas.microsoft.com/office/2006/metadata/properties" ma:root="true" ma:fieldsID="e3d2fa9de6cd83ea9eccf10fee188c6e" ns3:_="" ns4:_="">
    <xsd:import namespace="9648d8c0-db86-4d00-a1b3-c3ab77297c6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8d8c0-db86-4d00-a1b3-c3ab77297c6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F6A81-C984-4AE8-89B2-26F0A7BF9DD1}">
  <ds:schemaRefs>
    <ds:schemaRef ds:uri="Microsoft.SharePoint.Taxonomy.ContentTypeSync"/>
  </ds:schemaRefs>
</ds:datastoreItem>
</file>

<file path=customXml/itemProps2.xml><?xml version="1.0" encoding="utf-8"?>
<ds:datastoreItem xmlns:ds="http://schemas.openxmlformats.org/officeDocument/2006/customXml" ds:itemID="{1791253F-D67C-4642-BE55-96C2BD54203B}">
  <ds:schemaRefs>
    <ds:schemaRef ds:uri="http://schemas.microsoft.com/sharepoint/v3/contenttype/forms"/>
  </ds:schemaRefs>
</ds:datastoreItem>
</file>

<file path=customXml/itemProps3.xml><?xml version="1.0" encoding="utf-8"?>
<ds:datastoreItem xmlns:ds="http://schemas.openxmlformats.org/officeDocument/2006/customXml" ds:itemID="{E0DA0059-4199-484E-BD1E-33414C488F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D2203C-D9C5-44A0-A7F6-05378B6CE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8d8c0-db86-4d00-a1b3-c3ab77297c6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901DC0-BB3B-42DE-B134-83D94838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Revised Clinical Governance Recommendations Nov 2016</vt:lpstr>
    </vt:vector>
  </TitlesOfParts>
  <Company>Toshiba</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Clinical Governance Recommendations Nov 2016</dc:title>
  <dc:creator>Jennifer Hill</dc:creator>
  <cp:lastModifiedBy>Falyn Cranston</cp:lastModifiedBy>
  <cp:revision>2</cp:revision>
  <cp:lastPrinted>2016-10-05T21:13:00Z</cp:lastPrinted>
  <dcterms:created xsi:type="dcterms:W3CDTF">2021-04-22T02:42:00Z</dcterms:created>
  <dcterms:modified xsi:type="dcterms:W3CDTF">2021-04-22T02:42:00Z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0x010100464BB556B3337A48846236E9064FB9CC0100CCF7C8B844A2DA46912A6CED514C3C0A</vt:lpwstr>
  </property>
  <property fmtid="{D5CDD505-2E9C-101B-9397-08002B2CF9AE}" pid="3" name="_dlc_DocIdItemGuid">
    <vt:lpwstr>80558f8c-3f83-4aae-9dcc-606b05647016</vt:lpwstr>
  </property>
</Properties>
</file>