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4E755" w14:textId="50AB09F0" w:rsidR="001731DC" w:rsidRDefault="00B34D26" w:rsidP="001731DC">
      <w:pPr>
        <w:jc w:val="center"/>
        <w:rPr>
          <w:b/>
          <w:sz w:val="26"/>
          <w:szCs w:val="26"/>
        </w:rPr>
      </w:pPr>
      <w:r w:rsidRPr="001731DC">
        <w:rPr>
          <w:b/>
          <w:sz w:val="26"/>
          <w:szCs w:val="26"/>
        </w:rPr>
        <w:t>Minutes of the</w:t>
      </w:r>
      <w:r>
        <w:t xml:space="preserve"> </w:t>
      </w:r>
      <w:r w:rsidR="001731DC">
        <w:rPr>
          <w:b/>
          <w:sz w:val="26"/>
          <w:szCs w:val="26"/>
        </w:rPr>
        <w:t>T</w:t>
      </w:r>
      <w:r w:rsidR="001731DC" w:rsidRPr="0087018D">
        <w:rPr>
          <w:b/>
          <w:sz w:val="26"/>
          <w:szCs w:val="26"/>
        </w:rPr>
        <w:t xml:space="preserve">e </w:t>
      </w:r>
      <w:r w:rsidR="001731DC">
        <w:rPr>
          <w:b/>
          <w:sz w:val="26"/>
          <w:szCs w:val="26"/>
        </w:rPr>
        <w:t>K</w:t>
      </w:r>
      <w:r w:rsidR="001731DC" w:rsidRPr="0087018D">
        <w:rPr>
          <w:b/>
          <w:sz w:val="26"/>
          <w:szCs w:val="26"/>
        </w:rPr>
        <w:t xml:space="preserve">āhui </w:t>
      </w:r>
      <w:r w:rsidR="001731DC">
        <w:rPr>
          <w:b/>
          <w:sz w:val="26"/>
          <w:szCs w:val="26"/>
        </w:rPr>
        <w:t>M</w:t>
      </w:r>
      <w:r w:rsidR="001731DC" w:rsidRPr="0087018D">
        <w:rPr>
          <w:b/>
          <w:sz w:val="26"/>
          <w:szCs w:val="26"/>
        </w:rPr>
        <w:t xml:space="preserve">ahi </w:t>
      </w:r>
      <w:r w:rsidR="001731DC">
        <w:rPr>
          <w:b/>
          <w:sz w:val="26"/>
          <w:szCs w:val="26"/>
        </w:rPr>
        <w:t>Ngātahi</w:t>
      </w:r>
      <w:r w:rsidR="002C7D89">
        <w:rPr>
          <w:b/>
          <w:sz w:val="26"/>
          <w:szCs w:val="26"/>
        </w:rPr>
        <w:t xml:space="preserve"> |</w:t>
      </w:r>
      <w:r w:rsidR="001731DC">
        <w:rPr>
          <w:b/>
          <w:sz w:val="26"/>
          <w:szCs w:val="26"/>
        </w:rPr>
        <w:t xml:space="preserve"> Consumer Advisory Group </w:t>
      </w:r>
      <w:r w:rsidR="00E71084">
        <w:rPr>
          <w:b/>
          <w:sz w:val="26"/>
          <w:szCs w:val="26"/>
        </w:rPr>
        <w:t>(CAG)</w:t>
      </w:r>
    </w:p>
    <w:p w14:paraId="238AF782" w14:textId="355A2AE0" w:rsidR="004A0CF4" w:rsidRPr="004A0CF4" w:rsidRDefault="001731DC" w:rsidP="001731DC">
      <w:pPr>
        <w:jc w:val="center"/>
      </w:pPr>
      <w:r>
        <w:rPr>
          <w:b/>
          <w:sz w:val="26"/>
          <w:szCs w:val="26"/>
        </w:rPr>
        <w:t xml:space="preserve">to the </w:t>
      </w:r>
      <w:proofErr w:type="spellStart"/>
      <w:r w:rsidR="00E875E0">
        <w:rPr>
          <w:b/>
          <w:sz w:val="26"/>
          <w:szCs w:val="26"/>
        </w:rPr>
        <w:t>Te</w:t>
      </w:r>
      <w:proofErr w:type="spellEnd"/>
      <w:r w:rsidR="00E875E0">
        <w:rPr>
          <w:b/>
          <w:sz w:val="26"/>
          <w:szCs w:val="26"/>
        </w:rPr>
        <w:t xml:space="preserve"> </w:t>
      </w:r>
      <w:proofErr w:type="spellStart"/>
      <w:r w:rsidR="00E875E0">
        <w:rPr>
          <w:b/>
          <w:sz w:val="26"/>
          <w:szCs w:val="26"/>
        </w:rPr>
        <w:t>Tāhū</w:t>
      </w:r>
      <w:proofErr w:type="spellEnd"/>
      <w:r w:rsidR="00E875E0">
        <w:rPr>
          <w:b/>
          <w:sz w:val="26"/>
          <w:szCs w:val="26"/>
        </w:rPr>
        <w:t xml:space="preserve"> Hauora </w:t>
      </w:r>
      <w:r>
        <w:rPr>
          <w:b/>
          <w:sz w:val="26"/>
          <w:szCs w:val="26"/>
        </w:rPr>
        <w:t xml:space="preserve">Health Quality &amp; Safety Commission </w:t>
      </w:r>
      <w:r w:rsidR="00E875E0">
        <w:rPr>
          <w:b/>
          <w:sz w:val="26"/>
          <w:szCs w:val="26"/>
        </w:rPr>
        <w:t>b</w:t>
      </w:r>
      <w:r>
        <w:rPr>
          <w:b/>
          <w:sz w:val="26"/>
          <w:szCs w:val="26"/>
        </w:rPr>
        <w:t>oard</w:t>
      </w:r>
    </w:p>
    <w:tbl>
      <w:tblPr>
        <w:tblStyle w:val="HQSCdefault"/>
        <w:tblW w:w="5000" w:type="pct"/>
        <w:tblLayout w:type="fixed"/>
        <w:tblLook w:val="0680" w:firstRow="0" w:lastRow="0" w:firstColumn="1" w:lastColumn="0" w:noHBand="1" w:noVBand="1"/>
      </w:tblPr>
      <w:tblGrid>
        <w:gridCol w:w="2310"/>
        <w:gridCol w:w="6753"/>
      </w:tblGrid>
      <w:tr w:rsidR="00B34D26" w:rsidRPr="005C7770" w14:paraId="7D845F66" w14:textId="77777777" w:rsidTr="1A9E9EE5">
        <w:trPr>
          <w:trHeight w:val="397"/>
        </w:trPr>
        <w:tc>
          <w:tcPr>
            <w:cnfStyle w:val="001000000000" w:firstRow="0" w:lastRow="0" w:firstColumn="1" w:lastColumn="0" w:oddVBand="0" w:evenVBand="0" w:oddHBand="0" w:evenHBand="0" w:firstRowFirstColumn="0" w:firstRowLastColumn="0" w:lastRowFirstColumn="0" w:lastRowLastColumn="0"/>
            <w:tcW w:w="2310" w:type="dxa"/>
          </w:tcPr>
          <w:p w14:paraId="01D15CE3" w14:textId="69FB8758" w:rsidR="00B34D26" w:rsidRPr="005C7770" w:rsidRDefault="001731DC" w:rsidP="00BC4426">
            <w:pPr>
              <w:pStyle w:val="Normalintable"/>
            </w:pPr>
            <w:r>
              <w:t>Co-</w:t>
            </w:r>
            <w:r w:rsidR="00B25618">
              <w:t>c</w:t>
            </w:r>
            <w:r w:rsidR="00B34D26">
              <w:t>hair</w:t>
            </w:r>
            <w:r w:rsidR="00B25618">
              <w:t>s</w:t>
            </w:r>
          </w:p>
        </w:tc>
        <w:tc>
          <w:tcPr>
            <w:tcW w:w="6753" w:type="dxa"/>
          </w:tcPr>
          <w:p w14:paraId="1BCF5F36" w14:textId="131B6A83" w:rsidR="00B34D26" w:rsidRPr="005C7770" w:rsidRDefault="00B25618" w:rsidP="00BC4426">
            <w:pPr>
              <w:pStyle w:val="Normalintable"/>
              <w:cnfStyle w:val="000000000000" w:firstRow="0" w:lastRow="0" w:firstColumn="0" w:lastColumn="0" w:oddVBand="0" w:evenVBand="0" w:oddHBand="0" w:evenHBand="0" w:firstRowFirstColumn="0" w:firstRowLastColumn="0" w:lastRowFirstColumn="0" w:lastRowLastColumn="0"/>
            </w:pPr>
            <w:r>
              <w:t>Angie Smith</w:t>
            </w:r>
            <w:r w:rsidR="008E26AD">
              <w:t xml:space="preserve"> &amp; Russ Aiton</w:t>
            </w:r>
          </w:p>
        </w:tc>
      </w:tr>
      <w:tr w:rsidR="003506E9" w:rsidRPr="005C7770" w14:paraId="1E6CC0C8" w14:textId="77777777" w:rsidTr="1A9E9EE5">
        <w:trPr>
          <w:trHeight w:val="397"/>
        </w:trPr>
        <w:tc>
          <w:tcPr>
            <w:cnfStyle w:val="001000000000" w:firstRow="0" w:lastRow="0" w:firstColumn="1" w:lastColumn="0" w:oddVBand="0" w:evenVBand="0" w:oddHBand="0" w:evenHBand="0" w:firstRowFirstColumn="0" w:firstRowLastColumn="0" w:lastRowFirstColumn="0" w:lastRowLastColumn="0"/>
            <w:tcW w:w="2310" w:type="dxa"/>
          </w:tcPr>
          <w:p w14:paraId="5A4CC284" w14:textId="455FA797" w:rsidR="003506E9" w:rsidRPr="005C7770" w:rsidRDefault="003506E9" w:rsidP="003506E9">
            <w:pPr>
              <w:pStyle w:val="Normalintable"/>
            </w:pPr>
            <w:r>
              <w:t>Members in attendance</w:t>
            </w:r>
          </w:p>
        </w:tc>
        <w:tc>
          <w:tcPr>
            <w:tcW w:w="6753" w:type="dxa"/>
          </w:tcPr>
          <w:p w14:paraId="4DCF2289" w14:textId="5B22D71E" w:rsidR="003506E9" w:rsidRPr="003506E9" w:rsidRDefault="003506E9" w:rsidP="003506E9">
            <w:pPr>
              <w:pStyle w:val="Normalintable"/>
              <w:cnfStyle w:val="000000000000" w:firstRow="0" w:lastRow="0" w:firstColumn="0" w:lastColumn="0" w:oddVBand="0" w:evenVBand="0" w:oddHBand="0" w:evenHBand="0" w:firstRowFirstColumn="0" w:firstRowLastColumn="0" w:lastRowFirstColumn="0" w:lastRowLastColumn="0"/>
            </w:pPr>
            <w:r w:rsidRPr="003506E9">
              <w:t xml:space="preserve">Mary Schnackenberg, Frank Bristol, </w:t>
            </w:r>
            <w:r w:rsidR="00E203B5" w:rsidRPr="003506E9">
              <w:t xml:space="preserve">Jodie Bennett, </w:t>
            </w:r>
            <w:r w:rsidR="00152848" w:rsidRPr="003506E9">
              <w:t>Delphina Soti,</w:t>
            </w:r>
            <w:r w:rsidR="00152848">
              <w:t xml:space="preserve"> Maine Johnson,</w:t>
            </w:r>
            <w:r w:rsidR="00152848" w:rsidRPr="003506E9">
              <w:t xml:space="preserve"> Boyd Broughton</w:t>
            </w:r>
          </w:p>
        </w:tc>
      </w:tr>
      <w:tr w:rsidR="003506E9" w:rsidRPr="005C7770" w14:paraId="360463A4" w14:textId="77777777" w:rsidTr="1A9E9EE5">
        <w:trPr>
          <w:trHeight w:val="397"/>
        </w:trPr>
        <w:tc>
          <w:tcPr>
            <w:cnfStyle w:val="001000000000" w:firstRow="0" w:lastRow="0" w:firstColumn="1" w:lastColumn="0" w:oddVBand="0" w:evenVBand="0" w:oddHBand="0" w:evenHBand="0" w:firstRowFirstColumn="0" w:firstRowLastColumn="0" w:lastRowFirstColumn="0" w:lastRowLastColumn="0"/>
            <w:tcW w:w="2310" w:type="dxa"/>
          </w:tcPr>
          <w:p w14:paraId="4D2C786B" w14:textId="61EFDC88" w:rsidR="003506E9" w:rsidRPr="005C7770" w:rsidRDefault="02E55C84" w:rsidP="003506E9">
            <w:pPr>
              <w:pStyle w:val="Normalintable"/>
            </w:pPr>
            <w:r>
              <w:t>He Hoa Tiaki</w:t>
            </w:r>
            <w:r w:rsidR="003506E9">
              <w:t xml:space="preserve"> in attendance</w:t>
            </w:r>
          </w:p>
        </w:tc>
        <w:tc>
          <w:tcPr>
            <w:tcW w:w="6753" w:type="dxa"/>
          </w:tcPr>
          <w:p w14:paraId="3E1490D0" w14:textId="33941BE2" w:rsidR="003506E9" w:rsidRPr="003506E9" w:rsidRDefault="00152848" w:rsidP="003506E9">
            <w:pPr>
              <w:spacing w:after="80"/>
              <w:cnfStyle w:val="000000000000" w:firstRow="0" w:lastRow="0" w:firstColumn="0" w:lastColumn="0" w:oddVBand="0" w:evenVBand="0" w:oddHBand="0" w:evenHBand="0" w:firstRowFirstColumn="0" w:firstRowLastColumn="0" w:lastRowFirstColumn="0" w:lastRowLastColumn="0"/>
            </w:pPr>
            <w:r w:rsidRPr="003506E9">
              <w:t>DJ Adams</w:t>
            </w:r>
            <w:r w:rsidR="003506E9" w:rsidRPr="003506E9">
              <w:t>, Dez McCormack (minutes), Anne Buckley</w:t>
            </w:r>
          </w:p>
        </w:tc>
      </w:tr>
      <w:tr w:rsidR="003506E9" w:rsidRPr="005C7770" w14:paraId="1E80E827" w14:textId="77777777" w:rsidTr="1A9E9EE5">
        <w:trPr>
          <w:trHeight w:val="397"/>
        </w:trPr>
        <w:tc>
          <w:tcPr>
            <w:cnfStyle w:val="001000000000" w:firstRow="0" w:lastRow="0" w:firstColumn="1" w:lastColumn="0" w:oddVBand="0" w:evenVBand="0" w:oddHBand="0" w:evenHBand="0" w:firstRowFirstColumn="0" w:firstRowLastColumn="0" w:lastRowFirstColumn="0" w:lastRowLastColumn="0"/>
            <w:tcW w:w="2310" w:type="dxa"/>
          </w:tcPr>
          <w:p w14:paraId="78F0C546" w14:textId="649BFDAB" w:rsidR="003506E9" w:rsidRDefault="003506E9" w:rsidP="003506E9">
            <w:pPr>
              <w:pStyle w:val="Normalintable"/>
            </w:pPr>
            <w:r>
              <w:t>Apology</w:t>
            </w:r>
          </w:p>
        </w:tc>
        <w:tc>
          <w:tcPr>
            <w:tcW w:w="6753" w:type="dxa"/>
          </w:tcPr>
          <w:p w14:paraId="47CCFFDF" w14:textId="64DF507E" w:rsidR="003506E9" w:rsidRPr="003506E9" w:rsidRDefault="00152848" w:rsidP="003506E9">
            <w:pPr>
              <w:pStyle w:val="Normalintable"/>
              <w:cnfStyle w:val="000000000000" w:firstRow="0" w:lastRow="0" w:firstColumn="0" w:lastColumn="0" w:oddVBand="0" w:evenVBand="0" w:oddHBand="0" w:evenHBand="0" w:firstRowFirstColumn="0" w:firstRowLastColumn="0" w:lastRowFirstColumn="0" w:lastRowLastColumn="0"/>
            </w:pPr>
            <w:r w:rsidRPr="003506E9">
              <w:t>Deon York,</w:t>
            </w:r>
            <w:r w:rsidR="00D965FC">
              <w:t xml:space="preserve"> </w:t>
            </w:r>
            <w:r w:rsidRPr="003506E9">
              <w:t>Allison Anderson</w:t>
            </w:r>
          </w:p>
        </w:tc>
      </w:tr>
    </w:tbl>
    <w:p w14:paraId="54C4BF3B" w14:textId="53A034CA" w:rsidR="004A0CF4" w:rsidRDefault="004A0CF4" w:rsidP="004A0CF4"/>
    <w:p w14:paraId="17899201" w14:textId="2AC61A4E" w:rsidR="003A0437" w:rsidRDefault="00B34D26" w:rsidP="00520EC5">
      <w:r>
        <w:t xml:space="preserve">The </w:t>
      </w:r>
      <w:r w:rsidR="003A0437">
        <w:t>hui</w:t>
      </w:r>
      <w:r>
        <w:t xml:space="preserve"> </w:t>
      </w:r>
      <w:r w:rsidR="003A0437">
        <w:t xml:space="preserve">was held </w:t>
      </w:r>
      <w:r w:rsidR="00AF4697">
        <w:t xml:space="preserve">at </w:t>
      </w:r>
      <w:r w:rsidR="00FD0835">
        <w:t>Rydges</w:t>
      </w:r>
      <w:r w:rsidR="00AF4697">
        <w:t xml:space="preserve"> Wellington Airport on</w:t>
      </w:r>
      <w:r w:rsidR="00FD0835">
        <w:t xml:space="preserve"> 7 September</w:t>
      </w:r>
      <w:r w:rsidR="002E04B7">
        <w:t xml:space="preserve"> 2023</w:t>
      </w:r>
      <w:r w:rsidR="003A0437">
        <w:t xml:space="preserve">. </w:t>
      </w:r>
    </w:p>
    <w:p w14:paraId="449770E1" w14:textId="670487A4" w:rsidR="00520EC5" w:rsidRDefault="003A0437" w:rsidP="00520EC5">
      <w:r>
        <w:t xml:space="preserve">The hui </w:t>
      </w:r>
      <w:r w:rsidR="00B34D26">
        <w:t xml:space="preserve">began at </w:t>
      </w:r>
      <w:r w:rsidR="001C5733">
        <w:t>1.</w:t>
      </w:r>
      <w:r w:rsidR="00FD0835">
        <w:t>15</w:t>
      </w:r>
      <w:r w:rsidR="009A7EDB">
        <w:t>p</w:t>
      </w:r>
      <w:r w:rsidR="001C5733">
        <w:t>m</w:t>
      </w:r>
      <w:r w:rsidR="00B34D26">
        <w:t>.</w:t>
      </w:r>
      <w:r w:rsidR="00520EC5" w:rsidRPr="00520EC5">
        <w:t xml:space="preserve"> </w:t>
      </w:r>
    </w:p>
    <w:p w14:paraId="692FF697" w14:textId="685FF86E" w:rsidR="00520EC5" w:rsidRPr="00520EC5" w:rsidRDefault="00520EC5" w:rsidP="00520EC5">
      <w:pPr>
        <w:pStyle w:val="Heading3"/>
      </w:pPr>
      <w:r w:rsidRPr="00520EC5">
        <w:t xml:space="preserve">Welcome and </w:t>
      </w:r>
      <w:r w:rsidR="00203375" w:rsidRPr="00520EC5">
        <w:t>karakia.</w:t>
      </w:r>
    </w:p>
    <w:p w14:paraId="7013FB75" w14:textId="3DFDF69E" w:rsidR="00520EC5" w:rsidRPr="003A7237" w:rsidRDefault="00AB6092" w:rsidP="00520EC5">
      <w:r w:rsidRPr="003A7237">
        <w:t xml:space="preserve">Angie </w:t>
      </w:r>
      <w:r w:rsidR="00FF4A98" w:rsidRPr="003A7237">
        <w:t xml:space="preserve">welcomed everyone to the hui and </w:t>
      </w:r>
      <w:r w:rsidR="001C5733" w:rsidRPr="003A7237">
        <w:t>opened with</w:t>
      </w:r>
      <w:r w:rsidR="00FF4A98" w:rsidRPr="003A7237">
        <w:t xml:space="preserve"> karakia</w:t>
      </w:r>
      <w:r w:rsidR="004F32C1" w:rsidRPr="003A7237">
        <w:t>.</w:t>
      </w:r>
    </w:p>
    <w:p w14:paraId="74E8A4E6" w14:textId="39434E80" w:rsidR="00520EC5" w:rsidRDefault="00827986" w:rsidP="00520EC5">
      <w:pPr>
        <w:pStyle w:val="Heading3"/>
      </w:pPr>
      <w:r>
        <w:t>General business</w:t>
      </w:r>
    </w:p>
    <w:p w14:paraId="13B2CA83" w14:textId="21628D6F" w:rsidR="008157C0" w:rsidRDefault="00FA1FC8" w:rsidP="00BC4426">
      <w:pPr>
        <w:pStyle w:val="ListParagraph"/>
        <w:numPr>
          <w:ilvl w:val="1"/>
          <w:numId w:val="14"/>
        </w:numPr>
      </w:pPr>
      <w:r>
        <w:t xml:space="preserve">The minutes </w:t>
      </w:r>
      <w:r w:rsidR="005D26C5">
        <w:t xml:space="preserve">from 29 May </w:t>
      </w:r>
      <w:r>
        <w:t xml:space="preserve">were </w:t>
      </w:r>
      <w:r w:rsidR="009E3C91">
        <w:t>confirmed</w:t>
      </w:r>
      <w:r>
        <w:t xml:space="preserve"> as true and correct. </w:t>
      </w:r>
    </w:p>
    <w:p w14:paraId="1C0B0505" w14:textId="38F7CA60" w:rsidR="00520EC5" w:rsidRDefault="004F32C1" w:rsidP="00BC4426">
      <w:pPr>
        <w:pStyle w:val="ListParagraph"/>
        <w:numPr>
          <w:ilvl w:val="1"/>
          <w:numId w:val="14"/>
        </w:numPr>
      </w:pPr>
      <w:r>
        <w:t>Action items were discussed:</w:t>
      </w:r>
    </w:p>
    <w:p w14:paraId="5EEF8C4C" w14:textId="0301CBEF" w:rsidR="003446B0" w:rsidRDefault="00B31E6C" w:rsidP="003446B0">
      <w:pPr>
        <w:pStyle w:val="ListParagraph"/>
      </w:pPr>
      <w:r>
        <w:t>All actions have been completed.</w:t>
      </w:r>
    </w:p>
    <w:p w14:paraId="4CBA0B9E" w14:textId="02B8FFBF" w:rsidR="00E4608D" w:rsidRDefault="00E4608D" w:rsidP="003446B0">
      <w:pPr>
        <w:pStyle w:val="ListParagraph"/>
      </w:pPr>
      <w:r>
        <w:t xml:space="preserve">Continue with this item. </w:t>
      </w:r>
    </w:p>
    <w:p w14:paraId="1A391DCD" w14:textId="714E3BF4" w:rsidR="006828B6" w:rsidRPr="00281650" w:rsidRDefault="00F91C3D" w:rsidP="00993457">
      <w:pPr>
        <w:ind w:left="720"/>
        <w:rPr>
          <w:bCs/>
          <w:i/>
          <w:iCs/>
        </w:rPr>
      </w:pPr>
      <w:r w:rsidRPr="00281650">
        <w:rPr>
          <w:bCs/>
          <w:i/>
          <w:iCs/>
        </w:rPr>
        <w:t>4 April - DJ to extend invitation for visits to localities to promote consumer engagement and the code.</w:t>
      </w:r>
      <w:r w:rsidR="00436163" w:rsidRPr="00281650">
        <w:rPr>
          <w:bCs/>
          <w:i/>
          <w:iCs/>
        </w:rPr>
        <w:t xml:space="preserve"> This code socialisation is on-going. </w:t>
      </w:r>
      <w:r w:rsidR="00FE551D" w:rsidRPr="00281650">
        <w:rPr>
          <w:bCs/>
          <w:i/>
          <w:iCs/>
        </w:rPr>
        <w:t>Angie requested c</w:t>
      </w:r>
      <w:r w:rsidR="00436163" w:rsidRPr="00281650">
        <w:rPr>
          <w:bCs/>
          <w:i/>
          <w:iCs/>
        </w:rPr>
        <w:t>on</w:t>
      </w:r>
      <w:r w:rsidR="00D14331" w:rsidRPr="00281650">
        <w:rPr>
          <w:bCs/>
          <w:i/>
          <w:iCs/>
        </w:rPr>
        <w:t>tinue as action item</w:t>
      </w:r>
      <w:r w:rsidR="0071045F" w:rsidRPr="00281650">
        <w:rPr>
          <w:bCs/>
          <w:i/>
          <w:iCs/>
        </w:rPr>
        <w:t>.</w:t>
      </w:r>
    </w:p>
    <w:p w14:paraId="6F5340E4" w14:textId="041052C3" w:rsidR="002556A5" w:rsidRPr="00CA6D84" w:rsidRDefault="006828B6" w:rsidP="00520EC5">
      <w:r w:rsidRPr="006828B6">
        <w:t>2</w:t>
      </w:r>
      <w:r w:rsidR="006C64AE" w:rsidRPr="006828B6">
        <w:t>.3</w:t>
      </w:r>
      <w:r w:rsidR="006C64AE" w:rsidRPr="006A4AFE">
        <w:rPr>
          <w:i/>
          <w:iCs/>
        </w:rPr>
        <w:tab/>
      </w:r>
      <w:r w:rsidR="006C64AE" w:rsidRPr="00E5129A">
        <w:t>Interests register</w:t>
      </w:r>
      <w:r w:rsidR="006C64AE" w:rsidRPr="006A4AFE">
        <w:rPr>
          <w:i/>
          <w:iCs/>
        </w:rPr>
        <w:t xml:space="preserve"> </w:t>
      </w:r>
      <w:r w:rsidR="00625C74" w:rsidRPr="006A4AFE">
        <w:rPr>
          <w:i/>
          <w:iCs/>
        </w:rPr>
        <w:t>–</w:t>
      </w:r>
      <w:r w:rsidR="006C64AE" w:rsidRPr="006A4AFE">
        <w:rPr>
          <w:i/>
          <w:iCs/>
        </w:rPr>
        <w:t xml:space="preserve"> </w:t>
      </w:r>
      <w:r w:rsidR="00CA6D84" w:rsidRPr="00CA6D84">
        <w:t>any updates advised included in this hui’s papers</w:t>
      </w:r>
      <w:r w:rsidR="00ED6689" w:rsidRPr="00CA6D84">
        <w:t>.</w:t>
      </w:r>
    </w:p>
    <w:p w14:paraId="6DCC45CA" w14:textId="0E48F96F" w:rsidR="00520EC5" w:rsidRDefault="00D07822" w:rsidP="00520EC5">
      <w:pPr>
        <w:pStyle w:val="Heading3"/>
      </w:pPr>
      <w:r>
        <w:t xml:space="preserve">Comments from morning hui with </w:t>
      </w:r>
      <w:r w:rsidR="00576FA8">
        <w:t>Te Kāhui Piringa</w:t>
      </w:r>
    </w:p>
    <w:p w14:paraId="28372543" w14:textId="39EB960C" w:rsidR="00EA7968" w:rsidRDefault="004F5F83" w:rsidP="00883BDF">
      <w:r>
        <w:t>The Chair of</w:t>
      </w:r>
      <w:r w:rsidR="00FC70A0">
        <w:t xml:space="preserve"> Te Kahui Piringa, Ria Earp</w:t>
      </w:r>
      <w:r w:rsidR="004A17DA">
        <w:t xml:space="preserve"> </w:t>
      </w:r>
      <w:r w:rsidR="006B6529">
        <w:t xml:space="preserve">presented </w:t>
      </w:r>
      <w:r w:rsidR="001408F8">
        <w:t>two ‘challenges</w:t>
      </w:r>
      <w:r w:rsidR="00CB1FDD">
        <w:t xml:space="preserve">’ </w:t>
      </w:r>
      <w:r w:rsidR="002362A7">
        <w:t>to this group in the morning’s meeting and these were</w:t>
      </w:r>
      <w:r w:rsidR="00CF25CB">
        <w:t xml:space="preserve"> discussed.</w:t>
      </w:r>
      <w:r w:rsidR="00FC70A0">
        <w:t xml:space="preserve"> </w:t>
      </w:r>
      <w:r w:rsidR="00CF25CB">
        <w:t>The first was</w:t>
      </w:r>
      <w:r w:rsidR="00731ED3">
        <w:t xml:space="preserve"> </w:t>
      </w:r>
      <w:r w:rsidR="00673B06">
        <w:t xml:space="preserve">that we </w:t>
      </w:r>
      <w:r w:rsidR="003F68FD">
        <w:t xml:space="preserve">consider </w:t>
      </w:r>
      <w:r w:rsidR="00592A52">
        <w:t xml:space="preserve">changing </w:t>
      </w:r>
      <w:r w:rsidR="00A018C9">
        <w:t xml:space="preserve">the CAG name of </w:t>
      </w:r>
      <w:r w:rsidR="00592A52">
        <w:t>Te Kāhu</w:t>
      </w:r>
      <w:r w:rsidR="00F6570F">
        <w:t>i</w:t>
      </w:r>
      <w:r w:rsidR="00592A52">
        <w:t xml:space="preserve"> Mahi Ng</w:t>
      </w:r>
      <w:r w:rsidR="00A018C9">
        <w:t>ā</w:t>
      </w:r>
      <w:r w:rsidR="00592A52">
        <w:t xml:space="preserve">tahi. </w:t>
      </w:r>
      <w:r w:rsidR="00FC1A4B">
        <w:t xml:space="preserve">Angie </w:t>
      </w:r>
      <w:r w:rsidR="001627D9">
        <w:t xml:space="preserve">advised the group </w:t>
      </w:r>
      <w:r w:rsidR="00FC1A4B">
        <w:t>that the meaning of the name is working together</w:t>
      </w:r>
      <w:r w:rsidR="00A061D4">
        <w:t xml:space="preserve"> and that it</w:t>
      </w:r>
      <w:r w:rsidR="00FC1A4B">
        <w:t xml:space="preserve"> was gifted </w:t>
      </w:r>
      <w:r w:rsidR="00673B06">
        <w:t>by Huataki</w:t>
      </w:r>
      <w:r w:rsidR="00C70184">
        <w:t xml:space="preserve"> </w:t>
      </w:r>
      <w:r w:rsidR="00570136" w:rsidRPr="1A9E9EE5">
        <w:rPr>
          <w:lang w:val="en-US" w:eastAsia="en-NZ"/>
        </w:rPr>
        <w:t>Whareaitu.</w:t>
      </w:r>
      <w:r w:rsidR="00673B06">
        <w:t xml:space="preserve"> </w:t>
      </w:r>
      <w:r w:rsidR="003121FD">
        <w:t>After discussion, t</w:t>
      </w:r>
      <w:r w:rsidR="00673B06">
        <w:t xml:space="preserve">he </w:t>
      </w:r>
      <w:r w:rsidR="003121FD">
        <w:t xml:space="preserve">group </w:t>
      </w:r>
      <w:r w:rsidR="00025C22">
        <w:t>supported</w:t>
      </w:r>
      <w:r w:rsidR="00A061D4">
        <w:t xml:space="preserve"> the view</w:t>
      </w:r>
      <w:r w:rsidR="00025C22">
        <w:t>,</w:t>
      </w:r>
      <w:r w:rsidR="00182CB5">
        <w:t xml:space="preserve"> as was indicated in the morning hui, </w:t>
      </w:r>
      <w:r w:rsidR="00C24DA6">
        <w:t xml:space="preserve">that </w:t>
      </w:r>
      <w:r w:rsidR="007B5A3D">
        <w:t>we retain the</w:t>
      </w:r>
      <w:r w:rsidR="00B05273">
        <w:t xml:space="preserve"> name as is.</w:t>
      </w:r>
      <w:r w:rsidR="00570136">
        <w:t xml:space="preserve"> </w:t>
      </w:r>
    </w:p>
    <w:p w14:paraId="2B7A43F1" w14:textId="1820B954" w:rsidR="00A91050" w:rsidRDefault="00EE0261" w:rsidP="00883BDF">
      <w:r>
        <w:t>The second</w:t>
      </w:r>
      <w:r w:rsidR="00B969FD">
        <w:t xml:space="preserve"> comment</w:t>
      </w:r>
      <w:r w:rsidR="00A91050">
        <w:t xml:space="preserve"> </w:t>
      </w:r>
      <w:r w:rsidR="00B969FD">
        <w:t>about</w:t>
      </w:r>
      <w:r w:rsidR="00C24660">
        <w:t xml:space="preserve"> Te Kahui Piringa’s lack of input into the Implementation guide for the </w:t>
      </w:r>
      <w:r w:rsidR="00BC15BA">
        <w:t>C</w:t>
      </w:r>
      <w:r w:rsidR="009504AF">
        <w:t>ode of expectations</w:t>
      </w:r>
      <w:r w:rsidR="007D337D">
        <w:t xml:space="preserve"> </w:t>
      </w:r>
      <w:r w:rsidR="00BC15BA">
        <w:t xml:space="preserve">for health entities’ engagement with </w:t>
      </w:r>
      <w:r w:rsidR="00C24660">
        <w:t>consumer</w:t>
      </w:r>
      <w:r w:rsidR="00BC15BA">
        <w:t>s</w:t>
      </w:r>
      <w:r w:rsidR="00C24660">
        <w:t xml:space="preserve"> and whānau </w:t>
      </w:r>
      <w:r w:rsidR="00A91050">
        <w:t>was resolved at the hui</w:t>
      </w:r>
      <w:r w:rsidR="00C24660">
        <w:t>.</w:t>
      </w:r>
      <w:r w:rsidR="00A91050">
        <w:t xml:space="preserve"> </w:t>
      </w:r>
      <w:r w:rsidR="00471CF5">
        <w:t xml:space="preserve">Ahuahu Kaunuku has had a standing place </w:t>
      </w:r>
      <w:r w:rsidR="00864555">
        <w:t xml:space="preserve">at the table throughout the process of </w:t>
      </w:r>
      <w:r w:rsidR="00577EF6">
        <w:t>creating the guide.</w:t>
      </w:r>
      <w:r w:rsidR="00A615EE">
        <w:t xml:space="preserve"> </w:t>
      </w:r>
      <w:r w:rsidR="00EA7EDD">
        <w:t>The</w:t>
      </w:r>
      <w:r w:rsidR="00A615EE">
        <w:t xml:space="preserve"> guide is considered a ‘living document’ with updates planned 6-monthl</w:t>
      </w:r>
      <w:r w:rsidR="00002608">
        <w:t>y.</w:t>
      </w:r>
    </w:p>
    <w:p w14:paraId="0B635D33" w14:textId="358BF1D0" w:rsidR="00883BDF" w:rsidRDefault="00EA7968" w:rsidP="00883BDF">
      <w:r>
        <w:lastRenderedPageBreak/>
        <w:t xml:space="preserve">The </w:t>
      </w:r>
      <w:r w:rsidR="001D3A1E">
        <w:t xml:space="preserve">group </w:t>
      </w:r>
      <w:r w:rsidR="00EB54C7">
        <w:t xml:space="preserve">reported that they appreciated the </w:t>
      </w:r>
      <w:r>
        <w:t xml:space="preserve">discussion </w:t>
      </w:r>
      <w:r w:rsidR="00D07400">
        <w:t>time</w:t>
      </w:r>
      <w:r w:rsidR="00E62358">
        <w:t xml:space="preserve"> </w:t>
      </w:r>
      <w:r>
        <w:t xml:space="preserve">with </w:t>
      </w:r>
      <w:r w:rsidR="00DC2A31">
        <w:t>Te T</w:t>
      </w:r>
      <w:r w:rsidR="00035DF1">
        <w:t>ā</w:t>
      </w:r>
      <w:r w:rsidR="00DC2A31">
        <w:t>h</w:t>
      </w:r>
      <w:r w:rsidR="00035DF1">
        <w:t>ū</w:t>
      </w:r>
      <w:r w:rsidR="00B20185">
        <w:t xml:space="preserve"> </w:t>
      </w:r>
      <w:r w:rsidR="00035DF1">
        <w:t>H</w:t>
      </w:r>
      <w:r w:rsidR="00B20185">
        <w:t xml:space="preserve">auora Chief Executive </w:t>
      </w:r>
      <w:r>
        <w:t xml:space="preserve">Peter </w:t>
      </w:r>
      <w:r w:rsidR="00B101E6">
        <w:t>Jansen and</w:t>
      </w:r>
      <w:r w:rsidR="00F41D06">
        <w:t xml:space="preserve"> his</w:t>
      </w:r>
      <w:r>
        <w:t xml:space="preserve"> </w:t>
      </w:r>
      <w:r w:rsidR="000E10C5">
        <w:t>positive</w:t>
      </w:r>
      <w:r w:rsidR="00F41D06">
        <w:t xml:space="preserve"> insights</w:t>
      </w:r>
      <w:r w:rsidR="00127731">
        <w:t xml:space="preserve"> into the mahi needed</w:t>
      </w:r>
      <w:r w:rsidR="000E10C5">
        <w:t>.</w:t>
      </w:r>
    </w:p>
    <w:p w14:paraId="7E16631A" w14:textId="09E7065C" w:rsidR="00D64C27" w:rsidRDefault="00743AEA" w:rsidP="00883BDF">
      <w:r>
        <w:t xml:space="preserve">Further discussion </w:t>
      </w:r>
      <w:r w:rsidR="008827C1">
        <w:t xml:space="preserve">was </w:t>
      </w:r>
      <w:r>
        <w:t>held on Jodie raising</w:t>
      </w:r>
      <w:r w:rsidR="005D5B1E">
        <w:t xml:space="preserve"> the </w:t>
      </w:r>
      <w:r w:rsidR="00582255">
        <w:t xml:space="preserve">matter </w:t>
      </w:r>
      <w:r w:rsidR="005D5B1E">
        <w:t xml:space="preserve">of an appointed consumer </w:t>
      </w:r>
      <w:r w:rsidR="0084402D">
        <w:t xml:space="preserve">representative </w:t>
      </w:r>
      <w:r w:rsidR="005D5B1E">
        <w:t xml:space="preserve">on the </w:t>
      </w:r>
      <w:r w:rsidR="003D7786">
        <w:t>B</w:t>
      </w:r>
      <w:r w:rsidR="005D5B1E">
        <w:t>oard</w:t>
      </w:r>
      <w:r w:rsidR="00F30EC8">
        <w:t xml:space="preserve"> of Te Tāhū Hauora</w:t>
      </w:r>
      <w:r w:rsidR="005D5B1E">
        <w:t>.</w:t>
      </w:r>
      <w:r w:rsidR="00582255">
        <w:t xml:space="preserve"> </w:t>
      </w:r>
      <w:r w:rsidR="00D64C27">
        <w:t xml:space="preserve">Discussion </w:t>
      </w:r>
      <w:r w:rsidR="00582255">
        <w:t xml:space="preserve">was held </w:t>
      </w:r>
      <w:r w:rsidR="00D64C27">
        <w:t xml:space="preserve">around a </w:t>
      </w:r>
      <w:r w:rsidR="00B93F3A">
        <w:t xml:space="preserve">possible </w:t>
      </w:r>
      <w:r w:rsidR="00D64C27">
        <w:t xml:space="preserve">paper to </w:t>
      </w:r>
      <w:r w:rsidR="007864A8">
        <w:t xml:space="preserve">the </w:t>
      </w:r>
      <w:r w:rsidR="00D64C27">
        <w:t>board to raise the issue</w:t>
      </w:r>
      <w:r w:rsidR="00226910">
        <w:t xml:space="preserve"> with a recommendation</w:t>
      </w:r>
      <w:r w:rsidR="00D64C27">
        <w:t>.</w:t>
      </w:r>
    </w:p>
    <w:p w14:paraId="468A9F1D" w14:textId="1C93E263" w:rsidR="00D56F9E" w:rsidRDefault="00D56F9E" w:rsidP="00883BDF">
      <w:r>
        <w:t>The future of the Consumer councils</w:t>
      </w:r>
      <w:r w:rsidR="001111D7">
        <w:t xml:space="preserve"> was discussed. A rapid review group</w:t>
      </w:r>
      <w:r w:rsidR="003466B4">
        <w:t>, consisting of consumers</w:t>
      </w:r>
      <w:r w:rsidR="001E6D0A">
        <w:t xml:space="preserve"> </w:t>
      </w:r>
      <w:r w:rsidR="00FB6243">
        <w:t xml:space="preserve">including Russ and other Chairs of the </w:t>
      </w:r>
      <w:r w:rsidR="00015CA6">
        <w:t>(</w:t>
      </w:r>
      <w:r w:rsidR="00FB6243">
        <w:t>former DHB</w:t>
      </w:r>
      <w:r w:rsidR="00015CA6">
        <w:t>)</w:t>
      </w:r>
      <w:r w:rsidR="00FB6243">
        <w:t xml:space="preserve"> Consumer Councils,</w:t>
      </w:r>
      <w:r w:rsidR="003466B4">
        <w:t xml:space="preserve"> Te Whatu Ora staff and </w:t>
      </w:r>
      <w:r w:rsidR="004659E2">
        <w:t>Te Tāh</w:t>
      </w:r>
      <w:r w:rsidR="00F30EC8">
        <w:t>ū</w:t>
      </w:r>
      <w:r w:rsidR="004659E2">
        <w:t xml:space="preserve"> Hauora staff</w:t>
      </w:r>
      <w:r w:rsidR="001111D7">
        <w:t xml:space="preserve"> </w:t>
      </w:r>
      <w:r w:rsidR="00F4242B">
        <w:t>h</w:t>
      </w:r>
      <w:r w:rsidR="001111D7">
        <w:t>as</w:t>
      </w:r>
      <w:r w:rsidR="003466B4">
        <w:t xml:space="preserve"> been</w:t>
      </w:r>
      <w:r w:rsidR="001111D7">
        <w:t xml:space="preserve"> set-up</w:t>
      </w:r>
      <w:r w:rsidR="00015CA6">
        <w:t>.</w:t>
      </w:r>
      <w:r w:rsidR="00F4242B">
        <w:t xml:space="preserve"> </w:t>
      </w:r>
      <w:r w:rsidR="00994E85">
        <w:t xml:space="preserve"> This will hopefully provide direction on the future of the consumer councils.</w:t>
      </w:r>
      <w:r w:rsidR="001111D7">
        <w:t xml:space="preserve"> </w:t>
      </w:r>
      <w:r w:rsidR="00031B50">
        <w:t xml:space="preserve">The </w:t>
      </w:r>
      <w:r w:rsidR="00DF2D90">
        <w:t xml:space="preserve">review is </w:t>
      </w:r>
      <w:r w:rsidR="00A10220">
        <w:t xml:space="preserve">to </w:t>
      </w:r>
      <w:r w:rsidR="00DF2D90">
        <w:t>now look</w:t>
      </w:r>
      <w:r w:rsidR="0036211A">
        <w:t xml:space="preserve"> at </w:t>
      </w:r>
      <w:r w:rsidR="00804E79">
        <w:t>‘</w:t>
      </w:r>
      <w:r w:rsidR="0036211A">
        <w:t>consumer engagement mechanisms</w:t>
      </w:r>
      <w:r w:rsidR="00804E79">
        <w:t xml:space="preserve">’ </w:t>
      </w:r>
      <w:r w:rsidR="00F02D3E">
        <w:t xml:space="preserve">rather than consumer councils </w:t>
      </w:r>
      <w:r w:rsidR="002235E5">
        <w:t>alone.</w:t>
      </w:r>
    </w:p>
    <w:p w14:paraId="1F671359" w14:textId="77777777" w:rsidR="00C93550" w:rsidRPr="008C3C35" w:rsidRDefault="00C93550" w:rsidP="00C93550">
      <w:pPr>
        <w:pStyle w:val="Heading3"/>
      </w:pPr>
      <w:r w:rsidRPr="008C3C35">
        <w:t>He Hoa Tiaki | Partners in Care (PIC) report</w:t>
      </w:r>
    </w:p>
    <w:p w14:paraId="0568AC7C" w14:textId="465C985F" w:rsidR="00B33C18" w:rsidRDefault="00DE3509" w:rsidP="00B33C18">
      <w:r>
        <w:t xml:space="preserve">The </w:t>
      </w:r>
      <w:r w:rsidR="002235E5">
        <w:t>H</w:t>
      </w:r>
      <w:r w:rsidR="005A653D">
        <w:t xml:space="preserve">e Hoa Tiaki Partners in Care </w:t>
      </w:r>
      <w:r>
        <w:t>report was circulated with the agenda</w:t>
      </w:r>
      <w:r w:rsidR="00EB3A8E">
        <w:t xml:space="preserve"> and is included</w:t>
      </w:r>
      <w:r w:rsidR="00A147A2">
        <w:t xml:space="preserve"> as Appendix 1. </w:t>
      </w:r>
      <w:r w:rsidR="00B33C18">
        <w:t>Anne</w:t>
      </w:r>
      <w:r w:rsidR="00B33C18" w:rsidRPr="00CA6D84">
        <w:t xml:space="preserve"> </w:t>
      </w:r>
      <w:r w:rsidR="00B33C18">
        <w:t xml:space="preserve">spoke to </w:t>
      </w:r>
      <w:r w:rsidR="00FB111E">
        <w:t xml:space="preserve">some highlights of the </w:t>
      </w:r>
      <w:r w:rsidR="00B33C18">
        <w:t>report prepared by Allison.</w:t>
      </w:r>
    </w:p>
    <w:p w14:paraId="2F17D401" w14:textId="77777777" w:rsidR="002767E7" w:rsidRDefault="002767E7" w:rsidP="002767E7">
      <w:pPr>
        <w:pStyle w:val="Heading3"/>
      </w:pPr>
      <w:r>
        <w:t>Members environmental scans</w:t>
      </w:r>
    </w:p>
    <w:p w14:paraId="050BF782" w14:textId="519DCFF9" w:rsidR="003447E7" w:rsidRDefault="003447E7" w:rsidP="00185B27">
      <w:r w:rsidRPr="002C4E66">
        <w:t>Full scan</w:t>
      </w:r>
      <w:r w:rsidR="002C4E66">
        <w:t>s</w:t>
      </w:r>
      <w:r w:rsidRPr="002C4E66">
        <w:t xml:space="preserve"> are attached as </w:t>
      </w:r>
      <w:r w:rsidR="009216E2">
        <w:t>A</w:t>
      </w:r>
      <w:r w:rsidR="002C4E66" w:rsidRPr="002C4E66">
        <w:t>ppendix</w:t>
      </w:r>
      <w:r w:rsidRPr="002C4E66">
        <w:t xml:space="preserve"> </w:t>
      </w:r>
      <w:r w:rsidR="009216E2">
        <w:t>2</w:t>
      </w:r>
      <w:r w:rsidRPr="002C4E66">
        <w:t xml:space="preserve"> after these minutes</w:t>
      </w:r>
      <w:r w:rsidR="002C4E66" w:rsidRPr="002C4E66">
        <w:t>.</w:t>
      </w:r>
      <w:r w:rsidR="002C4E66">
        <w:t xml:space="preserve"> </w:t>
      </w:r>
      <w:r w:rsidR="00F908AF">
        <w:t>They were taken as read.</w:t>
      </w:r>
    </w:p>
    <w:p w14:paraId="0D66D26B" w14:textId="05D7C1EB" w:rsidR="00402FA5" w:rsidRPr="000012EC" w:rsidRDefault="000E1E91" w:rsidP="00520EC5">
      <w:r>
        <w:t>Angie spoke to her recommendation</w:t>
      </w:r>
      <w:r w:rsidR="00D74B04">
        <w:t xml:space="preserve"> that </w:t>
      </w:r>
      <w:r w:rsidR="009B1070">
        <w:t>Te Whatu Ora give effect to the code of expectations within their locality planning</w:t>
      </w:r>
      <w:r w:rsidR="00192627">
        <w:t>. This is not happening in the locality of Tihei Wairoa</w:t>
      </w:r>
      <w:r>
        <w:t xml:space="preserve"> </w:t>
      </w:r>
      <w:r w:rsidR="005D2BB8">
        <w:t xml:space="preserve">and </w:t>
      </w:r>
      <w:r>
        <w:t>also appears to</w:t>
      </w:r>
      <w:r w:rsidR="00A00933">
        <w:t xml:space="preserve"> </w:t>
      </w:r>
      <w:r w:rsidR="00044432">
        <w:t>relate to</w:t>
      </w:r>
      <w:r w:rsidR="00A00933">
        <w:t xml:space="preserve"> other </w:t>
      </w:r>
      <w:r w:rsidR="00F8255B">
        <w:t>localities.</w:t>
      </w:r>
    </w:p>
    <w:p w14:paraId="50EB4E0E" w14:textId="08D12521" w:rsidR="00726073" w:rsidRDefault="00C93550" w:rsidP="0065404A">
      <w:pPr>
        <w:rPr>
          <w:rFonts w:eastAsiaTheme="majorEastAsia" w:cstheme="majorBidi"/>
          <w:b/>
          <w:color w:val="293868"/>
          <w:sz w:val="24"/>
        </w:rPr>
      </w:pPr>
      <w:r>
        <w:rPr>
          <w:rFonts w:eastAsiaTheme="majorEastAsia" w:cstheme="majorBidi"/>
          <w:b/>
          <w:color w:val="293868"/>
          <w:sz w:val="24"/>
        </w:rPr>
        <w:t>6</w:t>
      </w:r>
      <w:r w:rsidR="007D07D6">
        <w:rPr>
          <w:rFonts w:eastAsiaTheme="majorEastAsia" w:cstheme="majorBidi"/>
          <w:b/>
          <w:color w:val="293868"/>
          <w:sz w:val="24"/>
        </w:rPr>
        <w:t xml:space="preserve">.   </w:t>
      </w:r>
      <w:r w:rsidR="007D07D6" w:rsidRPr="007D07D6">
        <w:rPr>
          <w:rFonts w:eastAsiaTheme="majorEastAsia" w:cstheme="majorBidi"/>
          <w:b/>
          <w:color w:val="293868"/>
          <w:sz w:val="24"/>
        </w:rPr>
        <w:t xml:space="preserve">Top 3-5 collective issues CAG identify for board paper </w:t>
      </w:r>
    </w:p>
    <w:p w14:paraId="319A248E" w14:textId="7D67928C" w:rsidR="0060475D" w:rsidRDefault="009A54FB" w:rsidP="0060475D">
      <w:r>
        <w:t>There was discussion about the</w:t>
      </w:r>
      <w:r w:rsidR="00521977">
        <w:t xml:space="preserve"> potential use of recommendations in reports to the Board</w:t>
      </w:r>
      <w:r w:rsidR="00DA4ABE">
        <w:t xml:space="preserve"> and that there would be time given </w:t>
      </w:r>
      <w:r w:rsidR="004F4249">
        <w:t>(</w:t>
      </w:r>
      <w:r w:rsidR="008B334F">
        <w:t xml:space="preserve">15 mins) </w:t>
      </w:r>
      <w:r w:rsidR="004F4249">
        <w:t xml:space="preserve">at the Board meeting </w:t>
      </w:r>
      <w:r w:rsidR="00AA3622">
        <w:t>for</w:t>
      </w:r>
      <w:r w:rsidR="00DA4ABE">
        <w:t xml:space="preserve"> the co-</w:t>
      </w:r>
      <w:r w:rsidR="00AA3622">
        <w:t>c</w:t>
      </w:r>
      <w:r w:rsidR="00DA4ABE">
        <w:t>hair attending to speak</w:t>
      </w:r>
      <w:r w:rsidR="008B334F">
        <w:t xml:space="preserve"> </w:t>
      </w:r>
      <w:r w:rsidR="0060475D">
        <w:t xml:space="preserve">on the report and further discussion to be had. The </w:t>
      </w:r>
      <w:r w:rsidR="00091C13">
        <w:t>B</w:t>
      </w:r>
      <w:r w:rsidR="0060475D">
        <w:t xml:space="preserve">oard paper may be a mix with both noting and recommendation/s stated. It will depend on if the </w:t>
      </w:r>
      <w:r w:rsidR="00091C13">
        <w:t>B</w:t>
      </w:r>
      <w:r w:rsidR="0060475D">
        <w:t>oard can act or influence. There may be the option to pose a question to the Board about what they can influence.</w:t>
      </w:r>
    </w:p>
    <w:p w14:paraId="11C5822B" w14:textId="028C00EC" w:rsidR="0058765A" w:rsidRDefault="00763667" w:rsidP="00B7744C">
      <w:r>
        <w:t xml:space="preserve">Angie </w:t>
      </w:r>
      <w:r w:rsidR="00702B5E">
        <w:t>commented on the ‘pain’</w:t>
      </w:r>
      <w:r w:rsidR="009C0C20">
        <w:t xml:space="preserve"> </w:t>
      </w:r>
      <w:r w:rsidR="00266015">
        <w:t>of communities</w:t>
      </w:r>
      <w:r w:rsidR="00FA3570">
        <w:t xml:space="preserve"> </w:t>
      </w:r>
      <w:r w:rsidR="009C0C20">
        <w:t>evident</w:t>
      </w:r>
      <w:r w:rsidR="00E2013A">
        <w:t xml:space="preserve"> in the environment</w:t>
      </w:r>
      <w:r w:rsidR="007B3164">
        <w:t>al scans</w:t>
      </w:r>
      <w:r w:rsidR="00B13ACE">
        <w:t xml:space="preserve"> in terms of the </w:t>
      </w:r>
      <w:r w:rsidR="00102534">
        <w:t xml:space="preserve">difficulties </w:t>
      </w:r>
      <w:r w:rsidR="00123238">
        <w:t xml:space="preserve">reported for </w:t>
      </w:r>
      <w:r w:rsidR="00102534">
        <w:t xml:space="preserve">households in meeting the costs of food, </w:t>
      </w:r>
      <w:r w:rsidR="00B649B2">
        <w:t>housing,</w:t>
      </w:r>
      <w:r w:rsidR="00102534">
        <w:t xml:space="preserve"> and access to</w:t>
      </w:r>
      <w:r w:rsidR="005A60E9">
        <w:t xml:space="preserve"> general practice services.</w:t>
      </w:r>
      <w:r w:rsidR="003A23ED">
        <w:t xml:space="preserve"> </w:t>
      </w:r>
      <w:r w:rsidR="001554AF">
        <w:t xml:space="preserve">Access to mental health services was also raised as of concern. </w:t>
      </w:r>
      <w:r w:rsidR="003A23ED">
        <w:t>There was discussion about the impact of these</w:t>
      </w:r>
      <w:r w:rsidR="00592E6B">
        <w:t xml:space="preserve"> social determi</w:t>
      </w:r>
      <w:r w:rsidR="005A60E9">
        <w:t xml:space="preserve">nants of health </w:t>
      </w:r>
      <w:r w:rsidR="00F102B8">
        <w:t xml:space="preserve">for the future health of New Zealanders </w:t>
      </w:r>
      <w:r w:rsidR="005A60E9">
        <w:t>and</w:t>
      </w:r>
      <w:r w:rsidR="00FB68F6">
        <w:t xml:space="preserve"> the importance of signalling the group’s concern to the Board about potential actions</w:t>
      </w:r>
      <w:r w:rsidR="0058765A">
        <w:t xml:space="preserve"> they could consider</w:t>
      </w:r>
      <w:r w:rsidR="001A4D21">
        <w:t xml:space="preserve">, </w:t>
      </w:r>
      <w:r w:rsidR="00874729">
        <w:t>as a question to the Board</w:t>
      </w:r>
      <w:r w:rsidR="00FB68F6">
        <w:t>.</w:t>
      </w:r>
    </w:p>
    <w:p w14:paraId="11B68C27" w14:textId="3024717F" w:rsidR="00A208B3" w:rsidRDefault="00091C13" w:rsidP="00B7744C">
      <w:r>
        <w:t>Discussion followed about</w:t>
      </w:r>
      <w:r w:rsidR="00723D99">
        <w:t xml:space="preserve"> how Te Whatu Ora localities are progressing in their establishment and what consumer engagement is occurring in this</w:t>
      </w:r>
      <w:r w:rsidR="008E18F1">
        <w:t xml:space="preserve"> planning phase. </w:t>
      </w:r>
      <w:r w:rsidR="00540B45">
        <w:t xml:space="preserve">Examples from across the country were </w:t>
      </w:r>
      <w:r w:rsidR="00AF7003">
        <w:t>shared where this was not occurring</w:t>
      </w:r>
      <w:r w:rsidR="00FC7401">
        <w:t xml:space="preserve">, including on the West Coast and </w:t>
      </w:r>
      <w:r w:rsidR="00AC6BE9">
        <w:t>Wairoa</w:t>
      </w:r>
      <w:r w:rsidR="00D01D7A">
        <w:t xml:space="preserve">. An example was given from Northland where the lack of consumer engagement had led to progress being halted and then resumed once greater </w:t>
      </w:r>
      <w:r w:rsidR="00BD5629">
        <w:t>consumer</w:t>
      </w:r>
      <w:r w:rsidR="00964005">
        <w:t>/community</w:t>
      </w:r>
      <w:r w:rsidR="00BD5629">
        <w:t xml:space="preserve"> participation</w:t>
      </w:r>
      <w:r w:rsidR="00D01D7A">
        <w:t xml:space="preserve"> had been</w:t>
      </w:r>
      <w:r>
        <w:t xml:space="preserve"> </w:t>
      </w:r>
      <w:r w:rsidR="00BD5629">
        <w:t>invited</w:t>
      </w:r>
      <w:r w:rsidR="00C43380">
        <w:t>.</w:t>
      </w:r>
      <w:r w:rsidR="00F102B8">
        <w:t xml:space="preserve"> </w:t>
      </w:r>
      <w:r w:rsidR="009B4F6B">
        <w:t>A statement highlighting the importance of</w:t>
      </w:r>
      <w:r w:rsidR="00E956A1">
        <w:t xml:space="preserve"> consumer involvement in locality planning was identified </w:t>
      </w:r>
      <w:r w:rsidR="001A4D21">
        <w:t>as</w:t>
      </w:r>
      <w:r w:rsidR="00E956A1">
        <w:t xml:space="preserve"> a recommendation to be noted</w:t>
      </w:r>
      <w:r w:rsidR="001A4D21">
        <w:t xml:space="preserve"> in the </w:t>
      </w:r>
      <w:r w:rsidR="00220D6A">
        <w:t xml:space="preserve">Board </w:t>
      </w:r>
      <w:r w:rsidR="001A4D21">
        <w:t>report</w:t>
      </w:r>
      <w:r w:rsidR="00E956A1">
        <w:t>.</w:t>
      </w:r>
    </w:p>
    <w:p w14:paraId="3D90907E" w14:textId="35CB7EFA" w:rsidR="00A50705" w:rsidRDefault="00A50705" w:rsidP="00B7744C">
      <w:r>
        <w:t>The group discussed the positive impact of the current removal of prescription cha</w:t>
      </w:r>
      <w:r w:rsidR="006065FB">
        <w:t>rges in making it easier for people to access their medicines.</w:t>
      </w:r>
    </w:p>
    <w:p w14:paraId="5039BBA4" w14:textId="1587D5B7" w:rsidR="006065FB" w:rsidRDefault="00D255CE" w:rsidP="00B7744C">
      <w:r>
        <w:t xml:space="preserve">The </w:t>
      </w:r>
      <w:r w:rsidR="007B1EDF">
        <w:t>T</w:t>
      </w:r>
      <w:r w:rsidR="00D8668C">
        <w:t xml:space="preserve">e Whatu Ora review </w:t>
      </w:r>
      <w:r w:rsidR="007B1EDF">
        <w:t xml:space="preserve">underway </w:t>
      </w:r>
      <w:r w:rsidR="00631AE2">
        <w:t>to look at the future of consumer councils</w:t>
      </w:r>
      <w:r w:rsidR="00915E68">
        <w:t xml:space="preserve"> was discussed</w:t>
      </w:r>
      <w:r w:rsidR="002D7544">
        <w:t xml:space="preserve">. Russ commented that the language around the review has </w:t>
      </w:r>
      <w:r w:rsidR="00A020B2">
        <w:t>changed,</w:t>
      </w:r>
      <w:r w:rsidR="002D7544">
        <w:t xml:space="preserve"> and it is unclear </w:t>
      </w:r>
      <w:r w:rsidR="009B48AB">
        <w:t>what will happen to the councils</w:t>
      </w:r>
      <w:r w:rsidR="001B77AD">
        <w:t xml:space="preserve">. </w:t>
      </w:r>
      <w:r w:rsidR="00FB5BFB">
        <w:t>There are additional meetings that he will be attending and that He Hoa Tiaki also attend</w:t>
      </w:r>
      <w:r w:rsidR="008726EA">
        <w:t xml:space="preserve"> </w:t>
      </w:r>
      <w:r w:rsidR="00964005">
        <w:t xml:space="preserve">as part of </w:t>
      </w:r>
      <w:r w:rsidR="008726EA">
        <w:t xml:space="preserve">the ‘review of consumer engagement </w:t>
      </w:r>
      <w:r w:rsidR="008726EA">
        <w:lastRenderedPageBreak/>
        <w:t>mechanisms</w:t>
      </w:r>
      <w:r w:rsidR="009C76F8">
        <w:t xml:space="preserve">’ </w:t>
      </w:r>
      <w:r w:rsidR="007B1EDF">
        <w:t>to be completed by end October.</w:t>
      </w:r>
      <w:r w:rsidR="009C76F8">
        <w:t xml:space="preserve"> The importance of the consumer councils was identified to include as a recommendation for noting.</w:t>
      </w:r>
    </w:p>
    <w:p w14:paraId="7575FBF1" w14:textId="495F7C8E" w:rsidR="008631AF" w:rsidRDefault="008631AF" w:rsidP="008631AF">
      <w:pPr>
        <w:pStyle w:val="Heading3"/>
        <w:numPr>
          <w:ilvl w:val="0"/>
          <w:numId w:val="0"/>
        </w:numPr>
        <w:ind w:left="360" w:hanging="360"/>
      </w:pPr>
      <w:r>
        <w:t xml:space="preserve">7.  </w:t>
      </w:r>
      <w:r w:rsidR="003D3FD4">
        <w:rPr>
          <w:rStyle w:val="ui-provider"/>
        </w:rPr>
        <w:t>Developing consumer capabilities and leadership (workstream 3)</w:t>
      </w:r>
    </w:p>
    <w:p w14:paraId="57533B3C" w14:textId="1B89531C" w:rsidR="00635610" w:rsidRDefault="00386593" w:rsidP="005B1999">
      <w:r>
        <w:t xml:space="preserve">CAG </w:t>
      </w:r>
      <w:r w:rsidR="00F666F2">
        <w:t>was</w:t>
      </w:r>
      <w:r>
        <w:t xml:space="preserve"> reminded </w:t>
      </w:r>
      <w:r w:rsidR="00A719A4">
        <w:t>and invited to complete</w:t>
      </w:r>
      <w:r>
        <w:t xml:space="preserve"> the survey monkey </w:t>
      </w:r>
      <w:r w:rsidR="005B42B9">
        <w:t xml:space="preserve">(link emailed previously) </w:t>
      </w:r>
      <w:r>
        <w:t>to share their ideas f</w:t>
      </w:r>
      <w:r w:rsidR="00A719A4">
        <w:t>or resources and workshops</w:t>
      </w:r>
      <w:r w:rsidR="000E1290">
        <w:t>:</w:t>
      </w:r>
      <w:r w:rsidR="00A719A4">
        <w:t xml:space="preserve"> </w:t>
      </w:r>
      <w:r w:rsidR="00D16F99">
        <w:t>How</w:t>
      </w:r>
      <w:r w:rsidR="00256DEA">
        <w:t xml:space="preserve"> consumer</w:t>
      </w:r>
      <w:r w:rsidR="00A72596">
        <w:t xml:space="preserve"> advisors can be</w:t>
      </w:r>
      <w:r w:rsidR="00256DEA">
        <w:t xml:space="preserve"> supported </w:t>
      </w:r>
      <w:r w:rsidR="00A72596">
        <w:t>on their engagement journey</w:t>
      </w:r>
      <w:r w:rsidR="000E5FF7">
        <w:t xml:space="preserve">, </w:t>
      </w:r>
      <w:r w:rsidR="003C291D">
        <w:t xml:space="preserve">from introduction to </w:t>
      </w:r>
      <w:r w:rsidR="000E5FF7">
        <w:t xml:space="preserve">creating </w:t>
      </w:r>
      <w:r w:rsidR="009D17AC">
        <w:t>consumer leaders</w:t>
      </w:r>
      <w:r w:rsidR="00A20ED7">
        <w:t xml:space="preserve">. </w:t>
      </w:r>
      <w:r w:rsidR="00F05E7C">
        <w:t>CAG shared some ideas on</w:t>
      </w:r>
      <w:r w:rsidR="00DF5B16">
        <w:t xml:space="preserve"> existing courses and content to </w:t>
      </w:r>
      <w:r w:rsidR="00A7695A">
        <w:t xml:space="preserve">consider </w:t>
      </w:r>
      <w:r w:rsidR="00DF5B16">
        <w:t>includ</w:t>
      </w:r>
      <w:r w:rsidR="00A7695A">
        <w:t xml:space="preserve">ing in the consumer ‘toolkit’ </w:t>
      </w:r>
      <w:r w:rsidR="0094501E">
        <w:t>that He Hoa Tiaki are</w:t>
      </w:r>
      <w:r w:rsidR="00EA0D5A">
        <w:t xml:space="preserve"> developing</w:t>
      </w:r>
      <w:r w:rsidR="00DF5B16">
        <w:t xml:space="preserve">. The </w:t>
      </w:r>
      <w:r w:rsidR="00EA0D5A">
        <w:t xml:space="preserve">ideas provided </w:t>
      </w:r>
      <w:r w:rsidR="00DF5B16">
        <w:t>will be collated with the survey results</w:t>
      </w:r>
      <w:r w:rsidR="00712AEE">
        <w:t xml:space="preserve"> </w:t>
      </w:r>
      <w:r w:rsidR="00EA0D5A">
        <w:t>and</w:t>
      </w:r>
      <w:r w:rsidR="00A9426D">
        <w:t xml:space="preserve"> will be shared with CAG</w:t>
      </w:r>
      <w:r w:rsidR="005B42B9">
        <w:t xml:space="preserve"> once all survey results are in</w:t>
      </w:r>
      <w:r w:rsidR="00A9426D">
        <w:t xml:space="preserve">. </w:t>
      </w:r>
      <w:r w:rsidR="005A38F4">
        <w:t>K</w:t>
      </w:r>
      <w:r w:rsidR="00FB7D67">
        <w:t>ō</w:t>
      </w:r>
      <w:r w:rsidR="005A38F4">
        <w:t>tuinga Kiritaki Consumer Network have also</w:t>
      </w:r>
      <w:r w:rsidR="00FB7D67">
        <w:t xml:space="preserve"> completed the survey.</w:t>
      </w:r>
    </w:p>
    <w:p w14:paraId="7DE17520" w14:textId="45D60C6A" w:rsidR="000D4E6F" w:rsidRDefault="00EE0326" w:rsidP="00EE0326">
      <w:pPr>
        <w:pStyle w:val="Heading3"/>
        <w:numPr>
          <w:ilvl w:val="0"/>
          <w:numId w:val="0"/>
        </w:numPr>
      </w:pPr>
      <w:r>
        <w:t>8.</w:t>
      </w:r>
      <w:r w:rsidR="00277B5B">
        <w:t xml:space="preserve"> </w:t>
      </w:r>
      <w:r w:rsidR="00FF1B9B">
        <w:t xml:space="preserve"> </w:t>
      </w:r>
      <w:r w:rsidR="002F082A">
        <w:t>Farewell for Frank Bristol</w:t>
      </w:r>
    </w:p>
    <w:p w14:paraId="731ACFBE" w14:textId="7241604B" w:rsidR="002F082A" w:rsidRPr="002F082A" w:rsidRDefault="00BD367F" w:rsidP="002F082A">
      <w:r>
        <w:t xml:space="preserve">Russ </w:t>
      </w:r>
      <w:r w:rsidR="006F665E">
        <w:t>began</w:t>
      </w:r>
      <w:r>
        <w:t xml:space="preserve"> the </w:t>
      </w:r>
      <w:r w:rsidR="00985FB6">
        <w:t>farewells</w:t>
      </w:r>
      <w:r w:rsidR="00F63221">
        <w:t xml:space="preserve"> with a tribute to Frank’s work</w:t>
      </w:r>
      <w:r w:rsidR="000C2420">
        <w:t xml:space="preserve"> on the CAG and</w:t>
      </w:r>
      <w:r w:rsidR="00473425">
        <w:t xml:space="preserve"> </w:t>
      </w:r>
      <w:r w:rsidR="00412082">
        <w:t xml:space="preserve">time </w:t>
      </w:r>
      <w:r w:rsidR="00473425">
        <w:t xml:space="preserve">as </w:t>
      </w:r>
      <w:r w:rsidR="003847CC">
        <w:t xml:space="preserve">acting </w:t>
      </w:r>
      <w:r w:rsidR="00412082">
        <w:t>Chair</w:t>
      </w:r>
      <w:r w:rsidR="003847CC">
        <w:t xml:space="preserve"> of</w:t>
      </w:r>
      <w:r w:rsidR="00412082">
        <w:t xml:space="preserve"> the</w:t>
      </w:r>
      <w:r w:rsidR="00473425">
        <w:t xml:space="preserve"> CAG</w:t>
      </w:r>
      <w:r w:rsidR="00985FB6">
        <w:t xml:space="preserve">. Everyone contributed huge thanks and aroha to Frank for </w:t>
      </w:r>
      <w:r w:rsidR="00B147B6">
        <w:t>all his mahi over the last 6 years. He will be missed. Frank was presented with a gift and letter from the Board Chair, Rae Lamb</w:t>
      </w:r>
      <w:r w:rsidR="003847CC">
        <w:t xml:space="preserve"> in re</w:t>
      </w:r>
      <w:r w:rsidR="00512E1F">
        <w:t>cognition of his contribution</w:t>
      </w:r>
      <w:r w:rsidR="005B1A6D">
        <w:t xml:space="preserve"> to the work of Te T</w:t>
      </w:r>
      <w:r w:rsidR="00E26907">
        <w:t>ā</w:t>
      </w:r>
      <w:r w:rsidR="005B1A6D">
        <w:t>h</w:t>
      </w:r>
      <w:r w:rsidR="00E26907">
        <w:t>ū</w:t>
      </w:r>
      <w:r w:rsidR="005B1A6D">
        <w:t xml:space="preserve"> Hauora on behalf of consumers</w:t>
      </w:r>
      <w:r w:rsidR="00B147B6">
        <w:t>.</w:t>
      </w:r>
    </w:p>
    <w:p w14:paraId="6216D0B9" w14:textId="632C30BF" w:rsidR="00520EC5" w:rsidRDefault="002F082A" w:rsidP="00B73416">
      <w:pPr>
        <w:pStyle w:val="Heading3"/>
        <w:numPr>
          <w:ilvl w:val="0"/>
          <w:numId w:val="0"/>
        </w:numPr>
      </w:pPr>
      <w:r>
        <w:t>9</w:t>
      </w:r>
      <w:r w:rsidR="00B73416">
        <w:t xml:space="preserve">.  </w:t>
      </w:r>
      <w:r w:rsidR="00520EC5">
        <w:t>Karakia and close</w:t>
      </w:r>
    </w:p>
    <w:p w14:paraId="20522CDD" w14:textId="51181847" w:rsidR="00520EC5" w:rsidRDefault="00B147B6" w:rsidP="00520EC5">
      <w:r>
        <w:t xml:space="preserve">After </w:t>
      </w:r>
      <w:r w:rsidR="001D5435">
        <w:t xml:space="preserve">group </w:t>
      </w:r>
      <w:r>
        <w:t xml:space="preserve">photos with Frank, </w:t>
      </w:r>
      <w:r w:rsidR="00CC40D9">
        <w:t>Angie</w:t>
      </w:r>
      <w:r w:rsidR="00A85ADC">
        <w:t xml:space="preserve"> closed with</w:t>
      </w:r>
      <w:r w:rsidR="00435E16">
        <w:t xml:space="preserve"> karakia.</w:t>
      </w:r>
    </w:p>
    <w:p w14:paraId="0B8FE418" w14:textId="77777777" w:rsidR="00520EC5" w:rsidRPr="00AE5203" w:rsidRDefault="00520EC5" w:rsidP="00B1002B">
      <w:pPr>
        <w:pStyle w:val="Heading3"/>
        <w:numPr>
          <w:ilvl w:val="0"/>
          <w:numId w:val="0"/>
        </w:numPr>
        <w:ind w:left="360" w:hanging="360"/>
      </w:pPr>
      <w:r>
        <w:t>Actions list</w:t>
      </w:r>
    </w:p>
    <w:tbl>
      <w:tblPr>
        <w:tblStyle w:val="HQSCdefault"/>
        <w:tblW w:w="5000" w:type="pct"/>
        <w:tblLook w:val="0680" w:firstRow="0" w:lastRow="0" w:firstColumn="1" w:lastColumn="0" w:noHBand="1" w:noVBand="1"/>
      </w:tblPr>
      <w:tblGrid>
        <w:gridCol w:w="1559"/>
        <w:gridCol w:w="4247"/>
        <w:gridCol w:w="3257"/>
      </w:tblGrid>
      <w:tr w:rsidR="00520EC5" w:rsidRPr="005C7770" w14:paraId="059F73DD" w14:textId="77777777" w:rsidTr="00BC4426">
        <w:tc>
          <w:tcPr>
            <w:cnfStyle w:val="001000000000" w:firstRow="0" w:lastRow="0" w:firstColumn="1" w:lastColumn="0" w:oddVBand="0" w:evenVBand="0" w:oddHBand="0" w:evenHBand="0" w:firstRowFirstColumn="0" w:firstRowLastColumn="0" w:lastRowFirstColumn="0" w:lastRowLastColumn="0"/>
            <w:tcW w:w="860" w:type="pct"/>
          </w:tcPr>
          <w:p w14:paraId="2A2E1CF9" w14:textId="77777777" w:rsidR="00520EC5" w:rsidRPr="005C7770" w:rsidRDefault="00520EC5" w:rsidP="00BC4426">
            <w:pPr>
              <w:pStyle w:val="Normalintable"/>
            </w:pPr>
            <w:r>
              <w:t>Date</w:t>
            </w:r>
          </w:p>
        </w:tc>
        <w:tc>
          <w:tcPr>
            <w:tcW w:w="2343" w:type="pct"/>
            <w:shd w:val="clear" w:color="auto" w:fill="F2F2F2" w:themeFill="background1" w:themeFillShade="F2"/>
          </w:tcPr>
          <w:p w14:paraId="461A5566" w14:textId="77777777" w:rsidR="00520EC5" w:rsidRPr="00AE5203" w:rsidRDefault="00520EC5" w:rsidP="00BC4426">
            <w:pPr>
              <w:pStyle w:val="Normalintable"/>
              <w:cnfStyle w:val="000000000000" w:firstRow="0" w:lastRow="0" w:firstColumn="0" w:lastColumn="0" w:oddVBand="0" w:evenVBand="0" w:oddHBand="0" w:evenHBand="0" w:firstRowFirstColumn="0" w:firstRowLastColumn="0" w:lastRowFirstColumn="0" w:lastRowLastColumn="0"/>
              <w:rPr>
                <w:b/>
                <w:bCs/>
              </w:rPr>
            </w:pPr>
            <w:r w:rsidRPr="00AE5203">
              <w:rPr>
                <w:b/>
                <w:bCs/>
              </w:rPr>
              <w:t>Action</w:t>
            </w:r>
          </w:p>
        </w:tc>
        <w:tc>
          <w:tcPr>
            <w:tcW w:w="1797" w:type="pct"/>
            <w:shd w:val="clear" w:color="auto" w:fill="F2F2F2" w:themeFill="background1" w:themeFillShade="F2"/>
          </w:tcPr>
          <w:p w14:paraId="7B4AF4D4" w14:textId="77777777" w:rsidR="00520EC5" w:rsidRPr="00A42B79" w:rsidRDefault="00520EC5" w:rsidP="00BC4426">
            <w:pPr>
              <w:pStyle w:val="Normalintable"/>
              <w:cnfStyle w:val="000000000000" w:firstRow="0" w:lastRow="0" w:firstColumn="0" w:lastColumn="0" w:oddVBand="0" w:evenVBand="0" w:oddHBand="0" w:evenHBand="0" w:firstRowFirstColumn="0" w:firstRowLastColumn="0" w:lastRowFirstColumn="0" w:lastRowLastColumn="0"/>
              <w:rPr>
                <w:b/>
              </w:rPr>
            </w:pPr>
            <w:r>
              <w:rPr>
                <w:b/>
              </w:rPr>
              <w:t>Responsibility</w:t>
            </w:r>
          </w:p>
        </w:tc>
      </w:tr>
      <w:tr w:rsidR="00520EC5" w:rsidRPr="00596D7F" w14:paraId="0E528405" w14:textId="77777777" w:rsidTr="00BC4426">
        <w:tc>
          <w:tcPr>
            <w:cnfStyle w:val="001000000000" w:firstRow="0" w:lastRow="0" w:firstColumn="1" w:lastColumn="0" w:oddVBand="0" w:evenVBand="0" w:oddHBand="0" w:evenHBand="0" w:firstRowFirstColumn="0" w:firstRowLastColumn="0" w:lastRowFirstColumn="0" w:lastRowLastColumn="0"/>
            <w:tcW w:w="860" w:type="pct"/>
            <w:shd w:val="clear" w:color="auto" w:fill="FFFFFF" w:themeFill="background1"/>
          </w:tcPr>
          <w:p w14:paraId="512C88BA" w14:textId="41531A32" w:rsidR="00520EC5" w:rsidRPr="00596D7F" w:rsidRDefault="00801141" w:rsidP="00BC4426">
            <w:pPr>
              <w:pStyle w:val="Normalintable"/>
              <w:rPr>
                <w:b w:val="0"/>
                <w:bCs/>
              </w:rPr>
            </w:pPr>
            <w:r>
              <w:rPr>
                <w:b w:val="0"/>
                <w:bCs/>
              </w:rPr>
              <w:t>7</w:t>
            </w:r>
            <w:r w:rsidR="00710564">
              <w:rPr>
                <w:b w:val="0"/>
                <w:bCs/>
              </w:rPr>
              <w:t xml:space="preserve"> Sept </w:t>
            </w:r>
            <w:r w:rsidR="006C7351">
              <w:rPr>
                <w:b w:val="0"/>
                <w:bCs/>
              </w:rPr>
              <w:t>23</w:t>
            </w:r>
          </w:p>
        </w:tc>
        <w:tc>
          <w:tcPr>
            <w:tcW w:w="2343" w:type="pct"/>
            <w:shd w:val="clear" w:color="auto" w:fill="FFFFFF" w:themeFill="background1"/>
          </w:tcPr>
          <w:p w14:paraId="34861E30" w14:textId="6B1133D9" w:rsidR="00520EC5" w:rsidRPr="00596D7F" w:rsidRDefault="006C7351" w:rsidP="00BC4426">
            <w:pPr>
              <w:pStyle w:val="Normalintable"/>
              <w:cnfStyle w:val="000000000000" w:firstRow="0" w:lastRow="0" w:firstColumn="0" w:lastColumn="0" w:oddVBand="0" w:evenVBand="0" w:oddHBand="0" w:evenHBand="0" w:firstRowFirstColumn="0" w:firstRowLastColumn="0" w:lastRowFirstColumn="0" w:lastRowLastColumn="0"/>
              <w:rPr>
                <w:bCs/>
              </w:rPr>
            </w:pPr>
            <w:r>
              <w:rPr>
                <w:bCs/>
              </w:rPr>
              <w:t xml:space="preserve">Continuing action item </w:t>
            </w:r>
            <w:r w:rsidR="00B55844">
              <w:rPr>
                <w:bCs/>
              </w:rPr>
              <w:t xml:space="preserve">from 4 April - </w:t>
            </w:r>
            <w:r w:rsidRPr="00B55844">
              <w:rPr>
                <w:bCs/>
              </w:rPr>
              <w:t>DJ to extend invitation for visits to localities to promote consumer engagement and the code. This code socialisation is on-going.</w:t>
            </w:r>
          </w:p>
        </w:tc>
        <w:tc>
          <w:tcPr>
            <w:tcW w:w="1797" w:type="pct"/>
            <w:shd w:val="clear" w:color="auto" w:fill="FFFFFF" w:themeFill="background1"/>
          </w:tcPr>
          <w:p w14:paraId="1840F061" w14:textId="0C5B0892" w:rsidR="00520EC5" w:rsidRPr="00596D7F" w:rsidRDefault="00B55844" w:rsidP="00BC4426">
            <w:pPr>
              <w:pStyle w:val="Normalintable"/>
              <w:cnfStyle w:val="000000000000" w:firstRow="0" w:lastRow="0" w:firstColumn="0" w:lastColumn="0" w:oddVBand="0" w:evenVBand="0" w:oddHBand="0" w:evenHBand="0" w:firstRowFirstColumn="0" w:firstRowLastColumn="0" w:lastRowFirstColumn="0" w:lastRowLastColumn="0"/>
              <w:rPr>
                <w:bCs/>
              </w:rPr>
            </w:pPr>
            <w:r>
              <w:rPr>
                <w:bCs/>
              </w:rPr>
              <w:t>DJ</w:t>
            </w:r>
          </w:p>
        </w:tc>
      </w:tr>
    </w:tbl>
    <w:p w14:paraId="210C79E3" w14:textId="77777777" w:rsidR="00520EC5" w:rsidRDefault="00520EC5" w:rsidP="00520EC5"/>
    <w:p w14:paraId="21EFD0A6" w14:textId="15803DB1" w:rsidR="00CC40D9" w:rsidRDefault="00E92ED9" w:rsidP="00520EC5">
      <w:r>
        <w:t>Next hui</w:t>
      </w:r>
      <w:r w:rsidR="001E786B">
        <w:t xml:space="preserve"> – </w:t>
      </w:r>
      <w:r w:rsidR="0006054D">
        <w:t>10 November</w:t>
      </w:r>
      <w:r w:rsidR="001E786B">
        <w:t xml:space="preserve"> via zoom</w:t>
      </w:r>
      <w:r w:rsidR="0006054D">
        <w:t xml:space="preserve"> &amp; then 24 Nov with Board</w:t>
      </w:r>
      <w:r w:rsidR="0055334C">
        <w:t>.</w:t>
      </w:r>
    </w:p>
    <w:p w14:paraId="2CA85B6C" w14:textId="77777777" w:rsidR="0060604F" w:rsidRDefault="0060604F">
      <w:pPr>
        <w:autoSpaceDE/>
        <w:autoSpaceDN/>
        <w:adjustRightInd/>
        <w:spacing w:after="0" w:line="240" w:lineRule="auto"/>
        <w:rPr>
          <w:b/>
          <w:bCs/>
        </w:rPr>
      </w:pPr>
      <w:r>
        <w:rPr>
          <w:b/>
          <w:bCs/>
        </w:rPr>
        <w:br w:type="page"/>
      </w:r>
    </w:p>
    <w:p w14:paraId="708B5E26" w14:textId="4D5E1069" w:rsidR="00CC40D9" w:rsidRPr="0060604F" w:rsidRDefault="002F082A" w:rsidP="00520EC5">
      <w:pPr>
        <w:rPr>
          <w:b/>
          <w:bCs/>
        </w:rPr>
      </w:pPr>
      <w:r w:rsidRPr="0060604F">
        <w:rPr>
          <w:b/>
          <w:bCs/>
        </w:rPr>
        <w:lastRenderedPageBreak/>
        <w:t>Appe</w:t>
      </w:r>
      <w:r w:rsidR="0060604F" w:rsidRPr="0060604F">
        <w:rPr>
          <w:b/>
          <w:bCs/>
        </w:rPr>
        <w:t>n</w:t>
      </w:r>
      <w:r w:rsidRPr="0060604F">
        <w:rPr>
          <w:b/>
          <w:bCs/>
        </w:rPr>
        <w:t>dix 1</w:t>
      </w:r>
    </w:p>
    <w:p w14:paraId="0A807760" w14:textId="24683F86" w:rsidR="00636DAD" w:rsidRPr="00F35D96" w:rsidRDefault="00636DAD" w:rsidP="00636DAD">
      <w:pPr>
        <w:rPr>
          <w:b/>
          <w:bCs/>
          <w:sz w:val="28"/>
          <w:szCs w:val="28"/>
        </w:rPr>
      </w:pPr>
      <w:r w:rsidRPr="00F35D96">
        <w:rPr>
          <w:b/>
          <w:bCs/>
          <w:sz w:val="28"/>
          <w:szCs w:val="28"/>
        </w:rPr>
        <w:t xml:space="preserve">He Hoa Tiaki report </w:t>
      </w:r>
    </w:p>
    <w:p w14:paraId="7D70511F" w14:textId="77777777" w:rsidR="00636DAD" w:rsidRPr="00F35D96" w:rsidRDefault="00636DAD" w:rsidP="00636DAD">
      <w:pPr>
        <w:rPr>
          <w:b/>
          <w:bCs/>
          <w:sz w:val="24"/>
          <w:szCs w:val="24"/>
        </w:rPr>
      </w:pPr>
      <w:r w:rsidRPr="00F35D96">
        <w:rPr>
          <w:b/>
          <w:bCs/>
          <w:sz w:val="24"/>
          <w:szCs w:val="24"/>
        </w:rPr>
        <w:t>7 September 2023</w:t>
      </w:r>
    </w:p>
    <w:p w14:paraId="58E51BC1" w14:textId="77777777" w:rsidR="00636DAD" w:rsidRDefault="00636DAD" w:rsidP="00636DAD">
      <w:r w:rsidRPr="004E4F60">
        <w:t xml:space="preserve">Since we last met in </w:t>
      </w:r>
      <w:r>
        <w:t>Christchurch on 24 May, the team has been busy with post-event wrap-ups, end of year project completions and planning for this financial year. The following are some highlights from the past 3 months:</w:t>
      </w:r>
    </w:p>
    <w:p w14:paraId="6866A0F0" w14:textId="77777777" w:rsidR="00636DAD" w:rsidRDefault="00636DAD" w:rsidP="00636DAD">
      <w:pPr>
        <w:tabs>
          <w:tab w:val="left" w:pos="3225"/>
        </w:tabs>
        <w:rPr>
          <w:b/>
          <w:bCs/>
        </w:rPr>
      </w:pPr>
      <w:r>
        <w:rPr>
          <w:b/>
          <w:bCs/>
        </w:rPr>
        <w:t>Consumer health forum Aotearoa</w:t>
      </w:r>
    </w:p>
    <w:p w14:paraId="4439119F" w14:textId="77777777" w:rsidR="00636DAD" w:rsidRPr="00F80FD3" w:rsidRDefault="00636DAD" w:rsidP="00636DAD">
      <w:pPr>
        <w:tabs>
          <w:tab w:val="left" w:pos="3225"/>
        </w:tabs>
        <w:rPr>
          <w:b/>
          <w:bCs/>
        </w:rPr>
      </w:pPr>
      <w:r w:rsidRPr="00970F8A">
        <w:rPr>
          <w:noProof/>
        </w:rPr>
        <w:drawing>
          <wp:anchor distT="0" distB="0" distL="114300" distR="114300" simplePos="0" relativeHeight="251658243" behindDoc="0" locked="0" layoutInCell="1" allowOverlap="1" wp14:anchorId="4634FC4E" wp14:editId="79C0247C">
            <wp:simplePos x="0" y="0"/>
            <wp:positionH relativeFrom="margin">
              <wp:align>left</wp:align>
            </wp:positionH>
            <wp:positionV relativeFrom="paragraph">
              <wp:posOffset>2255520</wp:posOffset>
            </wp:positionV>
            <wp:extent cx="3214370" cy="2141855"/>
            <wp:effectExtent l="0" t="0" r="5080" b="0"/>
            <wp:wrapThrough wrapText="bothSides">
              <wp:wrapPolygon edited="0">
                <wp:start x="0" y="0"/>
                <wp:lineTo x="0" y="21325"/>
                <wp:lineTo x="21506" y="21325"/>
                <wp:lineTo x="21506" y="0"/>
                <wp:lineTo x="0" y="0"/>
              </wp:wrapPolygon>
            </wp:wrapThrough>
            <wp:docPr id="346419651" name="Picture 346419651" descr="An audience of four hundred people are sitting in the auditorium at Te Pae Christchurch Convention Centre for the Our voices | Ō mātou reo forum. They are listening to Te kāhui mahi ngātahi co-chairs Angie Smith and Russ Aiton as they set the scene for the day. There is blue stage lighting above them and lush and greenery on stage next to the lec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audience of four hundred people are sitting in the auditorium at Te Pae Christchurch Convention Centre for the Our voices | Ō mātou reo forum. They are listening to Te kāhui mahi ngātahi co-chairs Angie Smith and Russ Aiton as they set the scene for the day. There is blue stage lighting above them and lush and greenery on stage next to the lecter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4370" cy="2141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5B449551" wp14:editId="71213065">
            <wp:simplePos x="0" y="0"/>
            <wp:positionH relativeFrom="margin">
              <wp:align>left</wp:align>
            </wp:positionH>
            <wp:positionV relativeFrom="paragraph">
              <wp:posOffset>7620</wp:posOffset>
            </wp:positionV>
            <wp:extent cx="3200400" cy="2133600"/>
            <wp:effectExtent l="0" t="0" r="0" b="0"/>
            <wp:wrapSquare wrapText="bothSides"/>
            <wp:docPr id="7" name="Picture 7" descr="Community panel ‘Out of the box’ facilitated by Arrun Soma. Sitting left to right: Joanne Neilson, Wikitoria Kurene, Lisa Lawrence, Arrun Soma, Jodie Bennett, Vishal Rishi and Jodie Bennett. They are sitting on comfy chairs in a row onstage and looking at each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munity panel ‘Out of the box’ facilitated by Arrun Soma. Sitting left to right: Joanne Neilson, Wikitoria Kurene, Lisa Lawrence, Arrun Soma, Jodie Bennett, Vishal Rishi and Jodie Bennett. They are sitting on comfy chairs in a row onstage and looking at each oth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0400" cy="2133600"/>
                    </a:xfrm>
                    <a:prstGeom prst="rect">
                      <a:avLst/>
                    </a:prstGeom>
                    <a:noFill/>
                    <a:ln>
                      <a:noFill/>
                    </a:ln>
                  </pic:spPr>
                </pic:pic>
              </a:graphicData>
            </a:graphic>
          </wp:anchor>
        </w:drawing>
      </w:r>
      <w:r w:rsidRPr="00970F8A">
        <w:t xml:space="preserve">Our voices: The journey to healthy futures | Ō mātou reo: Te huarahi ki pae ora, </w:t>
      </w:r>
      <w:r>
        <w:t xml:space="preserve">was </w:t>
      </w:r>
      <w:r w:rsidRPr="00970F8A">
        <w:t xml:space="preserve">held on 25 May at Te Pae Christchurch Convention Centre. </w:t>
      </w:r>
      <w:r>
        <w:t>377</w:t>
      </w:r>
      <w:r w:rsidRPr="00970F8A">
        <w:t xml:space="preserve"> participants attended this one-day forum hosted by the consumer engagement team, He Hoa Tiaki | Partners in Care. Participants ranged from consumer and whānau organisations representing a broad range of community interests, to public servants, academics, and health sector staff. Thanks to all </w:t>
      </w:r>
      <w:r>
        <w:t>CAG and network</w:t>
      </w:r>
      <w:r w:rsidRPr="00970F8A">
        <w:t xml:space="preserve"> members for your time, energy, and assistance in making this such a successful event.</w:t>
      </w:r>
    </w:p>
    <w:p w14:paraId="5C65D2F5" w14:textId="77777777" w:rsidR="00636DAD" w:rsidRPr="00970F8A" w:rsidRDefault="00636DAD" w:rsidP="00636DAD">
      <w:r w:rsidRPr="00970F8A">
        <w:t>The</w:t>
      </w:r>
      <w:r>
        <w:t xml:space="preserve"> objec</w:t>
      </w:r>
      <w:r w:rsidRPr="00970F8A">
        <w:t xml:space="preserve">tives of the forum were to learn how consumers and whānau can engage and partner with our health sector to ensure these perspectives are reflected in the design, delivery, and evaluation of health services, to understand what it means to apply Te Tiriti o Waitangi in practice, and to explore what it means to pursue health equity for all. Of those who completed the post-event survey, 91.5 percent agreed (46.8 percent) or strongly agreed (44.7 percent) that the event was of value to them. </w:t>
      </w:r>
    </w:p>
    <w:p w14:paraId="495AE4CF" w14:textId="77777777" w:rsidR="00636DAD" w:rsidRPr="00970F8A" w:rsidRDefault="00636DAD" w:rsidP="00636DAD">
      <w:r w:rsidRPr="00970F8A">
        <w:t xml:space="preserve">A brief news item on this successful forum can be found </w:t>
      </w:r>
      <w:hyperlink r:id="rId16" w:history="1">
        <w:r w:rsidRPr="00970F8A">
          <w:rPr>
            <w:rStyle w:val="Hyperlink"/>
          </w:rPr>
          <w:t>here.</w:t>
        </w:r>
      </w:hyperlink>
    </w:p>
    <w:p w14:paraId="3F08B0F1" w14:textId="77777777" w:rsidR="00636DAD" w:rsidRPr="00970F8A" w:rsidRDefault="00636DAD" w:rsidP="00636DAD">
      <w:r w:rsidRPr="00970F8A">
        <w:t xml:space="preserve">In 2023/24, the next forum (Auckland, May 2024) along with two regional hui will be one of </w:t>
      </w:r>
      <w:r>
        <w:t>the</w:t>
      </w:r>
      <w:r w:rsidRPr="00970F8A">
        <w:t xml:space="preserve"> </w:t>
      </w:r>
      <w:r>
        <w:t xml:space="preserve">statement of performance expectations (our contract with government) </w:t>
      </w:r>
      <w:r w:rsidRPr="00970F8A">
        <w:t xml:space="preserve">deliverable </w:t>
      </w:r>
      <w:r>
        <w:t>For Te Tāhū Hauora</w:t>
      </w:r>
    </w:p>
    <w:p w14:paraId="4B78DBED" w14:textId="77777777" w:rsidR="00636DAD" w:rsidRDefault="00636DAD" w:rsidP="00636DAD">
      <w:pPr>
        <w:rPr>
          <w:b/>
          <w:bCs/>
        </w:rPr>
      </w:pPr>
    </w:p>
    <w:p w14:paraId="7699ECC9" w14:textId="77777777" w:rsidR="00636DAD" w:rsidRPr="00970F8A" w:rsidRDefault="00636DAD" w:rsidP="00636DAD">
      <w:pPr>
        <w:rPr>
          <w:b/>
          <w:bCs/>
        </w:rPr>
      </w:pPr>
    </w:p>
    <w:p w14:paraId="0A1DC51F" w14:textId="77777777" w:rsidR="00636DAD" w:rsidRDefault="00636DAD" w:rsidP="00636DAD">
      <w:pPr>
        <w:rPr>
          <w:b/>
          <w:bCs/>
        </w:rPr>
      </w:pPr>
      <w:r>
        <w:rPr>
          <w:b/>
          <w:bCs/>
        </w:rPr>
        <w:br w:type="page"/>
      </w:r>
    </w:p>
    <w:p w14:paraId="331FF188" w14:textId="77777777" w:rsidR="00636DAD" w:rsidRPr="003E5C86" w:rsidRDefault="00636DAD" w:rsidP="00636DAD">
      <w:pPr>
        <w:rPr>
          <w:b/>
          <w:bCs/>
        </w:rPr>
      </w:pPr>
      <w:r w:rsidRPr="003E5C86">
        <w:rPr>
          <w:b/>
          <w:bCs/>
        </w:rPr>
        <w:lastRenderedPageBreak/>
        <w:t xml:space="preserve">Code implementation guide </w:t>
      </w:r>
    </w:p>
    <w:p w14:paraId="6B81BBE1" w14:textId="77777777" w:rsidR="00636DAD" w:rsidRPr="00EE4868" w:rsidRDefault="00636DAD" w:rsidP="00636DAD">
      <w:r>
        <w:rPr>
          <w:b/>
          <w:bCs/>
          <w:noProof/>
          <w:sz w:val="28"/>
          <w:szCs w:val="28"/>
        </w:rPr>
        <w:drawing>
          <wp:anchor distT="0" distB="0" distL="114300" distR="114300" simplePos="0" relativeHeight="251658241" behindDoc="0" locked="0" layoutInCell="1" allowOverlap="1" wp14:anchorId="214A8915" wp14:editId="5F2BADA9">
            <wp:simplePos x="0" y="0"/>
            <wp:positionH relativeFrom="column">
              <wp:posOffset>0</wp:posOffset>
            </wp:positionH>
            <wp:positionV relativeFrom="paragraph">
              <wp:posOffset>1905</wp:posOffset>
            </wp:positionV>
            <wp:extent cx="3273037" cy="1840676"/>
            <wp:effectExtent l="0" t="0" r="3810" b="7620"/>
            <wp:wrapSquare wrapText="bothSides"/>
            <wp:docPr id="351735099" name="Picture 351735099" descr="This is a multi-coloured image depicting the four main aspects of our implementation guidance: Co-design, Accessibility and Resourcing, Equity and partnership, Lived Exper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735099" name="Picture 351735099" descr="This is a multi-coloured image depicting the four main aspects of our implementation guidance: Co-design, Accessibility and Resourcing, Equity and partnership, Lived Experi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73037" cy="1840676"/>
                    </a:xfrm>
                    <a:prstGeom prst="rect">
                      <a:avLst/>
                    </a:prstGeom>
                    <a:noFill/>
                    <a:ln>
                      <a:noFill/>
                    </a:ln>
                  </pic:spPr>
                </pic:pic>
              </a:graphicData>
            </a:graphic>
          </wp:anchor>
        </w:drawing>
      </w:r>
      <w:r w:rsidRPr="00EE4868">
        <w:t>The implementation guide for the code of expectations for health entities’ engagement with consumers and whānau was released on19 June 2023. This has been developed in partnership with the consumer voice reference group (CV</w:t>
      </w:r>
      <w:r>
        <w:t>F</w:t>
      </w:r>
      <w:r w:rsidRPr="00EE4868">
        <w:t xml:space="preserve">RG). </w:t>
      </w:r>
      <w:r>
        <w:t>This group consists</w:t>
      </w:r>
      <w:r w:rsidRPr="00EE4868">
        <w:t xml:space="preserve"> of consumers and whānau, and the agencies responsible for implementing the code: Te Whatu Ora, Te Aka Whai Ora, New Zealand Blood Service and Pharmac. We also received useful advice from the office of the HDC and Manatū Hauora, as the code monitor. CVFRG</w:t>
      </w:r>
      <w:r>
        <w:t xml:space="preserve"> met regularly throughout the year</w:t>
      </w:r>
      <w:r w:rsidRPr="00EE4868">
        <w:t xml:space="preserve">, and we will continue to provide advice and support towards implementing the code and strengthening the guide </w:t>
      </w:r>
      <w:r>
        <w:t>this year.</w:t>
      </w:r>
      <w:r w:rsidRPr="00EE4868">
        <w:t xml:space="preserve"> </w:t>
      </w:r>
    </w:p>
    <w:p w14:paraId="6B119FE5" w14:textId="4F02E9F3" w:rsidR="00636DAD" w:rsidRPr="00BE66AB" w:rsidRDefault="00636DAD" w:rsidP="00636DAD">
      <w:pPr>
        <w:pStyle w:val="Heading2"/>
        <w:shd w:val="clear" w:color="auto" w:fill="FFFFFF" w:themeFill="background1"/>
        <w:spacing w:before="0" w:after="360"/>
        <w:jc w:val="both"/>
        <w:rPr>
          <w:b w:val="0"/>
          <w:color w:val="auto"/>
          <w:sz w:val="22"/>
          <w:szCs w:val="22"/>
        </w:rPr>
      </w:pPr>
      <w:r>
        <w:rPr>
          <w:color w:val="auto"/>
          <w:sz w:val="22"/>
          <w:szCs w:val="22"/>
        </w:rPr>
        <w:t xml:space="preserve">Additional co-design courses </w:t>
      </w:r>
      <w:r w:rsidR="00EC0C4E">
        <w:rPr>
          <w:color w:val="auto"/>
          <w:sz w:val="22"/>
          <w:szCs w:val="22"/>
        </w:rPr>
        <w:t>completed.</w:t>
      </w:r>
      <w:r>
        <w:rPr>
          <w:color w:val="auto"/>
          <w:sz w:val="22"/>
          <w:szCs w:val="22"/>
        </w:rPr>
        <w:t xml:space="preserve"> </w:t>
      </w:r>
    </w:p>
    <w:p w14:paraId="1E300975" w14:textId="77777777" w:rsidR="00636DAD" w:rsidRPr="00EE4868" w:rsidRDefault="00636DAD" w:rsidP="00636DAD">
      <w:r w:rsidRPr="0029077C">
        <w:rPr>
          <w:noProof/>
        </w:rPr>
        <w:drawing>
          <wp:anchor distT="0" distB="0" distL="114300" distR="114300" simplePos="0" relativeHeight="251658240" behindDoc="0" locked="0" layoutInCell="1" allowOverlap="1" wp14:anchorId="2BA7C400" wp14:editId="5E16F782">
            <wp:simplePos x="0" y="0"/>
            <wp:positionH relativeFrom="column">
              <wp:posOffset>2781300</wp:posOffset>
            </wp:positionH>
            <wp:positionV relativeFrom="paragraph">
              <wp:posOffset>-1905</wp:posOffset>
            </wp:positionV>
            <wp:extent cx="2943225" cy="1972310"/>
            <wp:effectExtent l="0" t="0" r="9525" b="8890"/>
            <wp:wrapSquare wrapText="bothSides"/>
            <wp:docPr id="6" name="Picture 6" descr="Collage of images depicting people either smiling or working in a collaborative manner. Text on images says 'Co-design in health: free e-learning courses available'">
              <a:extLst xmlns:a="http://schemas.openxmlformats.org/drawingml/2006/main">
                <a:ext uri="{FF2B5EF4-FFF2-40B4-BE49-F238E27FC236}">
                  <a16:creationId xmlns:a16="http://schemas.microsoft.com/office/drawing/2014/main" id="{236D1681-1B70-4E50-5CC8-CB86A523D59A}"/>
                </a:ext>
                <a:ext uri="{C183D7F6-B498-43B3-948B-1728B52AA6E4}">
                  <adec:decorative xmlns:adec="http://schemas.microsoft.com/office/drawing/2017/decorative" val="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descr="Collage of images depicting people either smiling or working in a collaborative manner. Text on images says 'Co-design in health: free e-learning courses available'">
                      <a:extLst>
                        <a:ext uri="{FF2B5EF4-FFF2-40B4-BE49-F238E27FC236}">
                          <a16:creationId xmlns:a16="http://schemas.microsoft.com/office/drawing/2014/main" id="{236D1681-1B70-4E50-5CC8-CB86A523D59A}"/>
                        </a:ext>
                        <a:ext uri="{C183D7F6-B498-43B3-948B-1728B52AA6E4}">
                          <adec:decorative xmlns:adec="http://schemas.microsoft.com/office/drawing/2017/decorative" val="0"/>
                        </a:ext>
                      </a:extLst>
                    </pic:cNvPr>
                    <pic:cNvPicPr>
                      <a:picLocks noGrp="1"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943225" cy="1972310"/>
                    </a:xfrm>
                    <a:prstGeom prst="rect">
                      <a:avLst/>
                    </a:prstGeom>
                  </pic:spPr>
                </pic:pic>
              </a:graphicData>
            </a:graphic>
          </wp:anchor>
        </w:drawing>
      </w:r>
      <w:r>
        <w:t xml:space="preserve">The additional courses you’ve been hearing about are published. </w:t>
      </w:r>
      <w:r w:rsidRPr="00502F03">
        <w:t xml:space="preserve">Co-design in health: Supporting consumers, whānau and communities to contribute to co-design, Engaging Pacific consumers in co-design, Engaging Māori consumers in co-design, and Co-design in health: How you can be involved – a guide for consumers, whānau and communities. </w:t>
      </w:r>
      <w:r w:rsidRPr="00330948">
        <w:rPr>
          <w:rFonts w:ascii="Helvetica" w:hAnsi="Helvetica" w:cs="Helvetica"/>
          <w:shd w:val="clear" w:color="auto" w:fill="FFFFFF"/>
        </w:rPr>
        <w:t xml:space="preserve">You can access the co-design in health modules through the Manatū Hauora LearnOnline platform. First-time LearnOnline users will need to create a login. To learn more, please visit our </w:t>
      </w:r>
      <w:hyperlink r:id="rId19" w:history="1">
        <w:r>
          <w:rPr>
            <w:rStyle w:val="Hyperlink"/>
            <w:rFonts w:ascii="Helvetica" w:hAnsi="Helvetica" w:cs="Helvetica"/>
            <w:b/>
            <w:bCs/>
            <w:shd w:val="clear" w:color="auto" w:fill="FFFFFF"/>
          </w:rPr>
          <w:t xml:space="preserve">webpage </w:t>
        </w:r>
      </w:hyperlink>
    </w:p>
    <w:p w14:paraId="33E78B52" w14:textId="77777777" w:rsidR="00636DAD" w:rsidRPr="00502F03" w:rsidRDefault="00636DAD" w:rsidP="00636DAD">
      <w:pPr>
        <w:spacing w:line="240" w:lineRule="auto"/>
      </w:pPr>
      <w:r w:rsidRPr="00502F03">
        <w:t xml:space="preserve">This resource has been </w:t>
      </w:r>
      <w:r>
        <w:t>viewed 1093 times</w:t>
      </w:r>
      <w:r w:rsidRPr="00502F03">
        <w:t xml:space="preserve"> since it launched in October 2022. We currently have a completion rate of</w:t>
      </w:r>
      <w:r>
        <w:t xml:space="preserve"> about</w:t>
      </w:r>
      <w:r w:rsidRPr="00502F03">
        <w:t xml:space="preserve"> 4</w:t>
      </w:r>
      <w:r>
        <w:t>5</w:t>
      </w:r>
      <w:r w:rsidRPr="00502F03">
        <w:t>%</w:t>
      </w:r>
      <w:r>
        <w:t>.</w:t>
      </w:r>
      <w:r w:rsidRPr="00502F03">
        <w:t xml:space="preserve"> </w:t>
      </w:r>
      <w:r>
        <w:t xml:space="preserve">We are looking at how we can improve the completion rate. </w:t>
      </w:r>
    </w:p>
    <w:p w14:paraId="54D89D02" w14:textId="77777777" w:rsidR="00636DAD" w:rsidRDefault="00636DAD" w:rsidP="00636DAD">
      <w:pPr>
        <w:spacing w:after="0"/>
        <w:rPr>
          <w:b/>
          <w:bCs/>
        </w:rPr>
      </w:pPr>
      <w:r w:rsidRPr="00864D40">
        <w:rPr>
          <w:b/>
          <w:bCs/>
        </w:rPr>
        <w:t>Q</w:t>
      </w:r>
      <w:r>
        <w:rPr>
          <w:b/>
          <w:bCs/>
        </w:rPr>
        <w:t>uality and safety marker for consumer and whānau engagement</w:t>
      </w:r>
    </w:p>
    <w:p w14:paraId="150C35DD" w14:textId="77777777" w:rsidR="00636DAD" w:rsidRDefault="00636DAD" w:rsidP="00636DAD">
      <w:pPr>
        <w:spacing w:after="0"/>
        <w:jc w:val="center"/>
      </w:pPr>
    </w:p>
    <w:p w14:paraId="107B147D" w14:textId="77777777" w:rsidR="00636DAD" w:rsidRPr="00864D40" w:rsidRDefault="00636DAD" w:rsidP="00636DAD">
      <w:r w:rsidRPr="00864D40">
        <w:t>Consultation on the consumer and whānau engagement quality and safety marker (QSM) is complete</w:t>
      </w:r>
      <w:r>
        <w:t xml:space="preserve"> and the</w:t>
      </w:r>
      <w:r w:rsidRPr="00864D40">
        <w:t xml:space="preserve"> revised QSM framework </w:t>
      </w:r>
      <w:r>
        <w:t>is now available</w:t>
      </w:r>
      <w:r w:rsidRPr="00864D40">
        <w:t xml:space="preserve">. The revised QSM incorporates the code of expectations, and Te Tiriti o Waitangi implementation guidance previously developed by Kōtuinga Kiritaki and the original QSM reference group. We will be working closely with Manatū Hauora </w:t>
      </w:r>
      <w:r>
        <w:t>to</w:t>
      </w:r>
      <w:r w:rsidRPr="00864D40">
        <w:t xml:space="preserve"> support them as the code of expectations monitor</w:t>
      </w:r>
      <w:r>
        <w:t xml:space="preserve">. This support includes </w:t>
      </w:r>
      <w:r w:rsidRPr="00864D40">
        <w:t>the use of th</w:t>
      </w:r>
      <w:r>
        <w:t>e revised</w:t>
      </w:r>
      <w:r w:rsidRPr="00864D40">
        <w:t xml:space="preserve"> QSM to monitor progress. The framework can be viewed in PDF or MS word formats </w:t>
      </w:r>
      <w:hyperlink r:id="rId20" w:history="1">
        <w:r w:rsidRPr="00864D40">
          <w:rPr>
            <w:rStyle w:val="Hyperlink"/>
          </w:rPr>
          <w:t>here</w:t>
        </w:r>
      </w:hyperlink>
      <w:r w:rsidRPr="00864D40">
        <w:t>.</w:t>
      </w:r>
      <w:r w:rsidRPr="00D6769D">
        <w:t xml:space="preserve"> </w:t>
      </w:r>
      <w:r>
        <w:t xml:space="preserve">The first reporting against the code is due at </w:t>
      </w:r>
      <w:r w:rsidRPr="0087683E">
        <w:t>the end of quarter one</w:t>
      </w:r>
      <w:r>
        <w:t>, 31 September</w:t>
      </w:r>
      <w:r w:rsidRPr="0087683E">
        <w:t xml:space="preserve">. We will be working closely with Manatū Hauora </w:t>
      </w:r>
      <w:r>
        <w:t>and supporting them</w:t>
      </w:r>
      <w:r w:rsidRPr="0087683E">
        <w:t xml:space="preserve"> as the code of expectations monitor, including the use of this QSM to monitor progress</w:t>
      </w:r>
      <w:r>
        <w:t>.</w:t>
      </w:r>
    </w:p>
    <w:p w14:paraId="7CF5A4C3" w14:textId="77777777" w:rsidR="00462299" w:rsidRDefault="00462299" w:rsidP="00636DAD">
      <w:pPr>
        <w:rPr>
          <w:b/>
          <w:bCs/>
        </w:rPr>
      </w:pPr>
    </w:p>
    <w:p w14:paraId="0D77373B" w14:textId="77777777" w:rsidR="00462299" w:rsidRDefault="00462299" w:rsidP="00636DAD">
      <w:pPr>
        <w:rPr>
          <w:b/>
          <w:bCs/>
        </w:rPr>
      </w:pPr>
    </w:p>
    <w:p w14:paraId="5CCDB189" w14:textId="76BEB6C9" w:rsidR="00636DAD" w:rsidRPr="000A02A6" w:rsidRDefault="00636DAD" w:rsidP="00636DAD">
      <w:r w:rsidRPr="00A052E1">
        <w:rPr>
          <w:b/>
          <w:bCs/>
        </w:rPr>
        <w:lastRenderedPageBreak/>
        <w:t>Consumer health forum events</w:t>
      </w:r>
      <w:r>
        <w:rPr>
          <w:b/>
          <w:bCs/>
        </w:rPr>
        <w:t xml:space="preserve"> 2023-24</w:t>
      </w:r>
    </w:p>
    <w:p w14:paraId="5A20C277" w14:textId="77777777" w:rsidR="00636DAD" w:rsidRDefault="00636DAD" w:rsidP="00636DAD">
      <w:r>
        <w:t>Three events are planned this year for the consumer health forum Aotearoa. There will be two regional workshops and one national forum on 15 May 2024 in Auckland. The regional events will likely include a workshop on the Health and Disability Commissioner’s Code of Rights. This collaboration also presents an opportunity to demonstrate the different but complementary purposes of the two codes. Events will be deliberately aimed at, and designed with, communities who experience inequities including Māori, Pacific, and disabled people.</w:t>
      </w:r>
    </w:p>
    <w:p w14:paraId="35D12613" w14:textId="77777777" w:rsidR="00636DAD" w:rsidRDefault="00636DAD" w:rsidP="00636DAD">
      <w:r w:rsidRPr="006E79D2">
        <w:rPr>
          <w:b/>
          <w:bCs/>
        </w:rPr>
        <w:t xml:space="preserve">Ngā pae </w:t>
      </w:r>
      <w:r>
        <w:rPr>
          <w:b/>
          <w:bCs/>
        </w:rPr>
        <w:t>hiranga</w:t>
      </w:r>
      <w:r>
        <w:t xml:space="preserve"> </w:t>
      </w:r>
    </w:p>
    <w:p w14:paraId="33AE6E63" w14:textId="77777777" w:rsidR="00636DAD" w:rsidRDefault="00636DAD" w:rsidP="00636DAD">
      <w:r>
        <w:t xml:space="preserve">Work is underway to develop resources based on health sector need through a prioritisation process. Resources include a consumer leadership and capability ‘toolkit’ and another toolkit focused on how to develop expressions of interest, how to resource, and how to support consumers appropriately. These activities will strengthen our role in offering training and advice. </w:t>
      </w:r>
      <w:r w:rsidRPr="65DA57E5">
        <w:t xml:space="preserve">Updating and </w:t>
      </w:r>
      <w:r w:rsidRPr="60D7588F">
        <w:t xml:space="preserve">expansion of the </w:t>
      </w:r>
      <w:r w:rsidRPr="35652C8E">
        <w:t>code</w:t>
      </w:r>
      <w:r w:rsidRPr="34A621D2">
        <w:t xml:space="preserve"> implementation guide </w:t>
      </w:r>
      <w:r w:rsidRPr="300F5571">
        <w:t>is another key sector resource</w:t>
      </w:r>
      <w:r w:rsidRPr="27E84F0B">
        <w:t xml:space="preserve"> and planned</w:t>
      </w:r>
      <w:r w:rsidRPr="03A01831">
        <w:t xml:space="preserve"> activity for </w:t>
      </w:r>
      <w:r w:rsidRPr="46C84406">
        <w:t>2023/24.</w:t>
      </w:r>
    </w:p>
    <w:p w14:paraId="45CD8A61" w14:textId="77777777" w:rsidR="00636DAD" w:rsidRPr="0004409C" w:rsidRDefault="00636DAD" w:rsidP="00636DAD">
      <w:pPr>
        <w:rPr>
          <w:b/>
          <w:bCs/>
        </w:rPr>
      </w:pPr>
      <w:r w:rsidRPr="0004409C">
        <w:rPr>
          <w:b/>
          <w:bCs/>
        </w:rPr>
        <w:t>Engagements</w:t>
      </w:r>
    </w:p>
    <w:p w14:paraId="794290D6" w14:textId="77777777" w:rsidR="00636DAD" w:rsidRPr="0004409C" w:rsidRDefault="00636DAD" w:rsidP="00636DAD">
      <w:r w:rsidRPr="0004409C">
        <w:t xml:space="preserve">The team were involved in over 237 engagements in quarter 4 and are tracking a similar number so far, this financial year. Of note: </w:t>
      </w:r>
    </w:p>
    <w:p w14:paraId="09BB6DA3" w14:textId="77777777" w:rsidR="00636DAD" w:rsidRPr="0004409C" w:rsidRDefault="00636DAD" w:rsidP="00636DAD">
      <w:pPr>
        <w:pStyle w:val="ListParagraph"/>
        <w:numPr>
          <w:ilvl w:val="0"/>
          <w:numId w:val="27"/>
        </w:numPr>
        <w:autoSpaceDE/>
        <w:autoSpaceDN/>
        <w:adjustRightInd/>
        <w:spacing w:after="160" w:line="259" w:lineRule="auto"/>
      </w:pPr>
      <w:r w:rsidRPr="0004409C">
        <w:t>We have had a few opportunities this quarter to continue working with the Consumer Engagement and Whānau Voice team at Te Whatu Ora. These engagements have centred around our code implementation guide, the consumer council chairs group, and working towards a national consumer remuneration policy for Te Whatu Ora.</w:t>
      </w:r>
    </w:p>
    <w:p w14:paraId="7669BE7C" w14:textId="7D1EB683" w:rsidR="00636DAD" w:rsidRPr="0004409C" w:rsidRDefault="00636DAD" w:rsidP="00636DAD">
      <w:pPr>
        <w:rPr>
          <w:b/>
          <w:bCs/>
          <w:sz w:val="28"/>
          <w:szCs w:val="28"/>
        </w:rPr>
      </w:pPr>
      <w:r w:rsidRPr="0004409C">
        <w:t xml:space="preserve">There have been </w:t>
      </w:r>
      <w:r w:rsidR="0094715A" w:rsidRPr="0004409C">
        <w:t>several</w:t>
      </w:r>
      <w:r w:rsidRPr="0004409C">
        <w:t xml:space="preserve"> engagements relating to support for entities in implementing the code and reporting requirements, including a presentation by Deon to the Pharmac Board and meetings with staff from Pharmac and the NZ Blood service by members of the team.</w:t>
      </w:r>
    </w:p>
    <w:p w14:paraId="51BD84B2" w14:textId="77777777" w:rsidR="00636DAD" w:rsidRPr="0004409C" w:rsidRDefault="00636DAD" w:rsidP="00636DAD">
      <w:pPr>
        <w:pStyle w:val="ListParagraph"/>
        <w:numPr>
          <w:ilvl w:val="0"/>
          <w:numId w:val="27"/>
        </w:numPr>
        <w:autoSpaceDE/>
        <w:autoSpaceDN/>
        <w:adjustRightInd/>
        <w:spacing w:after="160" w:line="259" w:lineRule="auto"/>
        <w:rPr>
          <w:b/>
          <w:bCs/>
          <w:sz w:val="28"/>
          <w:szCs w:val="28"/>
        </w:rPr>
      </w:pPr>
      <w:r w:rsidRPr="0004409C">
        <w:t xml:space="preserve">Deon met with Tania Pritchard, the new whānau voice lead for consumer engagement at Te Aka Whai Ora. </w:t>
      </w:r>
    </w:p>
    <w:p w14:paraId="6E987EFF" w14:textId="77777777" w:rsidR="00636DAD" w:rsidRPr="0004409C" w:rsidRDefault="00636DAD" w:rsidP="00636DAD">
      <w:pPr>
        <w:pStyle w:val="ListParagraph"/>
        <w:numPr>
          <w:ilvl w:val="0"/>
          <w:numId w:val="27"/>
        </w:numPr>
        <w:autoSpaceDE/>
        <w:autoSpaceDN/>
        <w:adjustRightInd/>
        <w:spacing w:after="160" w:line="259" w:lineRule="auto"/>
        <w:rPr>
          <w:b/>
          <w:bCs/>
          <w:sz w:val="28"/>
          <w:szCs w:val="28"/>
        </w:rPr>
      </w:pPr>
      <w:r w:rsidRPr="0004409C">
        <w:rPr>
          <w:lang w:val="mi-NZ"/>
        </w:rPr>
        <w:t>DJ and LJ attended Tītoki Mataora – HealthTech Week, 26-29 June in Tāmaki Makaurau.</w:t>
      </w:r>
    </w:p>
    <w:p w14:paraId="6B4CF0C6" w14:textId="77777777" w:rsidR="00636DAD" w:rsidRPr="00934DCB" w:rsidRDefault="00636DAD" w:rsidP="00636DAD">
      <w:pPr>
        <w:pStyle w:val="ListParagraph"/>
        <w:numPr>
          <w:ilvl w:val="0"/>
          <w:numId w:val="27"/>
        </w:numPr>
        <w:autoSpaceDE/>
        <w:autoSpaceDN/>
        <w:adjustRightInd/>
        <w:spacing w:after="160" w:line="259" w:lineRule="auto"/>
        <w:rPr>
          <w:b/>
          <w:bCs/>
          <w:sz w:val="28"/>
          <w:szCs w:val="28"/>
        </w:rPr>
      </w:pPr>
      <w:r w:rsidRPr="0004409C">
        <w:rPr>
          <w:lang w:val="mi-NZ"/>
        </w:rPr>
        <w:t>Deon, Lauagaia and LJ presented on the Code of expectations to Pacific Mental Health Services. Presentations were provided to Takanga A Fohe (Isalei Clinical, Malaga Cultural and Avatea Child &amp; Adolescent teams) and Tupu – Regional Addiction services in Auckland</w:t>
      </w:r>
    </w:p>
    <w:p w14:paraId="01BDCAC1" w14:textId="77777777" w:rsidR="00636DAD" w:rsidRPr="00934DCB" w:rsidRDefault="00636DAD" w:rsidP="00636DAD">
      <w:pPr>
        <w:pStyle w:val="ListParagraph"/>
        <w:numPr>
          <w:ilvl w:val="0"/>
          <w:numId w:val="27"/>
        </w:numPr>
        <w:autoSpaceDE/>
        <w:autoSpaceDN/>
        <w:adjustRightInd/>
        <w:spacing w:after="160" w:line="259" w:lineRule="auto"/>
        <w:rPr>
          <w:b/>
          <w:bCs/>
          <w:sz w:val="28"/>
          <w:szCs w:val="28"/>
        </w:rPr>
      </w:pPr>
      <w:r w:rsidRPr="00934DCB">
        <w:rPr>
          <w:lang w:val="mi-NZ"/>
        </w:rPr>
        <w:t xml:space="preserve">DJ and Lauagaia hosted a wānanga at Owae Marae, Waitara for the development of a framework and guide for commissioning of photgraphic images for our library. </w:t>
      </w:r>
    </w:p>
    <w:p w14:paraId="6917F41A" w14:textId="77777777" w:rsidR="00636DAD" w:rsidRPr="00351CEC" w:rsidRDefault="00636DAD" w:rsidP="00636DAD">
      <w:pPr>
        <w:rPr>
          <w:b/>
          <w:bCs/>
        </w:rPr>
      </w:pPr>
      <w:r>
        <w:rPr>
          <w:b/>
          <w:bCs/>
        </w:rPr>
        <w:t>Website views</w:t>
      </w:r>
    </w:p>
    <w:p w14:paraId="56FC66CF" w14:textId="77777777" w:rsidR="00636DAD" w:rsidRDefault="00636DAD" w:rsidP="00636DAD">
      <w:r w:rsidRPr="7CEDD8F6">
        <w:t xml:space="preserve">The code of expectations </w:t>
      </w:r>
      <w:hyperlink r:id="rId21">
        <w:r w:rsidRPr="7CEDD8F6">
          <w:rPr>
            <w:rStyle w:val="Hyperlink"/>
          </w:rPr>
          <w:t>page</w:t>
        </w:r>
      </w:hyperlink>
      <w:r>
        <w:t xml:space="preserve"> has been viewed 1653 times this quarter compared with 1464 times in Q3, 3641 in Q1 and 1628 in Q2. </w:t>
      </w:r>
    </w:p>
    <w:p w14:paraId="2C00EA1E" w14:textId="77777777" w:rsidR="00636DAD" w:rsidRDefault="00636DAD" w:rsidP="00636DAD">
      <w:r w:rsidRPr="19B190D0">
        <w:t xml:space="preserve">The code of expectations implementation </w:t>
      </w:r>
      <w:r w:rsidRPr="151AC46F">
        <w:t>guide landing page</w:t>
      </w:r>
      <w:r w:rsidRPr="0F471142">
        <w:t xml:space="preserve"> has had 1,650 </w:t>
      </w:r>
      <w:r w:rsidRPr="60AB2556">
        <w:t xml:space="preserve">views since its </w:t>
      </w:r>
      <w:r w:rsidRPr="39981827">
        <w:t>launch end June</w:t>
      </w:r>
      <w:r w:rsidRPr="4E694F00">
        <w:t>.</w:t>
      </w:r>
    </w:p>
    <w:p w14:paraId="3A224F59" w14:textId="77777777" w:rsidR="00636DAD" w:rsidRDefault="00636DAD" w:rsidP="00636DAD">
      <w:pPr>
        <w:spacing w:line="240" w:lineRule="auto"/>
        <w:rPr>
          <w:rStyle w:val="ui-provider"/>
        </w:rPr>
      </w:pPr>
      <w:r w:rsidRPr="00647CA4">
        <w:rPr>
          <w:rStyle w:val="ui-provider"/>
        </w:rPr>
        <w:t xml:space="preserve">The </w:t>
      </w:r>
      <w:r>
        <w:rPr>
          <w:rStyle w:val="ui-provider"/>
        </w:rPr>
        <w:t>n</w:t>
      </w:r>
      <w:r w:rsidRPr="00647CA4">
        <w:rPr>
          <w:rStyle w:val="ui-provider"/>
        </w:rPr>
        <w:t xml:space="preserve">gā </w:t>
      </w:r>
      <w:r>
        <w:rPr>
          <w:rStyle w:val="ui-provider"/>
        </w:rPr>
        <w:t>p</w:t>
      </w:r>
      <w:r w:rsidRPr="00647CA4">
        <w:rPr>
          <w:rStyle w:val="ui-provider"/>
        </w:rPr>
        <w:t xml:space="preserve">ae </w:t>
      </w:r>
      <w:r>
        <w:rPr>
          <w:rStyle w:val="ui-provider"/>
        </w:rPr>
        <w:t>h</w:t>
      </w:r>
      <w:r w:rsidRPr="00647CA4">
        <w:rPr>
          <w:rStyle w:val="ui-provider"/>
        </w:rPr>
        <w:t xml:space="preserve">iranga consumer hub landing </w:t>
      </w:r>
      <w:hyperlink r:id="rId22" w:history="1">
        <w:r w:rsidRPr="00647CA4">
          <w:rPr>
            <w:rStyle w:val="Hyperlink"/>
          </w:rPr>
          <w:t>page</w:t>
        </w:r>
      </w:hyperlink>
      <w:r>
        <w:rPr>
          <w:rStyle w:val="ui-provider"/>
          <w:b/>
          <w:bCs/>
        </w:rPr>
        <w:t xml:space="preserve"> </w:t>
      </w:r>
      <w:r w:rsidRPr="008309A2">
        <w:rPr>
          <w:rStyle w:val="ui-provider"/>
        </w:rPr>
        <w:t xml:space="preserve">had </w:t>
      </w:r>
      <w:r>
        <w:rPr>
          <w:rStyle w:val="ui-provider"/>
        </w:rPr>
        <w:t xml:space="preserve">1694 page views compared with </w:t>
      </w:r>
      <w:r w:rsidRPr="008309A2">
        <w:rPr>
          <w:rStyle w:val="ui-provider"/>
        </w:rPr>
        <w:t>2,030 page views</w:t>
      </w:r>
      <w:r>
        <w:rPr>
          <w:rStyle w:val="ui-provider"/>
        </w:rPr>
        <w:t xml:space="preserve"> </w:t>
      </w:r>
      <w:r w:rsidRPr="008309A2">
        <w:rPr>
          <w:rStyle w:val="ui-provider"/>
        </w:rPr>
        <w:t xml:space="preserve">in </w:t>
      </w:r>
      <w:r>
        <w:rPr>
          <w:rStyle w:val="ui-provider"/>
        </w:rPr>
        <w:t>Q</w:t>
      </w:r>
      <w:r w:rsidRPr="008309A2">
        <w:rPr>
          <w:rStyle w:val="ui-provider"/>
        </w:rPr>
        <w:t>3</w:t>
      </w:r>
      <w:r>
        <w:rPr>
          <w:rStyle w:val="ui-provider"/>
        </w:rPr>
        <w:t xml:space="preserve">, </w:t>
      </w:r>
      <w:r w:rsidRPr="008309A2">
        <w:rPr>
          <w:rStyle w:val="ui-provider"/>
        </w:rPr>
        <w:t>1,761 page views</w:t>
      </w:r>
      <w:r>
        <w:rPr>
          <w:rStyle w:val="ui-provider"/>
        </w:rPr>
        <w:t xml:space="preserve"> Q</w:t>
      </w:r>
      <w:r w:rsidRPr="008309A2">
        <w:rPr>
          <w:rStyle w:val="ui-provider"/>
        </w:rPr>
        <w:t xml:space="preserve">2 and 2,036 page views </w:t>
      </w:r>
      <w:r>
        <w:rPr>
          <w:rStyle w:val="ui-provider"/>
        </w:rPr>
        <w:t>in Q</w:t>
      </w:r>
      <w:r w:rsidRPr="008309A2">
        <w:rPr>
          <w:rStyle w:val="ui-provider"/>
        </w:rPr>
        <w:t xml:space="preserve">1. </w:t>
      </w:r>
    </w:p>
    <w:p w14:paraId="514AE9FD" w14:textId="77777777" w:rsidR="00636DAD" w:rsidRPr="006A4D40" w:rsidRDefault="00636DAD" w:rsidP="00636DAD">
      <w:pPr>
        <w:spacing w:line="240" w:lineRule="auto"/>
        <w:rPr>
          <w:rStyle w:val="ui-provider"/>
        </w:rPr>
      </w:pPr>
      <w:r>
        <w:rPr>
          <w:rStyle w:val="ui-provider"/>
        </w:rPr>
        <w:t>Forum</w:t>
      </w:r>
      <w:r w:rsidRPr="006A4D40">
        <w:rPr>
          <w:rStyle w:val="ui-provider"/>
        </w:rPr>
        <w:t xml:space="preserve"> opportunities (expressions of interest) </w:t>
      </w:r>
      <w:hyperlink r:id="rId23" w:history="1">
        <w:r w:rsidRPr="0074532A">
          <w:rPr>
            <w:rStyle w:val="Hyperlink"/>
          </w:rPr>
          <w:t>page</w:t>
        </w:r>
      </w:hyperlink>
      <w:r w:rsidRPr="006A4D40">
        <w:rPr>
          <w:rStyle w:val="ui-provider"/>
        </w:rPr>
        <w:t xml:space="preserve"> had </w:t>
      </w:r>
      <w:r>
        <w:rPr>
          <w:rStyle w:val="ui-provider"/>
        </w:rPr>
        <w:t xml:space="preserve">874 views compared with </w:t>
      </w:r>
      <w:r w:rsidRPr="006A4D40">
        <w:rPr>
          <w:rStyle w:val="ui-provider"/>
        </w:rPr>
        <w:t>934 page views</w:t>
      </w:r>
      <w:r>
        <w:rPr>
          <w:rStyle w:val="ui-provider"/>
        </w:rPr>
        <w:t xml:space="preserve">, </w:t>
      </w:r>
      <w:r w:rsidRPr="006A4D40">
        <w:rPr>
          <w:rStyle w:val="ui-provider"/>
        </w:rPr>
        <w:t xml:space="preserve">1,035 page views </w:t>
      </w:r>
      <w:r>
        <w:rPr>
          <w:rStyle w:val="ui-provider"/>
        </w:rPr>
        <w:t>Q</w:t>
      </w:r>
      <w:r w:rsidRPr="006A4D40">
        <w:rPr>
          <w:rStyle w:val="ui-provider"/>
        </w:rPr>
        <w:t xml:space="preserve">2 and 213 page views in </w:t>
      </w:r>
      <w:r>
        <w:rPr>
          <w:rStyle w:val="ui-provider"/>
        </w:rPr>
        <w:t>Q</w:t>
      </w:r>
      <w:r w:rsidRPr="006A4D40">
        <w:rPr>
          <w:rStyle w:val="ui-provider"/>
        </w:rPr>
        <w:t xml:space="preserve">1. </w:t>
      </w:r>
    </w:p>
    <w:p w14:paraId="41FF74E3" w14:textId="77777777" w:rsidR="00636DAD" w:rsidRPr="00342387" w:rsidRDefault="00636DAD" w:rsidP="00636DAD">
      <w:pPr>
        <w:spacing w:before="240"/>
      </w:pPr>
      <w:r w:rsidRPr="00342387">
        <w:lastRenderedPageBreak/>
        <w:t>Below are</w:t>
      </w:r>
      <w:r>
        <w:t xml:space="preserve"> the</w:t>
      </w:r>
      <w:r w:rsidRPr="00342387">
        <w:t xml:space="preserve"> stats</w:t>
      </w:r>
      <w:r>
        <w:t xml:space="preserve"> showing</w:t>
      </w:r>
      <w:r w:rsidRPr="00342387">
        <w:t xml:space="preserve"> the </w:t>
      </w:r>
      <w:r>
        <w:t>c</w:t>
      </w:r>
      <w:r w:rsidRPr="00342387">
        <w:t>onsumer health forum</w:t>
      </w:r>
      <w:r>
        <w:t xml:space="preserve"> membership and ethnicity breakdowns for 2022/23 (by quarter). Note that the </w:t>
      </w:r>
      <w:r w:rsidRPr="00342387">
        <w:t>membership numbers have grown,</w:t>
      </w:r>
      <w:r>
        <w:t xml:space="preserve"> and this is encouraging.</w:t>
      </w:r>
      <w:r w:rsidRPr="00342387">
        <w:t xml:space="preserve"> We are </w:t>
      </w:r>
      <w:r>
        <w:t>now planning</w:t>
      </w:r>
      <w:r w:rsidRPr="00342387">
        <w:t xml:space="preserve"> to target membership</w:t>
      </w:r>
      <w:r>
        <w:t xml:space="preserve"> growth</w:t>
      </w:r>
      <w:r w:rsidRPr="00342387">
        <w:t xml:space="preserve"> in underrepresented and priority areas</w:t>
      </w:r>
      <w:r>
        <w:t xml:space="preserve"> with an aim to reach 1,000 members by 31 March 2024.</w:t>
      </w:r>
    </w:p>
    <w:p w14:paraId="00340A7A" w14:textId="77777777" w:rsidR="00636DAD" w:rsidRPr="00D47F6D" w:rsidRDefault="00636DAD" w:rsidP="00636DAD">
      <w:pPr>
        <w:rPr>
          <w:b/>
          <w:bCs/>
        </w:rPr>
      </w:pPr>
      <w:r w:rsidRPr="00D47F6D">
        <w:rPr>
          <w:b/>
          <w:bCs/>
        </w:rPr>
        <w:t>Consumer health forum Aotearoa</w:t>
      </w:r>
    </w:p>
    <w:p w14:paraId="168B0834" w14:textId="49BE4F62" w:rsidR="00636DAD" w:rsidRDefault="00636DAD" w:rsidP="00636DAD">
      <w:pPr>
        <w:rPr>
          <w:sz w:val="24"/>
          <w:szCs w:val="24"/>
        </w:rPr>
      </w:pPr>
      <w:r w:rsidRPr="00D47F6D">
        <w:t>Membership statistics</w:t>
      </w:r>
    </w:p>
    <w:tbl>
      <w:tblPr>
        <w:tblStyle w:val="PlainTable1"/>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792"/>
        <w:gridCol w:w="923"/>
        <w:gridCol w:w="789"/>
        <w:gridCol w:w="925"/>
        <w:gridCol w:w="786"/>
        <w:gridCol w:w="929"/>
        <w:gridCol w:w="782"/>
        <w:gridCol w:w="932"/>
      </w:tblGrid>
      <w:tr w:rsidR="00636DAD" w:rsidRPr="00BB33CA" w14:paraId="5C100D7A" w14:textId="77777777" w:rsidTr="00BC4426">
        <w:trPr>
          <w:cnfStyle w:val="100000000000" w:firstRow="1" w:lastRow="0" w:firstColumn="0" w:lastColumn="0" w:oddVBand="0" w:evenVBand="0" w:oddHBand="0"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1212" w:type="pct"/>
            <w:vMerge w:val="restart"/>
            <w:shd w:val="clear" w:color="auto" w:fill="FFFFFF" w:themeFill="background1"/>
            <w:vAlign w:val="center"/>
          </w:tcPr>
          <w:p w14:paraId="6EC66B9C" w14:textId="77777777" w:rsidR="00636DAD" w:rsidRPr="005439AB" w:rsidRDefault="00636DAD" w:rsidP="00BC4426">
            <w:pPr>
              <w:spacing w:line="257" w:lineRule="auto"/>
              <w:rPr>
                <w:bCs w:val="0"/>
                <w:lang w:val="en-NZ"/>
              </w:rPr>
            </w:pPr>
            <w:r w:rsidRPr="005439AB">
              <w:rPr>
                <w:bCs w:val="0"/>
                <w:lang w:val="en-NZ"/>
              </w:rPr>
              <w:t>Membership stats by ethnicity</w:t>
            </w:r>
          </w:p>
        </w:tc>
        <w:tc>
          <w:tcPr>
            <w:tcW w:w="947" w:type="pct"/>
            <w:gridSpan w:val="2"/>
            <w:shd w:val="clear" w:color="auto" w:fill="37B0A8"/>
            <w:vAlign w:val="center"/>
          </w:tcPr>
          <w:p w14:paraId="4D1B2CC4" w14:textId="77777777" w:rsidR="00636DAD" w:rsidRPr="00382988" w:rsidRDefault="00636DAD" w:rsidP="00BC4426">
            <w:pPr>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themeColor="text1"/>
                <w:sz w:val="16"/>
                <w:szCs w:val="16"/>
              </w:rPr>
            </w:pPr>
            <w:r w:rsidRPr="00992EE3">
              <w:rPr>
                <w:rFonts w:eastAsia="Calibri"/>
                <w:color w:val="000000" w:themeColor="text1"/>
              </w:rPr>
              <w:t>Quarter 1</w:t>
            </w:r>
          </w:p>
        </w:tc>
        <w:tc>
          <w:tcPr>
            <w:tcW w:w="947" w:type="pct"/>
            <w:gridSpan w:val="2"/>
            <w:shd w:val="clear" w:color="auto" w:fill="BB7CB3"/>
            <w:vAlign w:val="center"/>
          </w:tcPr>
          <w:p w14:paraId="26914707" w14:textId="77777777" w:rsidR="00636DAD" w:rsidRPr="00382988" w:rsidRDefault="00636DAD" w:rsidP="00BC4426">
            <w:pPr>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themeColor="text1"/>
                <w:sz w:val="16"/>
                <w:szCs w:val="16"/>
              </w:rPr>
            </w:pPr>
            <w:r w:rsidRPr="00992EE3">
              <w:rPr>
                <w:rFonts w:eastAsia="Calibri"/>
                <w:color w:val="000000" w:themeColor="text1"/>
              </w:rPr>
              <w:t>Quarter 2</w:t>
            </w:r>
          </w:p>
        </w:tc>
        <w:tc>
          <w:tcPr>
            <w:tcW w:w="947" w:type="pct"/>
            <w:gridSpan w:val="2"/>
            <w:shd w:val="clear" w:color="auto" w:fill="37B0A8"/>
            <w:vAlign w:val="center"/>
          </w:tcPr>
          <w:p w14:paraId="2E5E99A2" w14:textId="77777777" w:rsidR="00636DAD" w:rsidRPr="00382988" w:rsidRDefault="00636DAD" w:rsidP="00BC4426">
            <w:pPr>
              <w:jc w:val="center"/>
              <w:cnfStyle w:val="100000000000" w:firstRow="1" w:lastRow="0" w:firstColumn="0" w:lastColumn="0" w:oddVBand="0" w:evenVBand="0" w:oddHBand="0" w:evenHBand="0" w:firstRowFirstColumn="0" w:firstRowLastColumn="0" w:lastRowFirstColumn="0" w:lastRowLastColumn="0"/>
              <w:rPr>
                <w:rFonts w:eastAsia="Calibri"/>
                <w:color w:val="000000" w:themeColor="text1"/>
                <w:sz w:val="16"/>
                <w:szCs w:val="16"/>
              </w:rPr>
            </w:pPr>
            <w:r w:rsidRPr="00992EE3">
              <w:rPr>
                <w:rFonts w:eastAsia="Calibri"/>
                <w:color w:val="000000" w:themeColor="text1"/>
              </w:rPr>
              <w:t xml:space="preserve">Quarter </w:t>
            </w:r>
            <w:r>
              <w:rPr>
                <w:rFonts w:eastAsia="Calibri"/>
                <w:color w:val="000000" w:themeColor="text1"/>
              </w:rPr>
              <w:t>3</w:t>
            </w:r>
          </w:p>
        </w:tc>
        <w:tc>
          <w:tcPr>
            <w:tcW w:w="947" w:type="pct"/>
            <w:gridSpan w:val="2"/>
            <w:shd w:val="clear" w:color="auto" w:fill="BB7CB3"/>
            <w:vAlign w:val="center"/>
          </w:tcPr>
          <w:p w14:paraId="7E389744" w14:textId="77777777" w:rsidR="00636DAD" w:rsidRPr="00382988" w:rsidRDefault="00636DAD" w:rsidP="00BC4426">
            <w:pPr>
              <w:jc w:val="center"/>
              <w:cnfStyle w:val="100000000000" w:firstRow="1" w:lastRow="0" w:firstColumn="0" w:lastColumn="0" w:oddVBand="0" w:evenVBand="0" w:oddHBand="0" w:evenHBand="0" w:firstRowFirstColumn="0" w:firstRowLastColumn="0" w:lastRowFirstColumn="0" w:lastRowLastColumn="0"/>
              <w:rPr>
                <w:rFonts w:eastAsia="Calibri"/>
                <w:color w:val="000000" w:themeColor="text1"/>
                <w:sz w:val="16"/>
                <w:szCs w:val="16"/>
              </w:rPr>
            </w:pPr>
            <w:r w:rsidRPr="00992EE3">
              <w:rPr>
                <w:rFonts w:eastAsia="Calibri"/>
                <w:color w:val="000000" w:themeColor="text1"/>
              </w:rPr>
              <w:t xml:space="preserve">Quarter </w:t>
            </w:r>
            <w:r>
              <w:rPr>
                <w:rFonts w:eastAsia="Calibri"/>
                <w:color w:val="000000" w:themeColor="text1"/>
              </w:rPr>
              <w:t>4</w:t>
            </w:r>
          </w:p>
        </w:tc>
      </w:tr>
      <w:tr w:rsidR="008378FE" w:rsidRPr="00BB33CA" w14:paraId="19F17ADD" w14:textId="77777777" w:rsidTr="00BC4426">
        <w:trPr>
          <w:cnfStyle w:val="000000100000" w:firstRow="0" w:lastRow="0" w:firstColumn="0" w:lastColumn="0" w:oddVBand="0" w:evenVBand="0" w:oddHBand="1" w:evenHBand="0" w:firstRowFirstColumn="0" w:firstRowLastColumn="0" w:lastRowFirstColumn="0" w:lastRowLastColumn="0"/>
          <w:cantSplit/>
          <w:trHeight w:val="248"/>
        </w:trPr>
        <w:tc>
          <w:tcPr>
            <w:cnfStyle w:val="001000000000" w:firstRow="0" w:lastRow="0" w:firstColumn="1" w:lastColumn="0" w:oddVBand="0" w:evenVBand="0" w:oddHBand="0" w:evenHBand="0" w:firstRowFirstColumn="0" w:firstRowLastColumn="0" w:lastRowFirstColumn="0" w:lastRowLastColumn="0"/>
            <w:tcW w:w="0" w:type="pct"/>
            <w:vMerge/>
            <w:shd w:val="clear" w:color="auto" w:fill="FFFFFF" w:themeFill="background1"/>
          </w:tcPr>
          <w:p w14:paraId="6EE1F23C" w14:textId="77777777" w:rsidR="00636DAD" w:rsidRPr="005439AB" w:rsidRDefault="00636DAD" w:rsidP="00BC4426">
            <w:pPr>
              <w:spacing w:line="257" w:lineRule="auto"/>
            </w:pPr>
          </w:p>
        </w:tc>
        <w:tc>
          <w:tcPr>
            <w:tcW w:w="0" w:type="pct"/>
            <w:shd w:val="clear" w:color="auto" w:fill="37B0A8"/>
            <w:vAlign w:val="center"/>
          </w:tcPr>
          <w:p w14:paraId="6D16DDBB" w14:textId="77777777" w:rsidR="00636DAD" w:rsidRPr="00D47F6D" w:rsidRDefault="00636DAD" w:rsidP="00BC4426">
            <w:pPr>
              <w:jc w:val="center"/>
              <w:cnfStyle w:val="000000100000" w:firstRow="0" w:lastRow="0" w:firstColumn="0" w:lastColumn="0" w:oddVBand="0" w:evenVBand="0" w:oddHBand="1" w:evenHBand="0" w:firstRowFirstColumn="0" w:firstRowLastColumn="0" w:lastRowFirstColumn="0" w:lastRowLastColumn="0"/>
              <w:rPr>
                <w:rFonts w:eastAsia="Calibri"/>
                <w:b/>
                <w:bCs/>
                <w:color w:val="000000" w:themeColor="text1"/>
                <w:sz w:val="18"/>
                <w:szCs w:val="18"/>
              </w:rPr>
            </w:pPr>
            <w:r w:rsidRPr="00D47F6D">
              <w:rPr>
                <w:rFonts w:eastAsia="Calibri"/>
                <w:b/>
                <w:bCs/>
                <w:color w:val="000000" w:themeColor="text1"/>
                <w:sz w:val="18"/>
                <w:szCs w:val="18"/>
              </w:rPr>
              <w:t>Total</w:t>
            </w:r>
          </w:p>
        </w:tc>
        <w:tc>
          <w:tcPr>
            <w:tcW w:w="0" w:type="pct"/>
            <w:shd w:val="clear" w:color="auto" w:fill="37B0A8"/>
            <w:vAlign w:val="center"/>
          </w:tcPr>
          <w:p w14:paraId="21454B8B" w14:textId="77777777" w:rsidR="00636DAD" w:rsidRPr="00D47F6D" w:rsidRDefault="00636DAD" w:rsidP="00BC4426">
            <w:pPr>
              <w:jc w:val="center"/>
              <w:cnfStyle w:val="000000100000" w:firstRow="0" w:lastRow="0" w:firstColumn="0" w:lastColumn="0" w:oddVBand="0" w:evenVBand="0" w:oddHBand="1" w:evenHBand="0" w:firstRowFirstColumn="0" w:firstRowLastColumn="0" w:lastRowFirstColumn="0" w:lastRowLastColumn="0"/>
              <w:rPr>
                <w:rFonts w:eastAsia="Calibri"/>
                <w:b/>
                <w:bCs/>
                <w:color w:val="000000" w:themeColor="text1"/>
                <w:sz w:val="18"/>
                <w:szCs w:val="18"/>
              </w:rPr>
            </w:pPr>
            <w:r w:rsidRPr="00D47F6D">
              <w:rPr>
                <w:rFonts w:eastAsia="Calibri"/>
                <w:b/>
                <w:bCs/>
                <w:color w:val="000000" w:themeColor="text1"/>
                <w:sz w:val="18"/>
                <w:szCs w:val="18"/>
              </w:rPr>
              <w:t>Percent</w:t>
            </w:r>
          </w:p>
        </w:tc>
        <w:tc>
          <w:tcPr>
            <w:tcW w:w="0" w:type="pct"/>
            <w:shd w:val="clear" w:color="auto" w:fill="BB7CB3"/>
            <w:vAlign w:val="center"/>
          </w:tcPr>
          <w:p w14:paraId="7A6FC9AA" w14:textId="77777777" w:rsidR="00636DAD" w:rsidRPr="00382988" w:rsidRDefault="00636DAD" w:rsidP="00BC4426">
            <w:pPr>
              <w:jc w:val="cente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16"/>
                <w:szCs w:val="16"/>
              </w:rPr>
            </w:pPr>
            <w:r w:rsidRPr="00AD099F">
              <w:rPr>
                <w:rFonts w:eastAsia="Calibri"/>
                <w:b/>
                <w:bCs/>
                <w:color w:val="000000" w:themeColor="text1"/>
                <w:sz w:val="18"/>
                <w:szCs w:val="18"/>
              </w:rPr>
              <w:t>Total</w:t>
            </w:r>
          </w:p>
        </w:tc>
        <w:tc>
          <w:tcPr>
            <w:tcW w:w="0" w:type="pct"/>
            <w:shd w:val="clear" w:color="auto" w:fill="BB7CB3"/>
            <w:vAlign w:val="center"/>
          </w:tcPr>
          <w:p w14:paraId="2D988B79" w14:textId="77777777" w:rsidR="00636DAD" w:rsidRPr="00382988" w:rsidRDefault="00636DAD" w:rsidP="00BC4426">
            <w:pPr>
              <w:jc w:val="cente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16"/>
                <w:szCs w:val="16"/>
              </w:rPr>
            </w:pPr>
            <w:r w:rsidRPr="00AD099F">
              <w:rPr>
                <w:rFonts w:eastAsia="Calibri"/>
                <w:b/>
                <w:bCs/>
                <w:color w:val="000000" w:themeColor="text1"/>
                <w:sz w:val="18"/>
                <w:szCs w:val="18"/>
              </w:rPr>
              <w:t>Percent</w:t>
            </w:r>
          </w:p>
        </w:tc>
        <w:tc>
          <w:tcPr>
            <w:tcW w:w="0" w:type="pct"/>
            <w:shd w:val="clear" w:color="auto" w:fill="37B0A8"/>
            <w:vAlign w:val="center"/>
          </w:tcPr>
          <w:p w14:paraId="502B7F97" w14:textId="77777777" w:rsidR="00636DAD" w:rsidRPr="00382988" w:rsidRDefault="00636DAD" w:rsidP="00BC4426">
            <w:pPr>
              <w:jc w:val="cente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16"/>
                <w:szCs w:val="16"/>
              </w:rPr>
            </w:pPr>
            <w:r w:rsidRPr="00AD099F">
              <w:rPr>
                <w:rFonts w:eastAsia="Calibri"/>
                <w:b/>
                <w:bCs/>
                <w:color w:val="000000" w:themeColor="text1"/>
                <w:sz w:val="18"/>
                <w:szCs w:val="18"/>
              </w:rPr>
              <w:t>Total</w:t>
            </w:r>
          </w:p>
        </w:tc>
        <w:tc>
          <w:tcPr>
            <w:tcW w:w="0" w:type="pct"/>
            <w:shd w:val="clear" w:color="auto" w:fill="37B0A8"/>
            <w:vAlign w:val="center"/>
          </w:tcPr>
          <w:p w14:paraId="2FCAAD81" w14:textId="77777777" w:rsidR="00636DAD" w:rsidRPr="00382988" w:rsidRDefault="00636DAD" w:rsidP="00BC4426">
            <w:pPr>
              <w:jc w:val="cente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16"/>
                <w:szCs w:val="16"/>
              </w:rPr>
            </w:pPr>
            <w:r w:rsidRPr="00AD099F">
              <w:rPr>
                <w:rFonts w:eastAsia="Calibri"/>
                <w:b/>
                <w:bCs/>
                <w:color w:val="000000" w:themeColor="text1"/>
                <w:sz w:val="18"/>
                <w:szCs w:val="18"/>
              </w:rPr>
              <w:t>Percent</w:t>
            </w:r>
          </w:p>
        </w:tc>
        <w:tc>
          <w:tcPr>
            <w:tcW w:w="0" w:type="pct"/>
            <w:shd w:val="clear" w:color="auto" w:fill="BB7CB3"/>
            <w:vAlign w:val="center"/>
          </w:tcPr>
          <w:p w14:paraId="0D6F0C0D" w14:textId="77777777" w:rsidR="00636DAD" w:rsidRPr="00382988" w:rsidRDefault="00636DAD" w:rsidP="00BC4426">
            <w:pPr>
              <w:jc w:val="cente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16"/>
                <w:szCs w:val="16"/>
              </w:rPr>
            </w:pPr>
            <w:r w:rsidRPr="00AD099F">
              <w:rPr>
                <w:rFonts w:eastAsia="Calibri"/>
                <w:b/>
                <w:bCs/>
                <w:color w:val="000000" w:themeColor="text1"/>
                <w:sz w:val="18"/>
                <w:szCs w:val="18"/>
              </w:rPr>
              <w:t>Total</w:t>
            </w:r>
          </w:p>
        </w:tc>
        <w:tc>
          <w:tcPr>
            <w:tcW w:w="0" w:type="pct"/>
            <w:shd w:val="clear" w:color="auto" w:fill="BB7CB3"/>
            <w:vAlign w:val="center"/>
          </w:tcPr>
          <w:p w14:paraId="782E0E8F" w14:textId="77777777" w:rsidR="00636DAD" w:rsidRPr="00382988" w:rsidRDefault="00636DAD" w:rsidP="00BC4426">
            <w:pPr>
              <w:jc w:val="cente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16"/>
                <w:szCs w:val="16"/>
              </w:rPr>
            </w:pPr>
            <w:r w:rsidRPr="00AD099F">
              <w:rPr>
                <w:rFonts w:eastAsia="Calibri"/>
                <w:b/>
                <w:bCs/>
                <w:color w:val="000000" w:themeColor="text1"/>
                <w:sz w:val="18"/>
                <w:szCs w:val="18"/>
              </w:rPr>
              <w:t>Percent</w:t>
            </w:r>
          </w:p>
        </w:tc>
      </w:tr>
      <w:tr w:rsidR="008378FE" w:rsidRPr="00BB33CA" w14:paraId="3EAF03A5" w14:textId="77777777" w:rsidTr="00BC4426">
        <w:trPr>
          <w:cantSplit/>
          <w:trHeight w:val="251"/>
        </w:trPr>
        <w:tc>
          <w:tcPr>
            <w:cnfStyle w:val="001000000000" w:firstRow="0" w:lastRow="0" w:firstColumn="1" w:lastColumn="0" w:oddVBand="0" w:evenVBand="0" w:oddHBand="0" w:evenHBand="0" w:firstRowFirstColumn="0" w:firstRowLastColumn="0" w:lastRowFirstColumn="0" w:lastRowLastColumn="0"/>
            <w:tcW w:w="1212" w:type="pct"/>
            <w:shd w:val="clear" w:color="auto" w:fill="EEECE1" w:themeFill="background2"/>
          </w:tcPr>
          <w:p w14:paraId="60032DF3" w14:textId="77777777" w:rsidR="00636DAD" w:rsidRPr="00D47F6D" w:rsidRDefault="00636DAD" w:rsidP="00BC4426">
            <w:pPr>
              <w:rPr>
                <w:rFonts w:eastAsia="Calibri"/>
                <w:b w:val="0"/>
                <w:bCs w:val="0"/>
                <w:color w:val="000000" w:themeColor="text1"/>
                <w:sz w:val="20"/>
                <w:szCs w:val="20"/>
              </w:rPr>
            </w:pPr>
            <w:r w:rsidRPr="00D47F6D">
              <w:rPr>
                <w:rFonts w:eastAsia="Calibri"/>
                <w:color w:val="000000" w:themeColor="text1"/>
                <w:sz w:val="20"/>
                <w:szCs w:val="20"/>
              </w:rPr>
              <w:t>Māori</w:t>
            </w:r>
          </w:p>
        </w:tc>
        <w:tc>
          <w:tcPr>
            <w:tcW w:w="437" w:type="pct"/>
            <w:shd w:val="clear" w:color="auto" w:fill="EEECE1" w:themeFill="background2"/>
          </w:tcPr>
          <w:p w14:paraId="7506AFEC" w14:textId="77777777" w:rsidR="00636DAD" w:rsidRPr="00D47F6D" w:rsidRDefault="00636DAD" w:rsidP="00BC4426">
            <w:pPr>
              <w:cnfStyle w:val="000000000000" w:firstRow="0" w:lastRow="0" w:firstColumn="0" w:lastColumn="0" w:oddVBand="0" w:evenVBand="0" w:oddHBand="0" w:evenHBand="0" w:firstRowFirstColumn="0" w:firstRowLastColumn="0" w:lastRowFirstColumn="0" w:lastRowLastColumn="0"/>
              <w:rPr>
                <w:rFonts w:eastAsia="Calibri"/>
                <w:b/>
                <w:bCs/>
                <w:color w:val="000000" w:themeColor="text1"/>
                <w:sz w:val="20"/>
                <w:szCs w:val="20"/>
              </w:rPr>
            </w:pPr>
            <w:r w:rsidRPr="00D47F6D">
              <w:rPr>
                <w:rFonts w:eastAsia="Calibri"/>
                <w:color w:val="000000" w:themeColor="text1"/>
                <w:sz w:val="20"/>
                <w:szCs w:val="20"/>
              </w:rPr>
              <w:t>124</w:t>
            </w:r>
          </w:p>
        </w:tc>
        <w:tc>
          <w:tcPr>
            <w:tcW w:w="510" w:type="pct"/>
            <w:shd w:val="clear" w:color="auto" w:fill="EEECE1" w:themeFill="background2"/>
          </w:tcPr>
          <w:p w14:paraId="1C97D91D" w14:textId="77777777" w:rsidR="00636DAD" w:rsidRPr="00D47F6D" w:rsidRDefault="00636DAD" w:rsidP="00BC4426">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14%</w:t>
            </w:r>
          </w:p>
        </w:tc>
        <w:tc>
          <w:tcPr>
            <w:tcW w:w="436" w:type="pct"/>
            <w:shd w:val="clear" w:color="auto" w:fill="EEECE1" w:themeFill="background2"/>
          </w:tcPr>
          <w:p w14:paraId="0870E210" w14:textId="77777777" w:rsidR="00636DAD" w:rsidRPr="00D47F6D" w:rsidRDefault="00636DAD" w:rsidP="00BC4426">
            <w:pPr>
              <w:cnfStyle w:val="000000000000" w:firstRow="0" w:lastRow="0" w:firstColumn="0" w:lastColumn="0" w:oddVBand="0" w:evenVBand="0" w:oddHBand="0" w:evenHBand="0" w:firstRowFirstColumn="0" w:firstRowLastColumn="0" w:lastRowFirstColumn="0" w:lastRowLastColumn="0"/>
              <w:rPr>
                <w:sz w:val="20"/>
                <w:szCs w:val="20"/>
              </w:rPr>
            </w:pPr>
            <w:r w:rsidRPr="00D47F6D">
              <w:rPr>
                <w:rFonts w:eastAsia="Calibri"/>
                <w:color w:val="000000" w:themeColor="text1"/>
                <w:sz w:val="20"/>
                <w:szCs w:val="20"/>
              </w:rPr>
              <w:t>136</w:t>
            </w:r>
          </w:p>
        </w:tc>
        <w:tc>
          <w:tcPr>
            <w:tcW w:w="511" w:type="pct"/>
            <w:shd w:val="clear" w:color="auto" w:fill="EEECE1" w:themeFill="background2"/>
          </w:tcPr>
          <w:p w14:paraId="6D9D3FF3" w14:textId="77777777" w:rsidR="00636DAD" w:rsidRPr="00D47F6D" w:rsidRDefault="00636DAD" w:rsidP="00BC4426">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17%</w:t>
            </w:r>
          </w:p>
        </w:tc>
        <w:tc>
          <w:tcPr>
            <w:tcW w:w="434" w:type="pct"/>
            <w:shd w:val="clear" w:color="auto" w:fill="EEECE1" w:themeFill="background2"/>
          </w:tcPr>
          <w:p w14:paraId="44AB39B3" w14:textId="77777777" w:rsidR="00636DAD" w:rsidRPr="00D47F6D" w:rsidRDefault="00636DAD" w:rsidP="00BC4426">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162</w:t>
            </w:r>
          </w:p>
        </w:tc>
        <w:tc>
          <w:tcPr>
            <w:tcW w:w="513" w:type="pct"/>
            <w:shd w:val="clear" w:color="auto" w:fill="EEECE1" w:themeFill="background2"/>
          </w:tcPr>
          <w:p w14:paraId="77D15B92" w14:textId="77777777" w:rsidR="00636DAD" w:rsidRPr="00D47F6D" w:rsidRDefault="00636DAD" w:rsidP="00BC4426">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19%</w:t>
            </w:r>
          </w:p>
        </w:tc>
        <w:tc>
          <w:tcPr>
            <w:tcW w:w="432" w:type="pct"/>
            <w:shd w:val="clear" w:color="auto" w:fill="EEECE1" w:themeFill="background2"/>
            <w:vAlign w:val="bottom"/>
          </w:tcPr>
          <w:p w14:paraId="35B2DE2F" w14:textId="77777777" w:rsidR="00636DAD" w:rsidRPr="00D47F6D" w:rsidRDefault="00636DAD" w:rsidP="00BC4426">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0"/>
              </w:rPr>
            </w:pPr>
            <w:r w:rsidRPr="00D47F6D">
              <w:rPr>
                <w:color w:val="000000"/>
                <w:sz w:val="20"/>
                <w:szCs w:val="20"/>
                <w:lang w:eastAsia="en-NZ"/>
              </w:rPr>
              <w:t>164</w:t>
            </w:r>
          </w:p>
        </w:tc>
        <w:tc>
          <w:tcPr>
            <w:tcW w:w="515" w:type="pct"/>
            <w:shd w:val="clear" w:color="auto" w:fill="EEECE1" w:themeFill="background2"/>
          </w:tcPr>
          <w:p w14:paraId="2A028B84" w14:textId="77777777" w:rsidR="00636DAD" w:rsidRPr="00D47F6D" w:rsidRDefault="00636DAD" w:rsidP="00BC4426">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 xml:space="preserve"> 19%</w:t>
            </w:r>
          </w:p>
        </w:tc>
      </w:tr>
      <w:tr w:rsidR="00636DAD" w:rsidRPr="00BB33CA" w14:paraId="531A2FB5" w14:textId="77777777" w:rsidTr="00BC4426">
        <w:trPr>
          <w:cnfStyle w:val="000000100000" w:firstRow="0" w:lastRow="0" w:firstColumn="0" w:lastColumn="0" w:oddVBand="0" w:evenVBand="0" w:oddHBand="1" w:evenHBand="0" w:firstRowFirstColumn="0" w:firstRowLastColumn="0" w:lastRowFirstColumn="0" w:lastRowLastColumn="0"/>
          <w:cantSplit/>
          <w:trHeight w:val="251"/>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5B2BAFB9" w14:textId="77777777" w:rsidR="00636DAD" w:rsidRPr="00D47F6D" w:rsidRDefault="00636DAD" w:rsidP="00BC4426">
            <w:pPr>
              <w:rPr>
                <w:rFonts w:eastAsia="Calibri"/>
                <w:b w:val="0"/>
                <w:bCs w:val="0"/>
                <w:color w:val="000000" w:themeColor="text1"/>
                <w:sz w:val="20"/>
                <w:szCs w:val="20"/>
              </w:rPr>
            </w:pPr>
            <w:r w:rsidRPr="00D47F6D">
              <w:rPr>
                <w:rFonts w:eastAsia="Calibri"/>
                <w:color w:val="000000" w:themeColor="text1"/>
                <w:sz w:val="20"/>
                <w:szCs w:val="20"/>
              </w:rPr>
              <w:t>Pacific</w:t>
            </w:r>
          </w:p>
        </w:tc>
        <w:tc>
          <w:tcPr>
            <w:tcW w:w="437" w:type="pct"/>
            <w:shd w:val="clear" w:color="auto" w:fill="auto"/>
          </w:tcPr>
          <w:p w14:paraId="360143CB" w14:textId="77777777" w:rsidR="00636DAD" w:rsidRPr="00D47F6D" w:rsidRDefault="00636DAD" w:rsidP="00BC4426">
            <w:pPr>
              <w:cnfStyle w:val="000000100000" w:firstRow="0" w:lastRow="0" w:firstColumn="0" w:lastColumn="0" w:oddVBand="0" w:evenVBand="0" w:oddHBand="1" w:evenHBand="0" w:firstRowFirstColumn="0" w:firstRowLastColumn="0" w:lastRowFirstColumn="0" w:lastRowLastColumn="0"/>
              <w:rPr>
                <w:rFonts w:eastAsia="Calibri"/>
                <w:b/>
                <w:bCs/>
                <w:color w:val="000000" w:themeColor="text1"/>
                <w:sz w:val="20"/>
                <w:szCs w:val="20"/>
              </w:rPr>
            </w:pPr>
            <w:r w:rsidRPr="00D47F6D">
              <w:rPr>
                <w:rFonts w:eastAsia="Calibri"/>
                <w:color w:val="000000" w:themeColor="text1"/>
                <w:sz w:val="20"/>
                <w:szCs w:val="20"/>
              </w:rPr>
              <w:t>73</w:t>
            </w:r>
          </w:p>
        </w:tc>
        <w:tc>
          <w:tcPr>
            <w:tcW w:w="510" w:type="pct"/>
            <w:shd w:val="clear" w:color="auto" w:fill="auto"/>
          </w:tcPr>
          <w:p w14:paraId="699298B0" w14:textId="77777777" w:rsidR="00636DAD" w:rsidRPr="00D47F6D" w:rsidRDefault="00636DAD" w:rsidP="00BC4426">
            <w:pP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8%</w:t>
            </w:r>
          </w:p>
        </w:tc>
        <w:tc>
          <w:tcPr>
            <w:tcW w:w="436" w:type="pct"/>
            <w:shd w:val="clear" w:color="auto" w:fill="auto"/>
          </w:tcPr>
          <w:p w14:paraId="37F87EE4" w14:textId="77777777" w:rsidR="00636DAD" w:rsidRPr="00D47F6D" w:rsidRDefault="00636DAD" w:rsidP="00BC4426">
            <w:pPr>
              <w:cnfStyle w:val="000000100000" w:firstRow="0" w:lastRow="0" w:firstColumn="0" w:lastColumn="0" w:oddVBand="0" w:evenVBand="0" w:oddHBand="1" w:evenHBand="0" w:firstRowFirstColumn="0" w:firstRowLastColumn="0" w:lastRowFirstColumn="0" w:lastRowLastColumn="0"/>
              <w:rPr>
                <w:sz w:val="20"/>
                <w:szCs w:val="20"/>
              </w:rPr>
            </w:pPr>
            <w:r w:rsidRPr="00D47F6D">
              <w:rPr>
                <w:rFonts w:eastAsia="Calibri"/>
                <w:color w:val="000000" w:themeColor="text1"/>
                <w:sz w:val="20"/>
                <w:szCs w:val="20"/>
              </w:rPr>
              <w:t>91</w:t>
            </w:r>
          </w:p>
        </w:tc>
        <w:tc>
          <w:tcPr>
            <w:tcW w:w="511" w:type="pct"/>
            <w:shd w:val="clear" w:color="auto" w:fill="auto"/>
          </w:tcPr>
          <w:p w14:paraId="5328BA55" w14:textId="77777777" w:rsidR="00636DAD" w:rsidRPr="00D47F6D" w:rsidRDefault="00636DAD" w:rsidP="00BC4426">
            <w:pP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11%</w:t>
            </w:r>
          </w:p>
        </w:tc>
        <w:tc>
          <w:tcPr>
            <w:tcW w:w="434" w:type="pct"/>
            <w:shd w:val="clear" w:color="auto" w:fill="auto"/>
          </w:tcPr>
          <w:p w14:paraId="5C812FFC" w14:textId="77777777" w:rsidR="00636DAD" w:rsidRPr="00D47F6D" w:rsidRDefault="00636DAD" w:rsidP="00BC4426">
            <w:pP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90</w:t>
            </w:r>
          </w:p>
        </w:tc>
        <w:tc>
          <w:tcPr>
            <w:tcW w:w="513" w:type="pct"/>
            <w:shd w:val="clear" w:color="auto" w:fill="auto"/>
          </w:tcPr>
          <w:p w14:paraId="631ABFF8" w14:textId="77777777" w:rsidR="00636DAD" w:rsidRPr="00D47F6D" w:rsidRDefault="00636DAD" w:rsidP="00BC4426">
            <w:pP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11%</w:t>
            </w:r>
          </w:p>
        </w:tc>
        <w:tc>
          <w:tcPr>
            <w:tcW w:w="432" w:type="pct"/>
            <w:shd w:val="clear" w:color="auto" w:fill="auto"/>
            <w:vAlign w:val="bottom"/>
          </w:tcPr>
          <w:p w14:paraId="14437CBD" w14:textId="77777777" w:rsidR="00636DAD" w:rsidRPr="00D47F6D" w:rsidRDefault="00636DAD" w:rsidP="00BC4426">
            <w:pP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20"/>
                <w:szCs w:val="20"/>
              </w:rPr>
            </w:pPr>
            <w:r w:rsidRPr="00D47F6D">
              <w:rPr>
                <w:color w:val="000000"/>
                <w:sz w:val="20"/>
                <w:szCs w:val="20"/>
                <w:lang w:eastAsia="en-NZ"/>
              </w:rPr>
              <w:t>87</w:t>
            </w:r>
          </w:p>
        </w:tc>
        <w:tc>
          <w:tcPr>
            <w:tcW w:w="515" w:type="pct"/>
            <w:shd w:val="clear" w:color="auto" w:fill="auto"/>
          </w:tcPr>
          <w:p w14:paraId="7C152ADC" w14:textId="77777777" w:rsidR="00636DAD" w:rsidRPr="00D47F6D" w:rsidRDefault="00636DAD" w:rsidP="00BC4426">
            <w:pP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 xml:space="preserve"> 10%</w:t>
            </w:r>
          </w:p>
        </w:tc>
      </w:tr>
      <w:tr w:rsidR="008378FE" w:rsidRPr="00BB33CA" w14:paraId="5FF697FF" w14:textId="77777777" w:rsidTr="00BC4426">
        <w:trPr>
          <w:cantSplit/>
          <w:trHeight w:val="189"/>
        </w:trPr>
        <w:tc>
          <w:tcPr>
            <w:cnfStyle w:val="001000000000" w:firstRow="0" w:lastRow="0" w:firstColumn="1" w:lastColumn="0" w:oddVBand="0" w:evenVBand="0" w:oddHBand="0" w:evenHBand="0" w:firstRowFirstColumn="0" w:firstRowLastColumn="0" w:lastRowFirstColumn="0" w:lastRowLastColumn="0"/>
            <w:tcW w:w="1212" w:type="pct"/>
            <w:shd w:val="clear" w:color="auto" w:fill="EEECE1" w:themeFill="background2"/>
          </w:tcPr>
          <w:p w14:paraId="2EA52146" w14:textId="77777777" w:rsidR="00636DAD" w:rsidRPr="00D47F6D" w:rsidRDefault="00636DAD" w:rsidP="00BC4426">
            <w:pPr>
              <w:rPr>
                <w:rFonts w:eastAsia="Calibri"/>
                <w:b w:val="0"/>
                <w:bCs w:val="0"/>
                <w:color w:val="000000" w:themeColor="text1"/>
                <w:sz w:val="20"/>
                <w:szCs w:val="20"/>
              </w:rPr>
            </w:pPr>
            <w:r w:rsidRPr="00D47F6D">
              <w:rPr>
                <w:rFonts w:eastAsia="Calibri"/>
                <w:color w:val="000000" w:themeColor="text1"/>
                <w:sz w:val="20"/>
                <w:szCs w:val="20"/>
              </w:rPr>
              <w:t>Asian</w:t>
            </w:r>
          </w:p>
        </w:tc>
        <w:tc>
          <w:tcPr>
            <w:tcW w:w="437" w:type="pct"/>
            <w:shd w:val="clear" w:color="auto" w:fill="EEECE1" w:themeFill="background2"/>
          </w:tcPr>
          <w:p w14:paraId="0FFA5133" w14:textId="77777777" w:rsidR="00636DAD" w:rsidRPr="00D47F6D" w:rsidRDefault="00636DAD" w:rsidP="00BC4426">
            <w:pPr>
              <w:cnfStyle w:val="000000000000" w:firstRow="0" w:lastRow="0" w:firstColumn="0" w:lastColumn="0" w:oddVBand="0" w:evenVBand="0" w:oddHBand="0" w:evenHBand="0" w:firstRowFirstColumn="0" w:firstRowLastColumn="0" w:lastRowFirstColumn="0" w:lastRowLastColumn="0"/>
              <w:rPr>
                <w:rFonts w:eastAsia="Calibri"/>
                <w:b/>
                <w:bCs/>
                <w:color w:val="000000" w:themeColor="text1"/>
                <w:sz w:val="20"/>
                <w:szCs w:val="20"/>
              </w:rPr>
            </w:pPr>
            <w:r w:rsidRPr="00D47F6D">
              <w:rPr>
                <w:rFonts w:eastAsia="Calibri"/>
                <w:color w:val="000000" w:themeColor="text1"/>
                <w:sz w:val="20"/>
                <w:szCs w:val="20"/>
              </w:rPr>
              <w:t>51</w:t>
            </w:r>
          </w:p>
        </w:tc>
        <w:tc>
          <w:tcPr>
            <w:tcW w:w="510" w:type="pct"/>
            <w:shd w:val="clear" w:color="auto" w:fill="EEECE1" w:themeFill="background2"/>
          </w:tcPr>
          <w:p w14:paraId="1109D20B" w14:textId="77777777" w:rsidR="00636DAD" w:rsidRPr="00D47F6D" w:rsidRDefault="00636DAD" w:rsidP="00BC4426">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6%</w:t>
            </w:r>
          </w:p>
        </w:tc>
        <w:tc>
          <w:tcPr>
            <w:tcW w:w="436" w:type="pct"/>
            <w:shd w:val="clear" w:color="auto" w:fill="EEECE1" w:themeFill="background2"/>
          </w:tcPr>
          <w:p w14:paraId="40CBB288" w14:textId="77777777" w:rsidR="00636DAD" w:rsidRPr="00D47F6D" w:rsidRDefault="00636DAD" w:rsidP="00BC4426">
            <w:pPr>
              <w:cnfStyle w:val="000000000000" w:firstRow="0" w:lastRow="0" w:firstColumn="0" w:lastColumn="0" w:oddVBand="0" w:evenVBand="0" w:oddHBand="0" w:evenHBand="0" w:firstRowFirstColumn="0" w:firstRowLastColumn="0" w:lastRowFirstColumn="0" w:lastRowLastColumn="0"/>
              <w:rPr>
                <w:sz w:val="20"/>
                <w:szCs w:val="20"/>
              </w:rPr>
            </w:pPr>
            <w:r w:rsidRPr="00D47F6D">
              <w:rPr>
                <w:rFonts w:eastAsia="Calibri"/>
                <w:color w:val="000000" w:themeColor="text1"/>
                <w:sz w:val="20"/>
                <w:szCs w:val="20"/>
              </w:rPr>
              <w:t>52</w:t>
            </w:r>
          </w:p>
        </w:tc>
        <w:tc>
          <w:tcPr>
            <w:tcW w:w="511" w:type="pct"/>
            <w:shd w:val="clear" w:color="auto" w:fill="EEECE1" w:themeFill="background2"/>
          </w:tcPr>
          <w:p w14:paraId="618CF0A2" w14:textId="77777777" w:rsidR="00636DAD" w:rsidRPr="00D47F6D" w:rsidRDefault="00636DAD" w:rsidP="00BC4426">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6%</w:t>
            </w:r>
          </w:p>
        </w:tc>
        <w:tc>
          <w:tcPr>
            <w:tcW w:w="434" w:type="pct"/>
            <w:shd w:val="clear" w:color="auto" w:fill="EEECE1" w:themeFill="background2"/>
          </w:tcPr>
          <w:p w14:paraId="76F85FE6" w14:textId="77777777" w:rsidR="00636DAD" w:rsidRPr="00D47F6D" w:rsidRDefault="00636DAD" w:rsidP="00BC4426">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49</w:t>
            </w:r>
          </w:p>
        </w:tc>
        <w:tc>
          <w:tcPr>
            <w:tcW w:w="513" w:type="pct"/>
            <w:shd w:val="clear" w:color="auto" w:fill="EEECE1" w:themeFill="background2"/>
          </w:tcPr>
          <w:p w14:paraId="3183EDB8" w14:textId="77777777" w:rsidR="00636DAD" w:rsidRPr="00D47F6D" w:rsidRDefault="00636DAD" w:rsidP="00BC4426">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6%</w:t>
            </w:r>
          </w:p>
        </w:tc>
        <w:tc>
          <w:tcPr>
            <w:tcW w:w="432" w:type="pct"/>
            <w:shd w:val="clear" w:color="auto" w:fill="EEECE1" w:themeFill="background2"/>
            <w:vAlign w:val="bottom"/>
          </w:tcPr>
          <w:p w14:paraId="2D438CBA" w14:textId="77777777" w:rsidR="00636DAD" w:rsidRPr="00D47F6D" w:rsidRDefault="00636DAD" w:rsidP="00BC4426">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50</w:t>
            </w:r>
          </w:p>
        </w:tc>
        <w:tc>
          <w:tcPr>
            <w:tcW w:w="515" w:type="pct"/>
            <w:shd w:val="clear" w:color="auto" w:fill="EEECE1" w:themeFill="background2"/>
          </w:tcPr>
          <w:p w14:paraId="137A9018" w14:textId="77777777" w:rsidR="00636DAD" w:rsidRPr="00D47F6D" w:rsidRDefault="00636DAD" w:rsidP="00BC4426">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 xml:space="preserve">   6%</w:t>
            </w:r>
          </w:p>
        </w:tc>
      </w:tr>
      <w:tr w:rsidR="00636DAD" w:rsidRPr="00BB33CA" w14:paraId="37817001" w14:textId="77777777" w:rsidTr="00BC4426">
        <w:trPr>
          <w:cnfStyle w:val="000000100000" w:firstRow="0" w:lastRow="0" w:firstColumn="0" w:lastColumn="0" w:oddVBand="0" w:evenVBand="0" w:oddHBand="1" w:evenHBand="0" w:firstRowFirstColumn="0" w:firstRowLastColumn="0" w:lastRowFirstColumn="0" w:lastRowLastColumn="0"/>
          <w:cantSplit/>
          <w:trHeight w:val="251"/>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12320315" w14:textId="77777777" w:rsidR="00636DAD" w:rsidRPr="00D47F6D" w:rsidRDefault="00636DAD" w:rsidP="00BC4426">
            <w:pPr>
              <w:rPr>
                <w:rFonts w:eastAsia="Calibri"/>
                <w:b w:val="0"/>
                <w:bCs w:val="0"/>
                <w:color w:val="000000" w:themeColor="text1"/>
                <w:sz w:val="20"/>
                <w:szCs w:val="20"/>
              </w:rPr>
            </w:pPr>
            <w:r w:rsidRPr="00D47F6D">
              <w:rPr>
                <w:rFonts w:eastAsia="Calibri"/>
                <w:color w:val="000000" w:themeColor="text1"/>
                <w:sz w:val="20"/>
                <w:szCs w:val="20"/>
              </w:rPr>
              <w:t>Pākehā/Caucasian</w:t>
            </w:r>
          </w:p>
        </w:tc>
        <w:tc>
          <w:tcPr>
            <w:tcW w:w="437" w:type="pct"/>
            <w:shd w:val="clear" w:color="auto" w:fill="auto"/>
          </w:tcPr>
          <w:p w14:paraId="23ACF042" w14:textId="77777777" w:rsidR="00636DAD" w:rsidRPr="00D47F6D" w:rsidRDefault="00636DAD" w:rsidP="00BC4426">
            <w:pPr>
              <w:cnfStyle w:val="000000100000" w:firstRow="0" w:lastRow="0" w:firstColumn="0" w:lastColumn="0" w:oddVBand="0" w:evenVBand="0" w:oddHBand="1" w:evenHBand="0" w:firstRowFirstColumn="0" w:firstRowLastColumn="0" w:lastRowFirstColumn="0" w:lastRowLastColumn="0"/>
              <w:rPr>
                <w:rFonts w:eastAsia="Calibri"/>
                <w:b/>
                <w:bCs/>
                <w:color w:val="000000" w:themeColor="text1"/>
                <w:sz w:val="20"/>
                <w:szCs w:val="20"/>
              </w:rPr>
            </w:pPr>
            <w:r w:rsidRPr="00D47F6D">
              <w:rPr>
                <w:rFonts w:eastAsia="Calibri"/>
                <w:color w:val="000000" w:themeColor="text1"/>
                <w:sz w:val="20"/>
                <w:szCs w:val="20"/>
              </w:rPr>
              <w:t>561</w:t>
            </w:r>
          </w:p>
        </w:tc>
        <w:tc>
          <w:tcPr>
            <w:tcW w:w="510" w:type="pct"/>
            <w:shd w:val="clear" w:color="auto" w:fill="auto"/>
          </w:tcPr>
          <w:p w14:paraId="3C89CD39" w14:textId="77777777" w:rsidR="00636DAD" w:rsidRPr="00D47F6D" w:rsidRDefault="00636DAD" w:rsidP="00BC4426">
            <w:pP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65%</w:t>
            </w:r>
          </w:p>
        </w:tc>
        <w:tc>
          <w:tcPr>
            <w:tcW w:w="436" w:type="pct"/>
            <w:shd w:val="clear" w:color="auto" w:fill="auto"/>
          </w:tcPr>
          <w:p w14:paraId="0D92D4DC" w14:textId="77777777" w:rsidR="00636DAD" w:rsidRPr="00D47F6D" w:rsidRDefault="00636DAD" w:rsidP="00BC4426">
            <w:pPr>
              <w:cnfStyle w:val="000000100000" w:firstRow="0" w:lastRow="0" w:firstColumn="0" w:lastColumn="0" w:oddVBand="0" w:evenVBand="0" w:oddHBand="1" w:evenHBand="0" w:firstRowFirstColumn="0" w:firstRowLastColumn="0" w:lastRowFirstColumn="0" w:lastRowLastColumn="0"/>
              <w:rPr>
                <w:sz w:val="20"/>
                <w:szCs w:val="20"/>
              </w:rPr>
            </w:pPr>
            <w:r w:rsidRPr="00D47F6D">
              <w:rPr>
                <w:rFonts w:eastAsia="Calibri"/>
                <w:color w:val="000000" w:themeColor="text1"/>
                <w:sz w:val="20"/>
                <w:szCs w:val="20"/>
              </w:rPr>
              <w:t>588</w:t>
            </w:r>
          </w:p>
        </w:tc>
        <w:tc>
          <w:tcPr>
            <w:tcW w:w="511" w:type="pct"/>
            <w:shd w:val="clear" w:color="auto" w:fill="auto"/>
          </w:tcPr>
          <w:p w14:paraId="54FCA488" w14:textId="77777777" w:rsidR="00636DAD" w:rsidRPr="00D47F6D" w:rsidRDefault="00636DAD" w:rsidP="00BC4426">
            <w:pP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73%</w:t>
            </w:r>
          </w:p>
        </w:tc>
        <w:tc>
          <w:tcPr>
            <w:tcW w:w="434" w:type="pct"/>
            <w:shd w:val="clear" w:color="auto" w:fill="auto"/>
          </w:tcPr>
          <w:p w14:paraId="7B40E07A" w14:textId="77777777" w:rsidR="00636DAD" w:rsidRPr="00D47F6D" w:rsidRDefault="00636DAD" w:rsidP="00BC4426">
            <w:pP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614</w:t>
            </w:r>
          </w:p>
        </w:tc>
        <w:tc>
          <w:tcPr>
            <w:tcW w:w="513" w:type="pct"/>
            <w:shd w:val="clear" w:color="auto" w:fill="auto"/>
          </w:tcPr>
          <w:p w14:paraId="02F097D1" w14:textId="77777777" w:rsidR="00636DAD" w:rsidRPr="00D47F6D" w:rsidRDefault="00636DAD" w:rsidP="00BC4426">
            <w:pP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73%</w:t>
            </w:r>
          </w:p>
        </w:tc>
        <w:tc>
          <w:tcPr>
            <w:tcW w:w="432" w:type="pct"/>
            <w:shd w:val="clear" w:color="auto" w:fill="auto"/>
            <w:vAlign w:val="bottom"/>
          </w:tcPr>
          <w:p w14:paraId="62FCEB30" w14:textId="77777777" w:rsidR="00636DAD" w:rsidRPr="00D47F6D" w:rsidRDefault="00636DAD" w:rsidP="00BC4426">
            <w:pP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518</w:t>
            </w:r>
          </w:p>
        </w:tc>
        <w:tc>
          <w:tcPr>
            <w:tcW w:w="515" w:type="pct"/>
            <w:shd w:val="clear" w:color="auto" w:fill="auto"/>
          </w:tcPr>
          <w:p w14:paraId="1BD78E79" w14:textId="77777777" w:rsidR="00636DAD" w:rsidRPr="00D47F6D" w:rsidRDefault="00636DAD" w:rsidP="00BC4426">
            <w:pP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 xml:space="preserve"> 59 %</w:t>
            </w:r>
          </w:p>
        </w:tc>
      </w:tr>
      <w:tr w:rsidR="008378FE" w:rsidRPr="00BB33CA" w14:paraId="09F64797" w14:textId="77777777" w:rsidTr="00BC4426">
        <w:trPr>
          <w:cantSplit/>
          <w:trHeight w:val="251"/>
        </w:trPr>
        <w:tc>
          <w:tcPr>
            <w:cnfStyle w:val="001000000000" w:firstRow="0" w:lastRow="0" w:firstColumn="1" w:lastColumn="0" w:oddVBand="0" w:evenVBand="0" w:oddHBand="0" w:evenHBand="0" w:firstRowFirstColumn="0" w:firstRowLastColumn="0" w:lastRowFirstColumn="0" w:lastRowLastColumn="0"/>
            <w:tcW w:w="1212" w:type="pct"/>
            <w:shd w:val="clear" w:color="auto" w:fill="EEECE1" w:themeFill="background2"/>
          </w:tcPr>
          <w:p w14:paraId="7BB2AB1B" w14:textId="77777777" w:rsidR="00636DAD" w:rsidRPr="00D47F6D" w:rsidRDefault="00636DAD" w:rsidP="00BC4426">
            <w:pPr>
              <w:rPr>
                <w:rFonts w:eastAsia="Calibri"/>
                <w:b w:val="0"/>
                <w:bCs w:val="0"/>
                <w:color w:val="000000" w:themeColor="text1"/>
                <w:sz w:val="20"/>
                <w:szCs w:val="20"/>
              </w:rPr>
            </w:pPr>
            <w:r w:rsidRPr="00D47F6D">
              <w:rPr>
                <w:rFonts w:eastAsia="Calibri"/>
                <w:color w:val="000000" w:themeColor="text1"/>
                <w:sz w:val="20"/>
                <w:szCs w:val="20"/>
              </w:rPr>
              <w:t>MELA/Other</w:t>
            </w:r>
          </w:p>
        </w:tc>
        <w:tc>
          <w:tcPr>
            <w:tcW w:w="437" w:type="pct"/>
            <w:shd w:val="clear" w:color="auto" w:fill="EEECE1" w:themeFill="background2"/>
          </w:tcPr>
          <w:p w14:paraId="105B155C" w14:textId="77777777" w:rsidR="00636DAD" w:rsidRPr="00D47F6D" w:rsidRDefault="00636DAD" w:rsidP="00BC4426">
            <w:pPr>
              <w:cnfStyle w:val="000000000000" w:firstRow="0" w:lastRow="0" w:firstColumn="0" w:lastColumn="0" w:oddVBand="0" w:evenVBand="0" w:oddHBand="0" w:evenHBand="0" w:firstRowFirstColumn="0" w:firstRowLastColumn="0" w:lastRowFirstColumn="0" w:lastRowLastColumn="0"/>
              <w:rPr>
                <w:rFonts w:eastAsia="Calibri"/>
                <w:b/>
                <w:bCs/>
                <w:color w:val="000000" w:themeColor="text1"/>
                <w:sz w:val="20"/>
                <w:szCs w:val="20"/>
              </w:rPr>
            </w:pPr>
            <w:r w:rsidRPr="00D47F6D">
              <w:rPr>
                <w:rFonts w:eastAsia="Calibri"/>
                <w:color w:val="000000" w:themeColor="text1"/>
                <w:sz w:val="20"/>
                <w:szCs w:val="20"/>
              </w:rPr>
              <w:t>21</w:t>
            </w:r>
          </w:p>
        </w:tc>
        <w:tc>
          <w:tcPr>
            <w:tcW w:w="510" w:type="pct"/>
            <w:shd w:val="clear" w:color="auto" w:fill="EEECE1" w:themeFill="background2"/>
          </w:tcPr>
          <w:p w14:paraId="114F294A" w14:textId="77777777" w:rsidR="00636DAD" w:rsidRPr="00D47F6D" w:rsidRDefault="00636DAD" w:rsidP="00BC4426">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2%</w:t>
            </w:r>
          </w:p>
        </w:tc>
        <w:tc>
          <w:tcPr>
            <w:tcW w:w="436" w:type="pct"/>
            <w:shd w:val="clear" w:color="auto" w:fill="EEECE1" w:themeFill="background2"/>
          </w:tcPr>
          <w:p w14:paraId="24EFBE92" w14:textId="77777777" w:rsidR="00636DAD" w:rsidRPr="00D47F6D" w:rsidRDefault="00636DAD" w:rsidP="00BC4426">
            <w:pPr>
              <w:cnfStyle w:val="000000000000" w:firstRow="0" w:lastRow="0" w:firstColumn="0" w:lastColumn="0" w:oddVBand="0" w:evenVBand="0" w:oddHBand="0" w:evenHBand="0" w:firstRowFirstColumn="0" w:firstRowLastColumn="0" w:lastRowFirstColumn="0" w:lastRowLastColumn="0"/>
              <w:rPr>
                <w:sz w:val="20"/>
                <w:szCs w:val="20"/>
              </w:rPr>
            </w:pPr>
            <w:r w:rsidRPr="00D47F6D">
              <w:rPr>
                <w:rFonts w:eastAsia="Calibri"/>
                <w:color w:val="000000" w:themeColor="text1"/>
                <w:sz w:val="20"/>
                <w:szCs w:val="20"/>
              </w:rPr>
              <w:t>19</w:t>
            </w:r>
          </w:p>
        </w:tc>
        <w:tc>
          <w:tcPr>
            <w:tcW w:w="511" w:type="pct"/>
            <w:shd w:val="clear" w:color="auto" w:fill="EEECE1" w:themeFill="background2"/>
          </w:tcPr>
          <w:p w14:paraId="1C6EB3D8" w14:textId="77777777" w:rsidR="00636DAD" w:rsidRPr="00D47F6D" w:rsidRDefault="00636DAD" w:rsidP="00BC4426">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2%</w:t>
            </w:r>
          </w:p>
        </w:tc>
        <w:tc>
          <w:tcPr>
            <w:tcW w:w="434" w:type="pct"/>
            <w:shd w:val="clear" w:color="auto" w:fill="EEECE1" w:themeFill="background2"/>
          </w:tcPr>
          <w:p w14:paraId="5DF61FE9" w14:textId="77777777" w:rsidR="00636DAD" w:rsidRPr="00D47F6D" w:rsidRDefault="00636DAD" w:rsidP="00BC4426">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21</w:t>
            </w:r>
          </w:p>
        </w:tc>
        <w:tc>
          <w:tcPr>
            <w:tcW w:w="513" w:type="pct"/>
            <w:shd w:val="clear" w:color="auto" w:fill="EEECE1" w:themeFill="background2"/>
          </w:tcPr>
          <w:p w14:paraId="4633218F" w14:textId="77777777" w:rsidR="00636DAD" w:rsidRPr="00D47F6D" w:rsidRDefault="00636DAD" w:rsidP="00BC4426">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2%</w:t>
            </w:r>
          </w:p>
        </w:tc>
        <w:tc>
          <w:tcPr>
            <w:tcW w:w="432" w:type="pct"/>
            <w:shd w:val="clear" w:color="auto" w:fill="EEECE1" w:themeFill="background2"/>
            <w:vAlign w:val="bottom"/>
          </w:tcPr>
          <w:p w14:paraId="329B44B7" w14:textId="77777777" w:rsidR="00636DAD" w:rsidRPr="00D47F6D" w:rsidRDefault="00636DAD" w:rsidP="00BC4426">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0"/>
              </w:rPr>
            </w:pPr>
            <w:r w:rsidRPr="00D47F6D">
              <w:rPr>
                <w:color w:val="000000"/>
                <w:sz w:val="20"/>
                <w:szCs w:val="20"/>
                <w:lang w:eastAsia="en-NZ"/>
              </w:rPr>
              <w:t>19</w:t>
            </w:r>
          </w:p>
        </w:tc>
        <w:tc>
          <w:tcPr>
            <w:tcW w:w="515" w:type="pct"/>
            <w:shd w:val="clear" w:color="auto" w:fill="EEECE1" w:themeFill="background2"/>
          </w:tcPr>
          <w:p w14:paraId="09A7EB30" w14:textId="77777777" w:rsidR="00636DAD" w:rsidRPr="00D47F6D" w:rsidRDefault="00636DAD" w:rsidP="00BC4426">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 xml:space="preserve">   2%</w:t>
            </w:r>
          </w:p>
        </w:tc>
      </w:tr>
      <w:tr w:rsidR="00636DAD" w:rsidRPr="00BB33CA" w14:paraId="5245932E" w14:textId="77777777" w:rsidTr="00BC4426">
        <w:trPr>
          <w:cnfStyle w:val="000000100000" w:firstRow="0" w:lastRow="0" w:firstColumn="0" w:lastColumn="0" w:oddVBand="0" w:evenVBand="0" w:oddHBand="1" w:evenHBand="0" w:firstRowFirstColumn="0" w:firstRowLastColumn="0" w:lastRowFirstColumn="0" w:lastRowLastColumn="0"/>
          <w:cantSplit/>
          <w:trHeight w:val="251"/>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tcPr>
          <w:p w14:paraId="48251358" w14:textId="77777777" w:rsidR="00636DAD" w:rsidRPr="00D47F6D" w:rsidRDefault="00636DAD" w:rsidP="00BC4426">
            <w:pPr>
              <w:rPr>
                <w:rFonts w:eastAsia="Calibri"/>
                <w:b w:val="0"/>
                <w:bCs w:val="0"/>
                <w:color w:val="000000" w:themeColor="text1"/>
                <w:sz w:val="20"/>
                <w:szCs w:val="20"/>
              </w:rPr>
            </w:pPr>
            <w:r w:rsidRPr="00D47F6D">
              <w:rPr>
                <w:rFonts w:eastAsia="Calibri"/>
                <w:color w:val="000000" w:themeColor="text1"/>
                <w:sz w:val="20"/>
                <w:szCs w:val="20"/>
              </w:rPr>
              <w:t>Unspecified</w:t>
            </w:r>
          </w:p>
        </w:tc>
        <w:tc>
          <w:tcPr>
            <w:tcW w:w="437" w:type="pct"/>
            <w:shd w:val="clear" w:color="auto" w:fill="auto"/>
          </w:tcPr>
          <w:p w14:paraId="5163E63E" w14:textId="77777777" w:rsidR="00636DAD" w:rsidRPr="00D47F6D" w:rsidRDefault="00636DAD" w:rsidP="00BC4426">
            <w:pPr>
              <w:cnfStyle w:val="000000100000" w:firstRow="0" w:lastRow="0" w:firstColumn="0" w:lastColumn="0" w:oddVBand="0" w:evenVBand="0" w:oddHBand="1" w:evenHBand="0" w:firstRowFirstColumn="0" w:firstRowLastColumn="0" w:lastRowFirstColumn="0" w:lastRowLastColumn="0"/>
              <w:rPr>
                <w:rFonts w:eastAsia="Calibri"/>
                <w:b/>
                <w:bCs/>
                <w:color w:val="000000" w:themeColor="text1"/>
                <w:sz w:val="20"/>
                <w:szCs w:val="20"/>
              </w:rPr>
            </w:pPr>
            <w:r w:rsidRPr="00D47F6D">
              <w:rPr>
                <w:rFonts w:eastAsia="Calibri"/>
                <w:color w:val="000000" w:themeColor="text1"/>
                <w:sz w:val="20"/>
                <w:szCs w:val="20"/>
              </w:rPr>
              <w:t>34</w:t>
            </w:r>
          </w:p>
        </w:tc>
        <w:tc>
          <w:tcPr>
            <w:tcW w:w="510" w:type="pct"/>
            <w:shd w:val="clear" w:color="auto" w:fill="auto"/>
          </w:tcPr>
          <w:p w14:paraId="0084B91C" w14:textId="77777777" w:rsidR="00636DAD" w:rsidRPr="00D47F6D" w:rsidRDefault="00636DAD" w:rsidP="00BC4426">
            <w:pP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4%</w:t>
            </w:r>
          </w:p>
        </w:tc>
        <w:tc>
          <w:tcPr>
            <w:tcW w:w="436" w:type="pct"/>
            <w:shd w:val="clear" w:color="auto" w:fill="auto"/>
          </w:tcPr>
          <w:p w14:paraId="7EBE1FD0" w14:textId="77777777" w:rsidR="00636DAD" w:rsidRPr="00D47F6D" w:rsidRDefault="00636DAD" w:rsidP="00BC4426">
            <w:pPr>
              <w:cnfStyle w:val="000000100000" w:firstRow="0" w:lastRow="0" w:firstColumn="0" w:lastColumn="0" w:oddVBand="0" w:evenVBand="0" w:oddHBand="1" w:evenHBand="0" w:firstRowFirstColumn="0" w:firstRowLastColumn="0" w:lastRowFirstColumn="0" w:lastRowLastColumn="0"/>
              <w:rPr>
                <w:sz w:val="20"/>
                <w:szCs w:val="20"/>
              </w:rPr>
            </w:pPr>
            <w:r w:rsidRPr="00D47F6D">
              <w:rPr>
                <w:rFonts w:eastAsia="Calibri"/>
                <w:color w:val="000000" w:themeColor="text1"/>
                <w:sz w:val="20"/>
                <w:szCs w:val="20"/>
              </w:rPr>
              <w:t>33</w:t>
            </w:r>
          </w:p>
        </w:tc>
        <w:tc>
          <w:tcPr>
            <w:tcW w:w="511" w:type="pct"/>
            <w:shd w:val="clear" w:color="auto" w:fill="auto"/>
          </w:tcPr>
          <w:p w14:paraId="5ED77B0D" w14:textId="77777777" w:rsidR="00636DAD" w:rsidRPr="00D47F6D" w:rsidRDefault="00636DAD" w:rsidP="00BC4426">
            <w:pP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4%</w:t>
            </w:r>
          </w:p>
        </w:tc>
        <w:tc>
          <w:tcPr>
            <w:tcW w:w="434" w:type="pct"/>
            <w:shd w:val="clear" w:color="auto" w:fill="auto"/>
          </w:tcPr>
          <w:p w14:paraId="0B989D48" w14:textId="77777777" w:rsidR="00636DAD" w:rsidRPr="00D47F6D" w:rsidRDefault="00636DAD" w:rsidP="00BC4426">
            <w:pP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33</w:t>
            </w:r>
          </w:p>
        </w:tc>
        <w:tc>
          <w:tcPr>
            <w:tcW w:w="513" w:type="pct"/>
            <w:shd w:val="clear" w:color="auto" w:fill="auto"/>
          </w:tcPr>
          <w:p w14:paraId="78D69AC9" w14:textId="77777777" w:rsidR="00636DAD" w:rsidRPr="00D47F6D" w:rsidRDefault="00636DAD" w:rsidP="00BC4426">
            <w:pP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4%</w:t>
            </w:r>
          </w:p>
        </w:tc>
        <w:tc>
          <w:tcPr>
            <w:tcW w:w="432" w:type="pct"/>
            <w:shd w:val="clear" w:color="auto" w:fill="auto"/>
            <w:vAlign w:val="bottom"/>
          </w:tcPr>
          <w:p w14:paraId="5BFD03BC" w14:textId="77777777" w:rsidR="00636DAD" w:rsidRPr="00D47F6D" w:rsidRDefault="00636DAD" w:rsidP="00BC4426">
            <w:pP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20"/>
                <w:szCs w:val="20"/>
              </w:rPr>
            </w:pPr>
            <w:r w:rsidRPr="00D47F6D">
              <w:rPr>
                <w:color w:val="000000"/>
                <w:sz w:val="20"/>
                <w:szCs w:val="20"/>
                <w:lang w:eastAsia="en-NZ"/>
              </w:rPr>
              <w:t>34</w:t>
            </w:r>
          </w:p>
        </w:tc>
        <w:tc>
          <w:tcPr>
            <w:tcW w:w="515" w:type="pct"/>
            <w:shd w:val="clear" w:color="auto" w:fill="auto"/>
          </w:tcPr>
          <w:p w14:paraId="148520BC" w14:textId="77777777" w:rsidR="00636DAD" w:rsidRPr="00D47F6D" w:rsidRDefault="00636DAD" w:rsidP="00BC4426">
            <w:pP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20"/>
                <w:szCs w:val="20"/>
              </w:rPr>
            </w:pPr>
            <w:r w:rsidRPr="00D47F6D">
              <w:rPr>
                <w:rFonts w:eastAsia="Calibri"/>
                <w:color w:val="000000" w:themeColor="text1"/>
                <w:sz w:val="20"/>
                <w:szCs w:val="20"/>
              </w:rPr>
              <w:t xml:space="preserve">   4%</w:t>
            </w:r>
          </w:p>
        </w:tc>
      </w:tr>
    </w:tbl>
    <w:p w14:paraId="522C1F1B" w14:textId="77777777" w:rsidR="00636DAD" w:rsidRPr="00A97E59" w:rsidRDefault="00636DAD" w:rsidP="00636DAD">
      <w:pPr>
        <w:rPr>
          <w:sz w:val="24"/>
          <w:szCs w:val="24"/>
        </w:rPr>
      </w:pPr>
    </w:p>
    <w:tbl>
      <w:tblPr>
        <w:tblStyle w:val="TableGrid"/>
        <w:tblW w:w="9079" w:type="dxa"/>
        <w:tblLayout w:type="fixed"/>
        <w:tblLook w:val="04A0" w:firstRow="1" w:lastRow="0" w:firstColumn="1" w:lastColumn="0" w:noHBand="0" w:noVBand="1"/>
      </w:tblPr>
      <w:tblGrid>
        <w:gridCol w:w="2183"/>
        <w:gridCol w:w="694"/>
        <w:gridCol w:w="1087"/>
        <w:gridCol w:w="709"/>
        <w:gridCol w:w="992"/>
        <w:gridCol w:w="709"/>
        <w:gridCol w:w="992"/>
        <w:gridCol w:w="709"/>
        <w:gridCol w:w="1004"/>
      </w:tblGrid>
      <w:tr w:rsidR="00636DAD" w:rsidRPr="00B46FA2" w14:paraId="545EB23D" w14:textId="77777777" w:rsidTr="00BC4426">
        <w:trPr>
          <w:trHeight w:val="267"/>
        </w:trPr>
        <w:tc>
          <w:tcPr>
            <w:tcW w:w="2183" w:type="dxa"/>
            <w:vMerge w:val="restart"/>
            <w:shd w:val="clear" w:color="auto" w:fill="FFFFFF" w:themeFill="background1"/>
            <w:vAlign w:val="center"/>
          </w:tcPr>
          <w:p w14:paraId="01B22F05" w14:textId="77777777" w:rsidR="00636DAD" w:rsidRPr="00D47F6D" w:rsidRDefault="00636DAD" w:rsidP="00BC4426">
            <w:pPr>
              <w:spacing w:line="257" w:lineRule="auto"/>
              <w:rPr>
                <w:b/>
                <w:sz w:val="20"/>
                <w:szCs w:val="20"/>
              </w:rPr>
            </w:pPr>
            <w:r w:rsidRPr="00B50E4D">
              <w:rPr>
                <w:b/>
              </w:rPr>
              <w:t>Membership by district</w:t>
            </w:r>
          </w:p>
        </w:tc>
        <w:tc>
          <w:tcPr>
            <w:tcW w:w="1781" w:type="dxa"/>
            <w:gridSpan w:val="2"/>
            <w:shd w:val="clear" w:color="auto" w:fill="37B0A8"/>
            <w:vAlign w:val="center"/>
          </w:tcPr>
          <w:p w14:paraId="2BC28EFC" w14:textId="77777777" w:rsidR="00636DAD" w:rsidRPr="00D47F6D" w:rsidRDefault="00636DAD" w:rsidP="00BC4426">
            <w:pPr>
              <w:jc w:val="center"/>
              <w:rPr>
                <w:rFonts w:eastAsia="Calibri"/>
                <w:b/>
                <w:color w:val="000000" w:themeColor="text1"/>
                <w:sz w:val="20"/>
                <w:szCs w:val="20"/>
              </w:rPr>
            </w:pPr>
            <w:r w:rsidRPr="00D47F6D">
              <w:rPr>
                <w:rFonts w:eastAsia="Calibri"/>
                <w:b/>
                <w:color w:val="000000" w:themeColor="text1"/>
                <w:sz w:val="20"/>
                <w:szCs w:val="20"/>
              </w:rPr>
              <w:t>Quarter 1</w:t>
            </w:r>
          </w:p>
        </w:tc>
        <w:tc>
          <w:tcPr>
            <w:tcW w:w="1701" w:type="dxa"/>
            <w:gridSpan w:val="2"/>
            <w:shd w:val="clear" w:color="auto" w:fill="BB7CB3"/>
            <w:vAlign w:val="center"/>
          </w:tcPr>
          <w:p w14:paraId="61F42DEB" w14:textId="77777777" w:rsidR="00636DAD" w:rsidRPr="00D47F6D" w:rsidRDefault="00636DAD" w:rsidP="00BC4426">
            <w:pPr>
              <w:jc w:val="center"/>
              <w:rPr>
                <w:rFonts w:eastAsia="Calibri"/>
                <w:b/>
                <w:color w:val="000000" w:themeColor="text1"/>
                <w:sz w:val="20"/>
                <w:szCs w:val="20"/>
              </w:rPr>
            </w:pPr>
            <w:r w:rsidRPr="00D47F6D">
              <w:rPr>
                <w:rFonts w:eastAsia="Calibri"/>
                <w:b/>
                <w:color w:val="000000" w:themeColor="text1"/>
                <w:sz w:val="20"/>
                <w:szCs w:val="20"/>
              </w:rPr>
              <w:t>Quarter 2</w:t>
            </w:r>
          </w:p>
        </w:tc>
        <w:tc>
          <w:tcPr>
            <w:tcW w:w="1701" w:type="dxa"/>
            <w:gridSpan w:val="2"/>
            <w:shd w:val="clear" w:color="auto" w:fill="37B0A8"/>
            <w:vAlign w:val="center"/>
          </w:tcPr>
          <w:p w14:paraId="6F926F14" w14:textId="77777777" w:rsidR="00636DAD" w:rsidRPr="00D47F6D" w:rsidRDefault="00636DAD" w:rsidP="00BC4426">
            <w:pPr>
              <w:jc w:val="center"/>
              <w:rPr>
                <w:rFonts w:eastAsia="Calibri"/>
                <w:b/>
                <w:color w:val="000000" w:themeColor="text1"/>
                <w:sz w:val="20"/>
                <w:szCs w:val="20"/>
              </w:rPr>
            </w:pPr>
            <w:r w:rsidRPr="00D47F6D">
              <w:rPr>
                <w:rFonts w:eastAsia="Calibri"/>
                <w:b/>
                <w:color w:val="000000" w:themeColor="text1"/>
                <w:sz w:val="20"/>
                <w:szCs w:val="20"/>
              </w:rPr>
              <w:t>Quarter 3</w:t>
            </w:r>
          </w:p>
        </w:tc>
        <w:tc>
          <w:tcPr>
            <w:tcW w:w="1713" w:type="dxa"/>
            <w:gridSpan w:val="2"/>
            <w:shd w:val="clear" w:color="auto" w:fill="BB7CB3"/>
            <w:vAlign w:val="center"/>
          </w:tcPr>
          <w:p w14:paraId="5FBC42E2" w14:textId="77777777" w:rsidR="00636DAD" w:rsidRPr="00D47F6D" w:rsidRDefault="00636DAD" w:rsidP="00BC4426">
            <w:pPr>
              <w:jc w:val="center"/>
              <w:rPr>
                <w:rFonts w:eastAsia="Calibri"/>
                <w:b/>
                <w:color w:val="000000" w:themeColor="text1"/>
                <w:sz w:val="20"/>
                <w:szCs w:val="20"/>
              </w:rPr>
            </w:pPr>
            <w:r w:rsidRPr="00D47F6D">
              <w:rPr>
                <w:rFonts w:eastAsia="Calibri"/>
                <w:b/>
                <w:color w:val="000000" w:themeColor="text1"/>
                <w:sz w:val="20"/>
                <w:szCs w:val="20"/>
              </w:rPr>
              <w:t>Quarter 4</w:t>
            </w:r>
          </w:p>
        </w:tc>
      </w:tr>
      <w:tr w:rsidR="00636DAD" w:rsidRPr="007426DB" w14:paraId="2DADB09E" w14:textId="77777777" w:rsidTr="00BC4426">
        <w:trPr>
          <w:trHeight w:val="267"/>
        </w:trPr>
        <w:tc>
          <w:tcPr>
            <w:tcW w:w="2183" w:type="dxa"/>
            <w:vMerge/>
            <w:shd w:val="clear" w:color="auto" w:fill="FFFFFF" w:themeFill="background1"/>
            <w:vAlign w:val="center"/>
          </w:tcPr>
          <w:p w14:paraId="4FE8BBB4" w14:textId="77777777" w:rsidR="00636DAD" w:rsidRPr="00D47F6D" w:rsidRDefault="00636DAD" w:rsidP="00BC4426">
            <w:pPr>
              <w:rPr>
                <w:b/>
                <w:sz w:val="20"/>
                <w:szCs w:val="20"/>
              </w:rPr>
            </w:pPr>
          </w:p>
        </w:tc>
        <w:tc>
          <w:tcPr>
            <w:tcW w:w="694" w:type="dxa"/>
            <w:shd w:val="clear" w:color="auto" w:fill="37B0A8"/>
            <w:vAlign w:val="center"/>
          </w:tcPr>
          <w:p w14:paraId="2E75D7A9" w14:textId="77777777" w:rsidR="00636DAD" w:rsidRPr="00D47F6D" w:rsidRDefault="00636DAD" w:rsidP="00BC4426">
            <w:pPr>
              <w:jc w:val="center"/>
              <w:rPr>
                <w:b/>
                <w:bCs/>
                <w:sz w:val="20"/>
                <w:szCs w:val="20"/>
              </w:rPr>
            </w:pPr>
            <w:r w:rsidRPr="00F15B9A">
              <w:rPr>
                <w:rFonts w:eastAsia="Calibri"/>
                <w:b/>
                <w:bCs/>
                <w:color w:val="000000" w:themeColor="text1"/>
                <w:sz w:val="20"/>
                <w:szCs w:val="20"/>
              </w:rPr>
              <w:t>Total</w:t>
            </w:r>
          </w:p>
        </w:tc>
        <w:tc>
          <w:tcPr>
            <w:tcW w:w="1087" w:type="dxa"/>
            <w:shd w:val="clear" w:color="auto" w:fill="37B0A8"/>
            <w:vAlign w:val="center"/>
          </w:tcPr>
          <w:p w14:paraId="79DF3E1D" w14:textId="77777777" w:rsidR="00636DAD" w:rsidRPr="00D47F6D" w:rsidRDefault="00636DAD" w:rsidP="00BC4426">
            <w:pPr>
              <w:jc w:val="center"/>
              <w:rPr>
                <w:rFonts w:eastAsia="Calibri"/>
                <w:b/>
                <w:bCs/>
                <w:color w:val="000000" w:themeColor="text1"/>
                <w:sz w:val="20"/>
                <w:szCs w:val="20"/>
              </w:rPr>
            </w:pPr>
            <w:r w:rsidRPr="00F15B9A">
              <w:rPr>
                <w:rFonts w:eastAsia="Calibri"/>
                <w:b/>
                <w:bCs/>
                <w:color w:val="000000" w:themeColor="text1"/>
                <w:sz w:val="20"/>
                <w:szCs w:val="20"/>
              </w:rPr>
              <w:t>Percent</w:t>
            </w:r>
          </w:p>
        </w:tc>
        <w:tc>
          <w:tcPr>
            <w:tcW w:w="709" w:type="dxa"/>
            <w:shd w:val="clear" w:color="auto" w:fill="BB7CB3"/>
            <w:vAlign w:val="center"/>
          </w:tcPr>
          <w:p w14:paraId="045EE8EF" w14:textId="77777777" w:rsidR="00636DAD" w:rsidRPr="00D47F6D" w:rsidRDefault="00636DAD" w:rsidP="00BC4426">
            <w:pPr>
              <w:jc w:val="center"/>
              <w:rPr>
                <w:rFonts w:eastAsia="Calibri"/>
                <w:b/>
                <w:bCs/>
                <w:color w:val="000000" w:themeColor="text1"/>
                <w:sz w:val="20"/>
                <w:szCs w:val="20"/>
              </w:rPr>
            </w:pPr>
            <w:r w:rsidRPr="00F15B9A">
              <w:rPr>
                <w:rFonts w:eastAsia="Calibri"/>
                <w:b/>
                <w:bCs/>
                <w:color w:val="000000" w:themeColor="text1"/>
                <w:sz w:val="20"/>
                <w:szCs w:val="20"/>
              </w:rPr>
              <w:t>Total</w:t>
            </w:r>
          </w:p>
        </w:tc>
        <w:tc>
          <w:tcPr>
            <w:tcW w:w="992" w:type="dxa"/>
            <w:shd w:val="clear" w:color="auto" w:fill="BB7CB3"/>
            <w:vAlign w:val="center"/>
          </w:tcPr>
          <w:p w14:paraId="481AB8D2" w14:textId="77777777" w:rsidR="00636DAD" w:rsidRPr="00D47F6D" w:rsidRDefault="00636DAD" w:rsidP="00BC4426">
            <w:pPr>
              <w:jc w:val="center"/>
              <w:rPr>
                <w:rFonts w:eastAsia="Calibri"/>
                <w:b/>
                <w:bCs/>
                <w:color w:val="000000" w:themeColor="text1"/>
                <w:sz w:val="20"/>
                <w:szCs w:val="20"/>
              </w:rPr>
            </w:pPr>
            <w:r w:rsidRPr="00F15B9A">
              <w:rPr>
                <w:rFonts w:eastAsia="Calibri"/>
                <w:b/>
                <w:bCs/>
                <w:color w:val="000000" w:themeColor="text1"/>
                <w:sz w:val="20"/>
                <w:szCs w:val="20"/>
              </w:rPr>
              <w:t>Percent</w:t>
            </w:r>
          </w:p>
        </w:tc>
        <w:tc>
          <w:tcPr>
            <w:tcW w:w="709" w:type="dxa"/>
            <w:shd w:val="clear" w:color="auto" w:fill="37B0A8"/>
            <w:vAlign w:val="center"/>
          </w:tcPr>
          <w:p w14:paraId="44311945" w14:textId="77777777" w:rsidR="00636DAD" w:rsidRPr="00D47F6D" w:rsidRDefault="00636DAD" w:rsidP="00BC4426">
            <w:pPr>
              <w:jc w:val="center"/>
              <w:rPr>
                <w:rFonts w:eastAsia="Calibri"/>
                <w:b/>
                <w:bCs/>
                <w:color w:val="000000" w:themeColor="text1"/>
                <w:sz w:val="20"/>
                <w:szCs w:val="20"/>
              </w:rPr>
            </w:pPr>
            <w:r w:rsidRPr="00F15B9A">
              <w:rPr>
                <w:rFonts w:eastAsia="Calibri"/>
                <w:b/>
                <w:bCs/>
                <w:color w:val="000000" w:themeColor="text1"/>
                <w:sz w:val="20"/>
                <w:szCs w:val="20"/>
              </w:rPr>
              <w:t>Total</w:t>
            </w:r>
          </w:p>
        </w:tc>
        <w:tc>
          <w:tcPr>
            <w:tcW w:w="992" w:type="dxa"/>
            <w:shd w:val="clear" w:color="auto" w:fill="37B0A8"/>
            <w:vAlign w:val="center"/>
          </w:tcPr>
          <w:p w14:paraId="2AA342C3" w14:textId="77777777" w:rsidR="00636DAD" w:rsidRPr="00D47F6D" w:rsidRDefault="00636DAD" w:rsidP="00BC4426">
            <w:pPr>
              <w:jc w:val="center"/>
              <w:rPr>
                <w:rFonts w:eastAsia="Calibri"/>
                <w:b/>
                <w:bCs/>
                <w:color w:val="000000" w:themeColor="text1"/>
                <w:sz w:val="20"/>
                <w:szCs w:val="20"/>
              </w:rPr>
            </w:pPr>
            <w:r w:rsidRPr="00F15B9A">
              <w:rPr>
                <w:rFonts w:eastAsia="Calibri"/>
                <w:b/>
                <w:bCs/>
                <w:color w:val="000000" w:themeColor="text1"/>
                <w:sz w:val="20"/>
                <w:szCs w:val="20"/>
              </w:rPr>
              <w:t>Percent</w:t>
            </w:r>
          </w:p>
        </w:tc>
        <w:tc>
          <w:tcPr>
            <w:tcW w:w="709" w:type="dxa"/>
            <w:shd w:val="clear" w:color="auto" w:fill="BB7CB3"/>
            <w:vAlign w:val="center"/>
          </w:tcPr>
          <w:p w14:paraId="5444EC62" w14:textId="77777777" w:rsidR="00636DAD" w:rsidRPr="00B240ED" w:rsidRDefault="00636DAD" w:rsidP="00BC4426">
            <w:pPr>
              <w:jc w:val="center"/>
              <w:rPr>
                <w:rFonts w:eastAsia="Calibri"/>
                <w:b/>
                <w:bCs/>
                <w:color w:val="000000" w:themeColor="text1"/>
                <w:sz w:val="20"/>
                <w:szCs w:val="20"/>
              </w:rPr>
            </w:pPr>
            <w:r w:rsidRPr="00B240ED">
              <w:rPr>
                <w:rFonts w:eastAsia="Calibri"/>
                <w:b/>
                <w:bCs/>
                <w:color w:val="000000" w:themeColor="text1"/>
                <w:sz w:val="20"/>
                <w:szCs w:val="20"/>
              </w:rPr>
              <w:t>Total</w:t>
            </w:r>
          </w:p>
        </w:tc>
        <w:tc>
          <w:tcPr>
            <w:tcW w:w="1004" w:type="dxa"/>
            <w:shd w:val="clear" w:color="auto" w:fill="BB7CB3"/>
            <w:vAlign w:val="center"/>
          </w:tcPr>
          <w:p w14:paraId="732D589F" w14:textId="77777777" w:rsidR="00636DAD" w:rsidRPr="00F15B9A" w:rsidRDefault="00636DAD" w:rsidP="00BC4426">
            <w:pPr>
              <w:jc w:val="center"/>
              <w:rPr>
                <w:rFonts w:eastAsia="Calibri"/>
                <w:b/>
                <w:color w:val="000000" w:themeColor="text1"/>
                <w:sz w:val="20"/>
                <w:szCs w:val="20"/>
              </w:rPr>
            </w:pPr>
            <w:r w:rsidRPr="00F15B9A">
              <w:rPr>
                <w:rFonts w:eastAsia="Calibri"/>
                <w:b/>
                <w:color w:val="000000" w:themeColor="text1"/>
                <w:sz w:val="20"/>
                <w:szCs w:val="20"/>
              </w:rPr>
              <w:t>Percent</w:t>
            </w:r>
          </w:p>
        </w:tc>
      </w:tr>
      <w:tr w:rsidR="00636DAD" w:rsidRPr="007426DB" w14:paraId="36D073B4" w14:textId="77777777" w:rsidTr="00BC4426">
        <w:trPr>
          <w:trHeight w:val="267"/>
        </w:trPr>
        <w:tc>
          <w:tcPr>
            <w:tcW w:w="2183" w:type="dxa"/>
            <w:shd w:val="clear" w:color="auto" w:fill="EEECE1" w:themeFill="background2"/>
            <w:vAlign w:val="center"/>
          </w:tcPr>
          <w:p w14:paraId="7B5D63C1" w14:textId="77777777" w:rsidR="00636DAD" w:rsidRPr="00D47F6D" w:rsidRDefault="00636DAD" w:rsidP="00BC4426">
            <w:pPr>
              <w:rPr>
                <w:sz w:val="20"/>
                <w:szCs w:val="20"/>
              </w:rPr>
            </w:pPr>
            <w:r w:rsidRPr="00D47F6D">
              <w:rPr>
                <w:rFonts w:eastAsia="Calibri"/>
                <w:color w:val="000000" w:themeColor="text1"/>
                <w:sz w:val="20"/>
                <w:szCs w:val="20"/>
              </w:rPr>
              <w:t>Auckland | Tāmaki Makaurau</w:t>
            </w:r>
          </w:p>
        </w:tc>
        <w:tc>
          <w:tcPr>
            <w:tcW w:w="694" w:type="dxa"/>
            <w:shd w:val="clear" w:color="auto" w:fill="EEECE1" w:themeFill="background2"/>
            <w:vAlign w:val="center"/>
          </w:tcPr>
          <w:p w14:paraId="48C8D275" w14:textId="77777777" w:rsidR="00636DAD" w:rsidRPr="00D47F6D" w:rsidRDefault="00636DAD" w:rsidP="00BC4426">
            <w:pPr>
              <w:rPr>
                <w:sz w:val="20"/>
                <w:szCs w:val="20"/>
              </w:rPr>
            </w:pPr>
            <w:r w:rsidRPr="00D47F6D">
              <w:rPr>
                <w:rFonts w:eastAsia="Calibri"/>
                <w:color w:val="000000" w:themeColor="text1"/>
                <w:sz w:val="20"/>
                <w:szCs w:val="20"/>
              </w:rPr>
              <w:t>198</w:t>
            </w:r>
          </w:p>
        </w:tc>
        <w:tc>
          <w:tcPr>
            <w:tcW w:w="1087" w:type="dxa"/>
            <w:shd w:val="clear" w:color="auto" w:fill="EEECE1" w:themeFill="background2"/>
            <w:vAlign w:val="center"/>
          </w:tcPr>
          <w:p w14:paraId="5B3EA958"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26</w:t>
            </w:r>
            <w:r w:rsidRPr="008A7ECF">
              <w:rPr>
                <w:rFonts w:eastAsia="Calibri"/>
                <w:color w:val="000000" w:themeColor="text1"/>
                <w:sz w:val="20"/>
                <w:szCs w:val="20"/>
              </w:rPr>
              <w:t>%</w:t>
            </w:r>
          </w:p>
        </w:tc>
        <w:tc>
          <w:tcPr>
            <w:tcW w:w="709" w:type="dxa"/>
            <w:shd w:val="clear" w:color="auto" w:fill="EEECE1" w:themeFill="background2"/>
            <w:vAlign w:val="center"/>
          </w:tcPr>
          <w:p w14:paraId="0DF382D1"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221</w:t>
            </w:r>
          </w:p>
        </w:tc>
        <w:tc>
          <w:tcPr>
            <w:tcW w:w="992" w:type="dxa"/>
            <w:shd w:val="clear" w:color="auto" w:fill="EEECE1" w:themeFill="background2"/>
            <w:vAlign w:val="center"/>
          </w:tcPr>
          <w:p w14:paraId="51EE4A57"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27</w:t>
            </w:r>
            <w:r w:rsidRPr="008A7ECF">
              <w:rPr>
                <w:rFonts w:eastAsia="Calibri"/>
                <w:color w:val="000000" w:themeColor="text1"/>
                <w:sz w:val="20"/>
                <w:szCs w:val="20"/>
              </w:rPr>
              <w:t>%</w:t>
            </w:r>
          </w:p>
        </w:tc>
        <w:tc>
          <w:tcPr>
            <w:tcW w:w="709" w:type="dxa"/>
            <w:shd w:val="clear" w:color="auto" w:fill="EEECE1" w:themeFill="background2"/>
            <w:vAlign w:val="center"/>
          </w:tcPr>
          <w:p w14:paraId="3DA6D135" w14:textId="77777777" w:rsidR="00636DAD" w:rsidRPr="00D47F6D" w:rsidRDefault="00636DAD" w:rsidP="00BC4426">
            <w:pPr>
              <w:tabs>
                <w:tab w:val="left" w:pos="660"/>
              </w:tabs>
              <w:rPr>
                <w:rFonts w:eastAsia="Calibri"/>
                <w:color w:val="000000" w:themeColor="text1"/>
                <w:sz w:val="20"/>
                <w:szCs w:val="20"/>
              </w:rPr>
            </w:pPr>
            <w:r w:rsidRPr="00D47F6D">
              <w:rPr>
                <w:rFonts w:eastAsia="Calibri"/>
                <w:color w:val="000000" w:themeColor="text1"/>
                <w:sz w:val="20"/>
                <w:szCs w:val="20"/>
              </w:rPr>
              <w:t>225</w:t>
            </w:r>
          </w:p>
        </w:tc>
        <w:tc>
          <w:tcPr>
            <w:tcW w:w="992" w:type="dxa"/>
            <w:shd w:val="clear" w:color="auto" w:fill="EEECE1" w:themeFill="background2"/>
            <w:vAlign w:val="center"/>
          </w:tcPr>
          <w:p w14:paraId="43B4C3C8" w14:textId="77777777" w:rsidR="00636DAD" w:rsidRPr="00D47F6D" w:rsidRDefault="00636DAD" w:rsidP="00BC4426">
            <w:pPr>
              <w:tabs>
                <w:tab w:val="left" w:pos="660"/>
              </w:tabs>
              <w:rPr>
                <w:rFonts w:eastAsia="Calibri"/>
                <w:color w:val="000000" w:themeColor="text1"/>
                <w:sz w:val="20"/>
                <w:szCs w:val="20"/>
              </w:rPr>
            </w:pPr>
            <w:r w:rsidRPr="00D47F6D">
              <w:rPr>
                <w:color w:val="000000"/>
                <w:sz w:val="20"/>
                <w:szCs w:val="20"/>
                <w:lang w:eastAsia="en-NZ"/>
              </w:rPr>
              <w:t>27</w:t>
            </w:r>
            <w:r w:rsidRPr="008A7ECF">
              <w:rPr>
                <w:color w:val="000000"/>
                <w:sz w:val="20"/>
                <w:szCs w:val="20"/>
                <w:lang w:eastAsia="en-NZ"/>
              </w:rPr>
              <w:t>%</w:t>
            </w:r>
          </w:p>
        </w:tc>
        <w:tc>
          <w:tcPr>
            <w:tcW w:w="709" w:type="dxa"/>
            <w:shd w:val="clear" w:color="auto" w:fill="EEECE1" w:themeFill="background2"/>
            <w:vAlign w:val="center"/>
          </w:tcPr>
          <w:p w14:paraId="08C7AE38" w14:textId="77777777" w:rsidR="00636DAD" w:rsidRPr="00D47F6D" w:rsidRDefault="00636DAD" w:rsidP="00BC4426">
            <w:pPr>
              <w:tabs>
                <w:tab w:val="left" w:pos="660"/>
              </w:tabs>
              <w:rPr>
                <w:color w:val="000000"/>
                <w:sz w:val="20"/>
                <w:szCs w:val="20"/>
                <w:lang w:eastAsia="en-NZ"/>
              </w:rPr>
            </w:pPr>
            <w:r w:rsidRPr="00D47F6D">
              <w:rPr>
                <w:color w:val="000000"/>
                <w:sz w:val="20"/>
                <w:szCs w:val="20"/>
                <w:lang w:eastAsia="en-NZ"/>
              </w:rPr>
              <w:t>232</w:t>
            </w:r>
          </w:p>
        </w:tc>
        <w:tc>
          <w:tcPr>
            <w:tcW w:w="1004" w:type="dxa"/>
            <w:shd w:val="clear" w:color="auto" w:fill="EEECE1" w:themeFill="background2"/>
            <w:vAlign w:val="center"/>
          </w:tcPr>
          <w:p w14:paraId="6F7356A9" w14:textId="77777777" w:rsidR="00636DAD" w:rsidRPr="00D47F6D" w:rsidRDefault="00636DAD" w:rsidP="00BC4426">
            <w:pPr>
              <w:tabs>
                <w:tab w:val="left" w:pos="660"/>
              </w:tabs>
              <w:rPr>
                <w:color w:val="000000"/>
                <w:sz w:val="20"/>
                <w:szCs w:val="20"/>
                <w:lang w:eastAsia="en-NZ"/>
              </w:rPr>
            </w:pPr>
            <w:r w:rsidRPr="00D47F6D">
              <w:rPr>
                <w:color w:val="000000"/>
                <w:sz w:val="20"/>
                <w:szCs w:val="20"/>
                <w:lang w:eastAsia="en-NZ"/>
              </w:rPr>
              <w:t>27%</w:t>
            </w:r>
          </w:p>
        </w:tc>
      </w:tr>
      <w:tr w:rsidR="00636DAD" w:rsidRPr="00104774" w14:paraId="2152DDFD" w14:textId="77777777" w:rsidTr="00BC4426">
        <w:trPr>
          <w:trHeight w:val="253"/>
        </w:trPr>
        <w:tc>
          <w:tcPr>
            <w:tcW w:w="2183" w:type="dxa"/>
            <w:shd w:val="clear" w:color="auto" w:fill="FFFFFF" w:themeFill="background1"/>
            <w:vAlign w:val="center"/>
          </w:tcPr>
          <w:p w14:paraId="75F37FDA" w14:textId="77777777" w:rsidR="00636DAD" w:rsidRPr="00D47F6D" w:rsidRDefault="00636DAD" w:rsidP="00BC4426">
            <w:pPr>
              <w:rPr>
                <w:sz w:val="20"/>
                <w:szCs w:val="20"/>
              </w:rPr>
            </w:pPr>
            <w:r w:rsidRPr="00D47F6D">
              <w:rPr>
                <w:rFonts w:eastAsia="Calibri"/>
                <w:color w:val="000000" w:themeColor="text1"/>
                <w:sz w:val="20"/>
                <w:szCs w:val="20"/>
              </w:rPr>
              <w:t>Bay of Plenty | Te Moana-a-Toi</w:t>
            </w:r>
          </w:p>
        </w:tc>
        <w:tc>
          <w:tcPr>
            <w:tcW w:w="694" w:type="dxa"/>
            <w:shd w:val="clear" w:color="auto" w:fill="auto"/>
            <w:vAlign w:val="center"/>
          </w:tcPr>
          <w:p w14:paraId="197CC8A1" w14:textId="77777777" w:rsidR="00636DAD" w:rsidRPr="00D47F6D" w:rsidRDefault="00636DAD" w:rsidP="00BC4426">
            <w:pPr>
              <w:rPr>
                <w:sz w:val="20"/>
                <w:szCs w:val="20"/>
              </w:rPr>
            </w:pPr>
            <w:r w:rsidRPr="00D47F6D">
              <w:rPr>
                <w:rFonts w:eastAsia="Calibri"/>
                <w:color w:val="000000" w:themeColor="text1"/>
                <w:sz w:val="20"/>
                <w:szCs w:val="20"/>
              </w:rPr>
              <w:t>50</w:t>
            </w:r>
          </w:p>
        </w:tc>
        <w:tc>
          <w:tcPr>
            <w:tcW w:w="1087" w:type="dxa"/>
            <w:shd w:val="clear" w:color="auto" w:fill="auto"/>
            <w:vAlign w:val="center"/>
          </w:tcPr>
          <w:p w14:paraId="63299AD5"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7</w:t>
            </w:r>
            <w:r w:rsidRPr="008A7ECF">
              <w:rPr>
                <w:rFonts w:eastAsia="Calibri"/>
                <w:color w:val="000000" w:themeColor="text1"/>
                <w:sz w:val="20"/>
                <w:szCs w:val="20"/>
              </w:rPr>
              <w:t>%</w:t>
            </w:r>
          </w:p>
        </w:tc>
        <w:tc>
          <w:tcPr>
            <w:tcW w:w="709" w:type="dxa"/>
            <w:shd w:val="clear" w:color="auto" w:fill="auto"/>
            <w:vAlign w:val="center"/>
          </w:tcPr>
          <w:p w14:paraId="4E25CF1F"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56</w:t>
            </w:r>
          </w:p>
        </w:tc>
        <w:tc>
          <w:tcPr>
            <w:tcW w:w="992" w:type="dxa"/>
            <w:shd w:val="clear" w:color="auto" w:fill="auto"/>
            <w:vAlign w:val="center"/>
          </w:tcPr>
          <w:p w14:paraId="1B87A7C3"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7</w:t>
            </w:r>
            <w:r w:rsidRPr="008A7ECF">
              <w:rPr>
                <w:rFonts w:eastAsia="Calibri"/>
                <w:color w:val="000000" w:themeColor="text1"/>
                <w:sz w:val="20"/>
                <w:szCs w:val="20"/>
              </w:rPr>
              <w:t>%</w:t>
            </w:r>
          </w:p>
        </w:tc>
        <w:tc>
          <w:tcPr>
            <w:tcW w:w="709" w:type="dxa"/>
            <w:shd w:val="clear" w:color="auto" w:fill="auto"/>
            <w:vAlign w:val="center"/>
          </w:tcPr>
          <w:p w14:paraId="3E3BB2F7"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55</w:t>
            </w:r>
          </w:p>
        </w:tc>
        <w:tc>
          <w:tcPr>
            <w:tcW w:w="992" w:type="dxa"/>
            <w:shd w:val="clear" w:color="auto" w:fill="auto"/>
            <w:vAlign w:val="center"/>
          </w:tcPr>
          <w:p w14:paraId="134D8061" w14:textId="77777777" w:rsidR="00636DAD" w:rsidRPr="00D47F6D" w:rsidRDefault="00636DAD" w:rsidP="00BC4426">
            <w:pPr>
              <w:rPr>
                <w:rFonts w:eastAsia="Calibri"/>
                <w:color w:val="000000" w:themeColor="text1"/>
                <w:sz w:val="20"/>
                <w:szCs w:val="20"/>
              </w:rPr>
            </w:pPr>
            <w:r w:rsidRPr="00D47F6D">
              <w:rPr>
                <w:color w:val="000000"/>
                <w:sz w:val="20"/>
                <w:szCs w:val="20"/>
                <w:lang w:eastAsia="en-NZ"/>
              </w:rPr>
              <w:t>7</w:t>
            </w:r>
            <w:r w:rsidRPr="008A7ECF">
              <w:rPr>
                <w:color w:val="000000"/>
                <w:sz w:val="20"/>
                <w:szCs w:val="20"/>
                <w:lang w:eastAsia="en-NZ"/>
              </w:rPr>
              <w:t>%</w:t>
            </w:r>
          </w:p>
        </w:tc>
        <w:tc>
          <w:tcPr>
            <w:tcW w:w="709" w:type="dxa"/>
            <w:shd w:val="clear" w:color="auto" w:fill="auto"/>
            <w:vAlign w:val="center"/>
          </w:tcPr>
          <w:p w14:paraId="1F42CA21" w14:textId="77777777" w:rsidR="00636DAD" w:rsidRPr="00D47F6D" w:rsidRDefault="00636DAD" w:rsidP="00BC4426">
            <w:pPr>
              <w:rPr>
                <w:color w:val="000000"/>
                <w:sz w:val="20"/>
                <w:szCs w:val="20"/>
                <w:lang w:eastAsia="en-NZ"/>
              </w:rPr>
            </w:pPr>
            <w:r w:rsidRPr="00D47F6D">
              <w:rPr>
                <w:color w:val="000000"/>
                <w:sz w:val="20"/>
                <w:szCs w:val="20"/>
                <w:lang w:eastAsia="en-NZ"/>
              </w:rPr>
              <w:t>55</w:t>
            </w:r>
          </w:p>
        </w:tc>
        <w:tc>
          <w:tcPr>
            <w:tcW w:w="1004" w:type="dxa"/>
            <w:shd w:val="clear" w:color="auto" w:fill="auto"/>
            <w:vAlign w:val="center"/>
          </w:tcPr>
          <w:p w14:paraId="60511300" w14:textId="77777777" w:rsidR="00636DAD" w:rsidRPr="00D47F6D" w:rsidRDefault="00636DAD" w:rsidP="00BC4426">
            <w:pPr>
              <w:rPr>
                <w:color w:val="000000"/>
                <w:sz w:val="20"/>
                <w:szCs w:val="20"/>
                <w:lang w:eastAsia="en-NZ"/>
              </w:rPr>
            </w:pPr>
            <w:r w:rsidRPr="00D47F6D">
              <w:rPr>
                <w:color w:val="000000"/>
                <w:sz w:val="20"/>
                <w:szCs w:val="20"/>
                <w:lang w:eastAsia="en-NZ"/>
              </w:rPr>
              <w:t>6%</w:t>
            </w:r>
          </w:p>
        </w:tc>
      </w:tr>
      <w:tr w:rsidR="00636DAD" w:rsidRPr="007426DB" w14:paraId="703406B2" w14:textId="77777777" w:rsidTr="00BC4426">
        <w:trPr>
          <w:trHeight w:val="267"/>
        </w:trPr>
        <w:tc>
          <w:tcPr>
            <w:tcW w:w="2183" w:type="dxa"/>
            <w:shd w:val="clear" w:color="auto" w:fill="EEECE1" w:themeFill="background2"/>
            <w:vAlign w:val="center"/>
          </w:tcPr>
          <w:p w14:paraId="031AF779" w14:textId="77777777" w:rsidR="00636DAD" w:rsidRPr="00D47F6D" w:rsidRDefault="00636DAD" w:rsidP="00BC4426">
            <w:pPr>
              <w:rPr>
                <w:sz w:val="20"/>
                <w:szCs w:val="20"/>
              </w:rPr>
            </w:pPr>
            <w:r w:rsidRPr="00D47F6D">
              <w:rPr>
                <w:rFonts w:eastAsia="Calibri"/>
                <w:color w:val="000000" w:themeColor="text1"/>
                <w:sz w:val="20"/>
                <w:szCs w:val="20"/>
              </w:rPr>
              <w:t>Canterbury | Waitaha</w:t>
            </w:r>
          </w:p>
        </w:tc>
        <w:tc>
          <w:tcPr>
            <w:tcW w:w="694" w:type="dxa"/>
            <w:shd w:val="clear" w:color="auto" w:fill="EEECE1" w:themeFill="background2"/>
            <w:vAlign w:val="center"/>
          </w:tcPr>
          <w:p w14:paraId="3C949827" w14:textId="77777777" w:rsidR="00636DAD" w:rsidRPr="00D47F6D" w:rsidRDefault="00636DAD" w:rsidP="00BC4426">
            <w:pPr>
              <w:rPr>
                <w:sz w:val="20"/>
                <w:szCs w:val="20"/>
              </w:rPr>
            </w:pPr>
            <w:r w:rsidRPr="00D47F6D">
              <w:rPr>
                <w:rFonts w:eastAsia="Calibri"/>
                <w:color w:val="000000" w:themeColor="text1"/>
                <w:sz w:val="20"/>
                <w:szCs w:val="20"/>
              </w:rPr>
              <w:t>110</w:t>
            </w:r>
          </w:p>
        </w:tc>
        <w:tc>
          <w:tcPr>
            <w:tcW w:w="1087" w:type="dxa"/>
            <w:shd w:val="clear" w:color="auto" w:fill="EEECE1" w:themeFill="background2"/>
            <w:vAlign w:val="center"/>
          </w:tcPr>
          <w:p w14:paraId="2B9DD6AE"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14</w:t>
            </w:r>
            <w:r w:rsidRPr="008A7ECF">
              <w:rPr>
                <w:rFonts w:eastAsia="Calibri"/>
                <w:color w:val="000000" w:themeColor="text1"/>
                <w:sz w:val="20"/>
                <w:szCs w:val="20"/>
              </w:rPr>
              <w:t>%</w:t>
            </w:r>
          </w:p>
        </w:tc>
        <w:tc>
          <w:tcPr>
            <w:tcW w:w="709" w:type="dxa"/>
            <w:shd w:val="clear" w:color="auto" w:fill="EEECE1" w:themeFill="background2"/>
            <w:vAlign w:val="center"/>
          </w:tcPr>
          <w:p w14:paraId="614198C4"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115</w:t>
            </w:r>
          </w:p>
        </w:tc>
        <w:tc>
          <w:tcPr>
            <w:tcW w:w="992" w:type="dxa"/>
            <w:shd w:val="clear" w:color="auto" w:fill="EEECE1" w:themeFill="background2"/>
            <w:vAlign w:val="center"/>
          </w:tcPr>
          <w:p w14:paraId="2C8E82F4"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14</w:t>
            </w:r>
            <w:r w:rsidRPr="008A7ECF">
              <w:rPr>
                <w:rFonts w:eastAsia="Calibri"/>
                <w:color w:val="000000" w:themeColor="text1"/>
                <w:sz w:val="20"/>
                <w:szCs w:val="20"/>
              </w:rPr>
              <w:t>%</w:t>
            </w:r>
          </w:p>
        </w:tc>
        <w:tc>
          <w:tcPr>
            <w:tcW w:w="709" w:type="dxa"/>
            <w:shd w:val="clear" w:color="auto" w:fill="EEECE1" w:themeFill="background2"/>
            <w:vAlign w:val="center"/>
          </w:tcPr>
          <w:p w14:paraId="724285C2" w14:textId="77777777" w:rsidR="00636DAD" w:rsidRPr="00D47F6D" w:rsidRDefault="00636DAD" w:rsidP="00BC4426">
            <w:pPr>
              <w:rPr>
                <w:rFonts w:eastAsia="Calibri"/>
                <w:color w:val="000000" w:themeColor="text1"/>
                <w:sz w:val="20"/>
                <w:szCs w:val="20"/>
              </w:rPr>
            </w:pPr>
            <w:r w:rsidRPr="00D47F6D">
              <w:rPr>
                <w:color w:val="000000"/>
                <w:sz w:val="20"/>
                <w:szCs w:val="20"/>
                <w:lang w:eastAsia="en-NZ"/>
              </w:rPr>
              <w:t>128</w:t>
            </w:r>
          </w:p>
        </w:tc>
        <w:tc>
          <w:tcPr>
            <w:tcW w:w="992" w:type="dxa"/>
            <w:shd w:val="clear" w:color="auto" w:fill="EEECE1" w:themeFill="background2"/>
            <w:vAlign w:val="center"/>
          </w:tcPr>
          <w:p w14:paraId="7D124960" w14:textId="77777777" w:rsidR="00636DAD" w:rsidRPr="00D47F6D" w:rsidRDefault="00636DAD" w:rsidP="00BC4426">
            <w:pPr>
              <w:rPr>
                <w:color w:val="000000"/>
                <w:sz w:val="20"/>
                <w:szCs w:val="20"/>
                <w:lang w:eastAsia="en-NZ"/>
              </w:rPr>
            </w:pPr>
            <w:r w:rsidRPr="00D47F6D">
              <w:rPr>
                <w:color w:val="000000"/>
                <w:sz w:val="20"/>
                <w:szCs w:val="20"/>
                <w:lang w:eastAsia="en-NZ"/>
              </w:rPr>
              <w:t>15</w:t>
            </w:r>
            <w:r w:rsidRPr="008A7ECF">
              <w:rPr>
                <w:color w:val="000000"/>
                <w:sz w:val="20"/>
                <w:szCs w:val="20"/>
                <w:lang w:eastAsia="en-NZ"/>
              </w:rPr>
              <w:t>%</w:t>
            </w:r>
          </w:p>
        </w:tc>
        <w:tc>
          <w:tcPr>
            <w:tcW w:w="709" w:type="dxa"/>
            <w:shd w:val="clear" w:color="auto" w:fill="EEECE1" w:themeFill="background2"/>
            <w:vAlign w:val="center"/>
          </w:tcPr>
          <w:p w14:paraId="4195E947" w14:textId="77777777" w:rsidR="00636DAD" w:rsidRPr="00D47F6D" w:rsidRDefault="00636DAD" w:rsidP="00BC4426">
            <w:pPr>
              <w:rPr>
                <w:color w:val="000000"/>
                <w:sz w:val="20"/>
                <w:szCs w:val="20"/>
                <w:lang w:eastAsia="en-NZ"/>
              </w:rPr>
            </w:pPr>
            <w:r w:rsidRPr="00D47F6D">
              <w:rPr>
                <w:color w:val="000000"/>
                <w:sz w:val="20"/>
                <w:szCs w:val="20"/>
                <w:lang w:eastAsia="en-NZ"/>
              </w:rPr>
              <w:t>135</w:t>
            </w:r>
          </w:p>
        </w:tc>
        <w:tc>
          <w:tcPr>
            <w:tcW w:w="1004" w:type="dxa"/>
            <w:shd w:val="clear" w:color="auto" w:fill="EEECE1" w:themeFill="background2"/>
            <w:vAlign w:val="center"/>
          </w:tcPr>
          <w:p w14:paraId="2F2316F2" w14:textId="77777777" w:rsidR="00636DAD" w:rsidRPr="00D47F6D" w:rsidRDefault="00636DAD" w:rsidP="00BC4426">
            <w:pPr>
              <w:rPr>
                <w:color w:val="000000"/>
                <w:sz w:val="20"/>
                <w:szCs w:val="20"/>
                <w:lang w:eastAsia="en-NZ"/>
              </w:rPr>
            </w:pPr>
            <w:r w:rsidRPr="00D47F6D">
              <w:rPr>
                <w:color w:val="000000"/>
                <w:sz w:val="20"/>
                <w:szCs w:val="20"/>
                <w:lang w:eastAsia="en-NZ"/>
              </w:rPr>
              <w:t>15%</w:t>
            </w:r>
          </w:p>
        </w:tc>
      </w:tr>
      <w:tr w:rsidR="00636DAD" w:rsidRPr="00104774" w14:paraId="5E3F6345" w14:textId="77777777" w:rsidTr="00BC4426">
        <w:trPr>
          <w:trHeight w:val="267"/>
        </w:trPr>
        <w:tc>
          <w:tcPr>
            <w:tcW w:w="2183" w:type="dxa"/>
            <w:shd w:val="clear" w:color="auto" w:fill="FFFFFF" w:themeFill="background1"/>
            <w:vAlign w:val="center"/>
          </w:tcPr>
          <w:p w14:paraId="16F1D121" w14:textId="77777777" w:rsidR="00636DAD" w:rsidRPr="00D47F6D" w:rsidRDefault="00636DAD" w:rsidP="00BC4426">
            <w:pPr>
              <w:rPr>
                <w:sz w:val="20"/>
                <w:szCs w:val="20"/>
              </w:rPr>
            </w:pPr>
            <w:r w:rsidRPr="00D47F6D">
              <w:rPr>
                <w:rFonts w:eastAsia="Calibri"/>
                <w:color w:val="000000" w:themeColor="text1"/>
                <w:sz w:val="20"/>
                <w:szCs w:val="20"/>
              </w:rPr>
              <w:t>Gisborne | Te Tai Rāwhiti</w:t>
            </w:r>
          </w:p>
        </w:tc>
        <w:tc>
          <w:tcPr>
            <w:tcW w:w="694" w:type="dxa"/>
            <w:shd w:val="clear" w:color="auto" w:fill="auto"/>
            <w:vAlign w:val="center"/>
          </w:tcPr>
          <w:p w14:paraId="55F09935" w14:textId="77777777" w:rsidR="00636DAD" w:rsidRPr="00D47F6D" w:rsidRDefault="00636DAD" w:rsidP="00BC4426">
            <w:pPr>
              <w:rPr>
                <w:sz w:val="20"/>
                <w:szCs w:val="20"/>
              </w:rPr>
            </w:pPr>
            <w:r w:rsidRPr="00D47F6D">
              <w:rPr>
                <w:rFonts w:eastAsia="Calibri"/>
                <w:color w:val="000000" w:themeColor="text1"/>
                <w:sz w:val="20"/>
                <w:szCs w:val="20"/>
              </w:rPr>
              <w:t>7</w:t>
            </w:r>
          </w:p>
        </w:tc>
        <w:tc>
          <w:tcPr>
            <w:tcW w:w="1087" w:type="dxa"/>
            <w:shd w:val="clear" w:color="auto" w:fill="auto"/>
            <w:vAlign w:val="center"/>
          </w:tcPr>
          <w:p w14:paraId="0A326544"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1</w:t>
            </w:r>
            <w:r w:rsidRPr="008A7ECF">
              <w:rPr>
                <w:rFonts w:eastAsia="Calibri"/>
                <w:color w:val="000000" w:themeColor="text1"/>
                <w:sz w:val="20"/>
                <w:szCs w:val="20"/>
              </w:rPr>
              <w:t>%</w:t>
            </w:r>
          </w:p>
        </w:tc>
        <w:tc>
          <w:tcPr>
            <w:tcW w:w="709" w:type="dxa"/>
            <w:shd w:val="clear" w:color="auto" w:fill="auto"/>
            <w:vAlign w:val="center"/>
          </w:tcPr>
          <w:p w14:paraId="4A63A177"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8</w:t>
            </w:r>
          </w:p>
        </w:tc>
        <w:tc>
          <w:tcPr>
            <w:tcW w:w="992" w:type="dxa"/>
            <w:shd w:val="clear" w:color="auto" w:fill="auto"/>
            <w:vAlign w:val="center"/>
          </w:tcPr>
          <w:p w14:paraId="6B36422C"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1</w:t>
            </w:r>
            <w:r w:rsidRPr="008A7ECF">
              <w:rPr>
                <w:rFonts w:eastAsia="Calibri"/>
                <w:color w:val="000000" w:themeColor="text1"/>
                <w:sz w:val="20"/>
                <w:szCs w:val="20"/>
              </w:rPr>
              <w:t>%</w:t>
            </w:r>
          </w:p>
        </w:tc>
        <w:tc>
          <w:tcPr>
            <w:tcW w:w="709" w:type="dxa"/>
            <w:shd w:val="clear" w:color="auto" w:fill="auto"/>
            <w:vAlign w:val="center"/>
          </w:tcPr>
          <w:p w14:paraId="1B957A10" w14:textId="77777777" w:rsidR="00636DAD" w:rsidRPr="00D47F6D" w:rsidRDefault="00636DAD" w:rsidP="00BC4426">
            <w:pPr>
              <w:rPr>
                <w:rFonts w:eastAsia="Calibri"/>
                <w:color w:val="000000" w:themeColor="text1"/>
                <w:sz w:val="20"/>
                <w:szCs w:val="20"/>
              </w:rPr>
            </w:pPr>
            <w:r w:rsidRPr="00D47F6D">
              <w:rPr>
                <w:color w:val="000000"/>
                <w:sz w:val="20"/>
                <w:szCs w:val="20"/>
                <w:lang w:eastAsia="en-NZ"/>
              </w:rPr>
              <w:t>10</w:t>
            </w:r>
          </w:p>
        </w:tc>
        <w:tc>
          <w:tcPr>
            <w:tcW w:w="992" w:type="dxa"/>
            <w:shd w:val="clear" w:color="auto" w:fill="auto"/>
            <w:vAlign w:val="center"/>
          </w:tcPr>
          <w:p w14:paraId="507876D4" w14:textId="77777777" w:rsidR="00636DAD" w:rsidRPr="00D47F6D" w:rsidRDefault="00636DAD" w:rsidP="00BC4426">
            <w:pPr>
              <w:rPr>
                <w:color w:val="000000"/>
                <w:sz w:val="20"/>
                <w:szCs w:val="20"/>
                <w:lang w:eastAsia="en-NZ"/>
              </w:rPr>
            </w:pPr>
            <w:r w:rsidRPr="00D47F6D">
              <w:rPr>
                <w:color w:val="000000"/>
                <w:sz w:val="20"/>
                <w:szCs w:val="20"/>
                <w:lang w:eastAsia="en-NZ"/>
              </w:rPr>
              <w:t>1</w:t>
            </w:r>
            <w:r w:rsidRPr="008A7ECF">
              <w:rPr>
                <w:color w:val="000000"/>
                <w:sz w:val="20"/>
                <w:szCs w:val="20"/>
                <w:lang w:eastAsia="en-NZ"/>
              </w:rPr>
              <w:t>%</w:t>
            </w:r>
          </w:p>
        </w:tc>
        <w:tc>
          <w:tcPr>
            <w:tcW w:w="709" w:type="dxa"/>
            <w:shd w:val="clear" w:color="auto" w:fill="auto"/>
            <w:vAlign w:val="center"/>
          </w:tcPr>
          <w:p w14:paraId="387373A4" w14:textId="77777777" w:rsidR="00636DAD" w:rsidRPr="00D47F6D" w:rsidRDefault="00636DAD" w:rsidP="00BC4426">
            <w:pPr>
              <w:rPr>
                <w:color w:val="000000"/>
                <w:sz w:val="20"/>
                <w:szCs w:val="20"/>
                <w:lang w:eastAsia="en-NZ"/>
              </w:rPr>
            </w:pPr>
            <w:r w:rsidRPr="00D47F6D">
              <w:rPr>
                <w:color w:val="000000"/>
                <w:sz w:val="20"/>
                <w:szCs w:val="20"/>
                <w:lang w:eastAsia="en-NZ"/>
              </w:rPr>
              <w:t>9</w:t>
            </w:r>
          </w:p>
        </w:tc>
        <w:tc>
          <w:tcPr>
            <w:tcW w:w="1004" w:type="dxa"/>
            <w:shd w:val="clear" w:color="auto" w:fill="auto"/>
            <w:vAlign w:val="center"/>
          </w:tcPr>
          <w:p w14:paraId="40281F23" w14:textId="77777777" w:rsidR="00636DAD" w:rsidRPr="00D47F6D" w:rsidRDefault="00636DAD" w:rsidP="00BC4426">
            <w:pPr>
              <w:rPr>
                <w:color w:val="000000"/>
                <w:sz w:val="20"/>
                <w:szCs w:val="20"/>
                <w:lang w:eastAsia="en-NZ"/>
              </w:rPr>
            </w:pPr>
            <w:r w:rsidRPr="00D47F6D">
              <w:rPr>
                <w:color w:val="000000"/>
                <w:sz w:val="20"/>
                <w:szCs w:val="20"/>
                <w:lang w:eastAsia="en-NZ"/>
              </w:rPr>
              <w:t>1%</w:t>
            </w:r>
          </w:p>
        </w:tc>
      </w:tr>
      <w:tr w:rsidR="00636DAD" w:rsidRPr="007426DB" w14:paraId="4C8071C9" w14:textId="77777777" w:rsidTr="00BC4426">
        <w:trPr>
          <w:trHeight w:val="267"/>
        </w:trPr>
        <w:tc>
          <w:tcPr>
            <w:tcW w:w="2183" w:type="dxa"/>
            <w:shd w:val="clear" w:color="auto" w:fill="EEECE1" w:themeFill="background2"/>
            <w:vAlign w:val="center"/>
          </w:tcPr>
          <w:p w14:paraId="40D03AF0" w14:textId="77777777" w:rsidR="00636DAD" w:rsidRPr="00D47F6D" w:rsidRDefault="00636DAD" w:rsidP="00BC4426">
            <w:pPr>
              <w:rPr>
                <w:sz w:val="20"/>
                <w:szCs w:val="20"/>
              </w:rPr>
            </w:pPr>
            <w:r w:rsidRPr="00D47F6D">
              <w:rPr>
                <w:rFonts w:eastAsia="Calibri"/>
                <w:color w:val="000000" w:themeColor="text1"/>
                <w:sz w:val="20"/>
                <w:szCs w:val="20"/>
              </w:rPr>
              <w:t>Hawke's Bay | Te Matau-a-Māui</w:t>
            </w:r>
          </w:p>
        </w:tc>
        <w:tc>
          <w:tcPr>
            <w:tcW w:w="694" w:type="dxa"/>
            <w:shd w:val="clear" w:color="auto" w:fill="EEECE1" w:themeFill="background2"/>
            <w:vAlign w:val="center"/>
          </w:tcPr>
          <w:p w14:paraId="0F71E01C" w14:textId="77777777" w:rsidR="00636DAD" w:rsidRPr="00D47F6D" w:rsidRDefault="00636DAD" w:rsidP="00BC4426">
            <w:pPr>
              <w:rPr>
                <w:sz w:val="20"/>
                <w:szCs w:val="20"/>
              </w:rPr>
            </w:pPr>
            <w:r w:rsidRPr="00D47F6D">
              <w:rPr>
                <w:rFonts w:eastAsia="Calibri"/>
                <w:color w:val="000000" w:themeColor="text1"/>
                <w:sz w:val="20"/>
                <w:szCs w:val="20"/>
              </w:rPr>
              <w:t>18</w:t>
            </w:r>
          </w:p>
        </w:tc>
        <w:tc>
          <w:tcPr>
            <w:tcW w:w="1087" w:type="dxa"/>
            <w:shd w:val="clear" w:color="auto" w:fill="EEECE1" w:themeFill="background2"/>
            <w:vAlign w:val="center"/>
          </w:tcPr>
          <w:p w14:paraId="1EAF3A43"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2</w:t>
            </w:r>
            <w:r w:rsidRPr="008A7ECF">
              <w:rPr>
                <w:rFonts w:eastAsia="Calibri"/>
                <w:color w:val="000000" w:themeColor="text1"/>
                <w:sz w:val="20"/>
                <w:szCs w:val="20"/>
              </w:rPr>
              <w:t>%</w:t>
            </w:r>
          </w:p>
        </w:tc>
        <w:tc>
          <w:tcPr>
            <w:tcW w:w="709" w:type="dxa"/>
            <w:shd w:val="clear" w:color="auto" w:fill="EEECE1" w:themeFill="background2"/>
            <w:vAlign w:val="center"/>
          </w:tcPr>
          <w:p w14:paraId="435AD6A2"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17</w:t>
            </w:r>
          </w:p>
        </w:tc>
        <w:tc>
          <w:tcPr>
            <w:tcW w:w="992" w:type="dxa"/>
            <w:shd w:val="clear" w:color="auto" w:fill="EEECE1" w:themeFill="background2"/>
            <w:vAlign w:val="center"/>
          </w:tcPr>
          <w:p w14:paraId="0EE8EAD5"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2</w:t>
            </w:r>
            <w:r w:rsidRPr="008A7ECF">
              <w:rPr>
                <w:rFonts w:eastAsia="Calibri"/>
                <w:color w:val="000000" w:themeColor="text1"/>
                <w:sz w:val="20"/>
                <w:szCs w:val="20"/>
              </w:rPr>
              <w:t>%</w:t>
            </w:r>
          </w:p>
        </w:tc>
        <w:tc>
          <w:tcPr>
            <w:tcW w:w="709" w:type="dxa"/>
            <w:shd w:val="clear" w:color="auto" w:fill="EEECE1" w:themeFill="background2"/>
            <w:vAlign w:val="center"/>
          </w:tcPr>
          <w:p w14:paraId="1885A906" w14:textId="77777777" w:rsidR="00636DAD" w:rsidRPr="00D47F6D" w:rsidRDefault="00636DAD" w:rsidP="00BC4426">
            <w:pPr>
              <w:rPr>
                <w:rFonts w:eastAsia="Calibri"/>
                <w:color w:val="000000" w:themeColor="text1"/>
                <w:sz w:val="20"/>
                <w:szCs w:val="20"/>
              </w:rPr>
            </w:pPr>
            <w:r w:rsidRPr="00D47F6D">
              <w:rPr>
                <w:color w:val="000000"/>
                <w:sz w:val="20"/>
                <w:szCs w:val="20"/>
                <w:lang w:eastAsia="en-NZ"/>
              </w:rPr>
              <w:t>19</w:t>
            </w:r>
          </w:p>
        </w:tc>
        <w:tc>
          <w:tcPr>
            <w:tcW w:w="992" w:type="dxa"/>
            <w:shd w:val="clear" w:color="auto" w:fill="EEECE1" w:themeFill="background2"/>
            <w:vAlign w:val="center"/>
          </w:tcPr>
          <w:p w14:paraId="5AB21522" w14:textId="77777777" w:rsidR="00636DAD" w:rsidRPr="00D47F6D" w:rsidRDefault="00636DAD" w:rsidP="00BC4426">
            <w:pPr>
              <w:rPr>
                <w:color w:val="000000"/>
                <w:sz w:val="20"/>
                <w:szCs w:val="20"/>
                <w:lang w:eastAsia="en-NZ"/>
              </w:rPr>
            </w:pPr>
            <w:r w:rsidRPr="00D47F6D">
              <w:rPr>
                <w:color w:val="000000"/>
                <w:sz w:val="20"/>
                <w:szCs w:val="20"/>
                <w:lang w:eastAsia="en-NZ"/>
              </w:rPr>
              <w:t>2</w:t>
            </w:r>
            <w:r w:rsidRPr="008A7ECF">
              <w:rPr>
                <w:color w:val="000000"/>
                <w:sz w:val="20"/>
                <w:szCs w:val="20"/>
                <w:lang w:eastAsia="en-NZ"/>
              </w:rPr>
              <w:t>%</w:t>
            </w:r>
          </w:p>
        </w:tc>
        <w:tc>
          <w:tcPr>
            <w:tcW w:w="709" w:type="dxa"/>
            <w:shd w:val="clear" w:color="auto" w:fill="EEECE1" w:themeFill="background2"/>
            <w:vAlign w:val="center"/>
          </w:tcPr>
          <w:p w14:paraId="7CE19DE7" w14:textId="77777777" w:rsidR="00636DAD" w:rsidRPr="00D47F6D" w:rsidRDefault="00636DAD" w:rsidP="00BC4426">
            <w:pPr>
              <w:rPr>
                <w:color w:val="000000"/>
                <w:sz w:val="20"/>
                <w:szCs w:val="20"/>
                <w:lang w:eastAsia="en-NZ"/>
              </w:rPr>
            </w:pPr>
            <w:r w:rsidRPr="00D47F6D">
              <w:rPr>
                <w:color w:val="000000"/>
                <w:sz w:val="20"/>
                <w:szCs w:val="20"/>
                <w:lang w:eastAsia="en-NZ"/>
              </w:rPr>
              <w:t>19</w:t>
            </w:r>
          </w:p>
        </w:tc>
        <w:tc>
          <w:tcPr>
            <w:tcW w:w="1004" w:type="dxa"/>
            <w:shd w:val="clear" w:color="auto" w:fill="EEECE1" w:themeFill="background2"/>
            <w:vAlign w:val="center"/>
          </w:tcPr>
          <w:p w14:paraId="76739DFA" w14:textId="77777777" w:rsidR="00636DAD" w:rsidRPr="00D47F6D" w:rsidRDefault="00636DAD" w:rsidP="00BC4426">
            <w:pPr>
              <w:rPr>
                <w:color w:val="000000"/>
                <w:sz w:val="20"/>
                <w:szCs w:val="20"/>
                <w:lang w:eastAsia="en-NZ"/>
              </w:rPr>
            </w:pPr>
            <w:r w:rsidRPr="00D47F6D">
              <w:rPr>
                <w:color w:val="000000"/>
                <w:sz w:val="20"/>
                <w:szCs w:val="20"/>
                <w:lang w:eastAsia="en-NZ"/>
              </w:rPr>
              <w:t>2%</w:t>
            </w:r>
          </w:p>
        </w:tc>
      </w:tr>
      <w:tr w:rsidR="00636DAD" w:rsidRPr="00104774" w14:paraId="138FA2CE" w14:textId="77777777" w:rsidTr="00BC4426">
        <w:trPr>
          <w:trHeight w:val="253"/>
        </w:trPr>
        <w:tc>
          <w:tcPr>
            <w:tcW w:w="2183" w:type="dxa"/>
            <w:shd w:val="clear" w:color="auto" w:fill="FFFFFF" w:themeFill="background1"/>
            <w:vAlign w:val="center"/>
          </w:tcPr>
          <w:p w14:paraId="769A107F" w14:textId="77777777" w:rsidR="00636DAD" w:rsidRPr="00D47F6D" w:rsidRDefault="00636DAD" w:rsidP="00BC4426">
            <w:pPr>
              <w:rPr>
                <w:sz w:val="20"/>
                <w:szCs w:val="20"/>
              </w:rPr>
            </w:pPr>
            <w:r w:rsidRPr="00D47F6D">
              <w:rPr>
                <w:rFonts w:eastAsia="Calibri"/>
                <w:color w:val="000000" w:themeColor="text1"/>
                <w:sz w:val="20"/>
                <w:szCs w:val="20"/>
              </w:rPr>
              <w:t>Manawatū-Whanganui</w:t>
            </w:r>
          </w:p>
        </w:tc>
        <w:tc>
          <w:tcPr>
            <w:tcW w:w="694" w:type="dxa"/>
            <w:shd w:val="clear" w:color="auto" w:fill="auto"/>
            <w:vAlign w:val="center"/>
          </w:tcPr>
          <w:p w14:paraId="0F77C83C" w14:textId="77777777" w:rsidR="00636DAD" w:rsidRPr="00D47F6D" w:rsidRDefault="00636DAD" w:rsidP="00BC4426">
            <w:pPr>
              <w:rPr>
                <w:sz w:val="20"/>
                <w:szCs w:val="20"/>
              </w:rPr>
            </w:pPr>
            <w:r w:rsidRPr="00D47F6D">
              <w:rPr>
                <w:rFonts w:eastAsia="Calibri"/>
                <w:color w:val="000000" w:themeColor="text1"/>
                <w:sz w:val="20"/>
                <w:szCs w:val="20"/>
              </w:rPr>
              <w:t>38</w:t>
            </w:r>
          </w:p>
        </w:tc>
        <w:tc>
          <w:tcPr>
            <w:tcW w:w="1087" w:type="dxa"/>
            <w:shd w:val="clear" w:color="auto" w:fill="auto"/>
            <w:vAlign w:val="center"/>
          </w:tcPr>
          <w:p w14:paraId="01494F16"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5</w:t>
            </w:r>
            <w:r w:rsidRPr="008A7ECF">
              <w:rPr>
                <w:rFonts w:eastAsia="Calibri"/>
                <w:color w:val="000000" w:themeColor="text1"/>
                <w:sz w:val="20"/>
                <w:szCs w:val="20"/>
              </w:rPr>
              <w:t>%</w:t>
            </w:r>
          </w:p>
        </w:tc>
        <w:tc>
          <w:tcPr>
            <w:tcW w:w="709" w:type="dxa"/>
            <w:shd w:val="clear" w:color="auto" w:fill="auto"/>
            <w:vAlign w:val="center"/>
          </w:tcPr>
          <w:p w14:paraId="746BB5B0"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40</w:t>
            </w:r>
          </w:p>
        </w:tc>
        <w:tc>
          <w:tcPr>
            <w:tcW w:w="992" w:type="dxa"/>
            <w:shd w:val="clear" w:color="auto" w:fill="auto"/>
            <w:vAlign w:val="center"/>
          </w:tcPr>
          <w:p w14:paraId="632611B4"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5</w:t>
            </w:r>
            <w:r w:rsidRPr="008A7ECF">
              <w:rPr>
                <w:rFonts w:eastAsia="Calibri"/>
                <w:color w:val="000000" w:themeColor="text1"/>
                <w:sz w:val="20"/>
                <w:szCs w:val="20"/>
              </w:rPr>
              <w:t>%</w:t>
            </w:r>
          </w:p>
        </w:tc>
        <w:tc>
          <w:tcPr>
            <w:tcW w:w="709" w:type="dxa"/>
            <w:shd w:val="clear" w:color="auto" w:fill="auto"/>
            <w:vAlign w:val="center"/>
          </w:tcPr>
          <w:p w14:paraId="46821A01" w14:textId="77777777" w:rsidR="00636DAD" w:rsidRPr="00D47F6D" w:rsidRDefault="00636DAD" w:rsidP="00BC4426">
            <w:pPr>
              <w:rPr>
                <w:rFonts w:eastAsia="Calibri"/>
                <w:color w:val="000000" w:themeColor="text1"/>
                <w:sz w:val="20"/>
                <w:szCs w:val="20"/>
              </w:rPr>
            </w:pPr>
            <w:r w:rsidRPr="00D47F6D">
              <w:rPr>
                <w:color w:val="000000"/>
                <w:sz w:val="20"/>
                <w:szCs w:val="20"/>
                <w:lang w:eastAsia="en-NZ"/>
              </w:rPr>
              <w:t>39</w:t>
            </w:r>
          </w:p>
        </w:tc>
        <w:tc>
          <w:tcPr>
            <w:tcW w:w="992" w:type="dxa"/>
            <w:shd w:val="clear" w:color="auto" w:fill="auto"/>
            <w:vAlign w:val="center"/>
          </w:tcPr>
          <w:p w14:paraId="082C7C9F" w14:textId="77777777" w:rsidR="00636DAD" w:rsidRPr="00D47F6D" w:rsidRDefault="00636DAD" w:rsidP="00BC4426">
            <w:pPr>
              <w:rPr>
                <w:color w:val="000000"/>
                <w:sz w:val="20"/>
                <w:szCs w:val="20"/>
                <w:lang w:eastAsia="en-NZ"/>
              </w:rPr>
            </w:pPr>
            <w:r w:rsidRPr="00D47F6D">
              <w:rPr>
                <w:color w:val="000000"/>
                <w:sz w:val="20"/>
                <w:szCs w:val="20"/>
                <w:lang w:eastAsia="en-NZ"/>
              </w:rPr>
              <w:t>5</w:t>
            </w:r>
            <w:r w:rsidRPr="008A7ECF">
              <w:rPr>
                <w:color w:val="000000"/>
                <w:sz w:val="20"/>
                <w:szCs w:val="20"/>
                <w:lang w:eastAsia="en-NZ"/>
              </w:rPr>
              <w:t>%</w:t>
            </w:r>
          </w:p>
        </w:tc>
        <w:tc>
          <w:tcPr>
            <w:tcW w:w="709" w:type="dxa"/>
            <w:shd w:val="clear" w:color="auto" w:fill="auto"/>
            <w:vAlign w:val="center"/>
          </w:tcPr>
          <w:p w14:paraId="2DB59496" w14:textId="77777777" w:rsidR="00636DAD" w:rsidRPr="00D47F6D" w:rsidRDefault="00636DAD" w:rsidP="00BC4426">
            <w:pPr>
              <w:rPr>
                <w:color w:val="000000"/>
                <w:sz w:val="20"/>
                <w:szCs w:val="20"/>
                <w:lang w:eastAsia="en-NZ"/>
              </w:rPr>
            </w:pPr>
            <w:r w:rsidRPr="00D47F6D">
              <w:rPr>
                <w:color w:val="000000"/>
                <w:sz w:val="20"/>
                <w:szCs w:val="20"/>
                <w:lang w:eastAsia="en-NZ"/>
              </w:rPr>
              <w:t>41</w:t>
            </w:r>
          </w:p>
        </w:tc>
        <w:tc>
          <w:tcPr>
            <w:tcW w:w="1004" w:type="dxa"/>
            <w:shd w:val="clear" w:color="auto" w:fill="auto"/>
            <w:vAlign w:val="center"/>
          </w:tcPr>
          <w:p w14:paraId="2A121A81" w14:textId="77777777" w:rsidR="00636DAD" w:rsidRPr="00D47F6D" w:rsidRDefault="00636DAD" w:rsidP="00BC4426">
            <w:pPr>
              <w:rPr>
                <w:color w:val="000000"/>
                <w:sz w:val="20"/>
                <w:szCs w:val="20"/>
                <w:lang w:eastAsia="en-NZ"/>
              </w:rPr>
            </w:pPr>
            <w:r w:rsidRPr="00D47F6D">
              <w:rPr>
                <w:color w:val="000000"/>
                <w:sz w:val="20"/>
                <w:szCs w:val="20"/>
                <w:lang w:eastAsia="en-NZ"/>
              </w:rPr>
              <w:t>5%</w:t>
            </w:r>
          </w:p>
        </w:tc>
      </w:tr>
      <w:tr w:rsidR="00636DAD" w:rsidRPr="007426DB" w14:paraId="25D67B94" w14:textId="77777777" w:rsidTr="00BC4426">
        <w:trPr>
          <w:trHeight w:val="267"/>
        </w:trPr>
        <w:tc>
          <w:tcPr>
            <w:tcW w:w="2183" w:type="dxa"/>
            <w:shd w:val="clear" w:color="auto" w:fill="EEECE1" w:themeFill="background2"/>
            <w:vAlign w:val="center"/>
          </w:tcPr>
          <w:p w14:paraId="08656772" w14:textId="77777777" w:rsidR="00636DAD" w:rsidRPr="00D47F6D" w:rsidRDefault="00636DAD" w:rsidP="00BC4426">
            <w:pPr>
              <w:rPr>
                <w:sz w:val="20"/>
                <w:szCs w:val="20"/>
              </w:rPr>
            </w:pPr>
            <w:r w:rsidRPr="00D47F6D">
              <w:rPr>
                <w:rFonts w:eastAsia="Calibri"/>
                <w:color w:val="000000" w:themeColor="text1"/>
                <w:sz w:val="20"/>
                <w:szCs w:val="20"/>
              </w:rPr>
              <w:t>Marlborough | Te Tauihu-o-te-waka</w:t>
            </w:r>
          </w:p>
        </w:tc>
        <w:tc>
          <w:tcPr>
            <w:tcW w:w="694" w:type="dxa"/>
            <w:shd w:val="clear" w:color="auto" w:fill="EEECE1" w:themeFill="background2"/>
            <w:vAlign w:val="center"/>
          </w:tcPr>
          <w:p w14:paraId="353E3324" w14:textId="77777777" w:rsidR="00636DAD" w:rsidRPr="00D47F6D" w:rsidRDefault="00636DAD" w:rsidP="00BC4426">
            <w:pPr>
              <w:rPr>
                <w:sz w:val="20"/>
                <w:szCs w:val="20"/>
              </w:rPr>
            </w:pPr>
            <w:r w:rsidRPr="00D47F6D">
              <w:rPr>
                <w:rFonts w:eastAsia="Calibri"/>
                <w:color w:val="000000" w:themeColor="text1"/>
                <w:sz w:val="20"/>
                <w:szCs w:val="20"/>
              </w:rPr>
              <w:t>5</w:t>
            </w:r>
          </w:p>
        </w:tc>
        <w:tc>
          <w:tcPr>
            <w:tcW w:w="1087" w:type="dxa"/>
            <w:shd w:val="clear" w:color="auto" w:fill="EEECE1" w:themeFill="background2"/>
            <w:vAlign w:val="center"/>
          </w:tcPr>
          <w:p w14:paraId="2E3CC4CB"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1</w:t>
            </w:r>
            <w:r w:rsidRPr="008A7ECF">
              <w:rPr>
                <w:rFonts w:eastAsia="Calibri"/>
                <w:color w:val="000000" w:themeColor="text1"/>
                <w:sz w:val="20"/>
                <w:szCs w:val="20"/>
              </w:rPr>
              <w:t>%</w:t>
            </w:r>
          </w:p>
        </w:tc>
        <w:tc>
          <w:tcPr>
            <w:tcW w:w="709" w:type="dxa"/>
            <w:shd w:val="clear" w:color="auto" w:fill="EEECE1" w:themeFill="background2"/>
            <w:vAlign w:val="center"/>
          </w:tcPr>
          <w:p w14:paraId="6C567BFB"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5</w:t>
            </w:r>
          </w:p>
        </w:tc>
        <w:tc>
          <w:tcPr>
            <w:tcW w:w="992" w:type="dxa"/>
            <w:shd w:val="clear" w:color="auto" w:fill="EEECE1" w:themeFill="background2"/>
            <w:vAlign w:val="center"/>
          </w:tcPr>
          <w:p w14:paraId="4CDF3D06"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1</w:t>
            </w:r>
            <w:r w:rsidRPr="008A7ECF">
              <w:rPr>
                <w:rFonts w:eastAsia="Calibri"/>
                <w:color w:val="000000" w:themeColor="text1"/>
                <w:sz w:val="20"/>
                <w:szCs w:val="20"/>
              </w:rPr>
              <w:t>%</w:t>
            </w:r>
          </w:p>
        </w:tc>
        <w:tc>
          <w:tcPr>
            <w:tcW w:w="709" w:type="dxa"/>
            <w:shd w:val="clear" w:color="auto" w:fill="EEECE1" w:themeFill="background2"/>
            <w:vAlign w:val="center"/>
          </w:tcPr>
          <w:p w14:paraId="2B34FE4D" w14:textId="77777777" w:rsidR="00636DAD" w:rsidRPr="00D47F6D" w:rsidRDefault="00636DAD" w:rsidP="00BC4426">
            <w:pPr>
              <w:rPr>
                <w:rFonts w:eastAsia="Calibri"/>
                <w:color w:val="000000" w:themeColor="text1"/>
                <w:sz w:val="20"/>
                <w:szCs w:val="20"/>
              </w:rPr>
            </w:pPr>
            <w:r w:rsidRPr="00D47F6D">
              <w:rPr>
                <w:color w:val="000000"/>
                <w:sz w:val="20"/>
                <w:szCs w:val="20"/>
                <w:lang w:eastAsia="en-NZ"/>
              </w:rPr>
              <w:t>5</w:t>
            </w:r>
          </w:p>
        </w:tc>
        <w:tc>
          <w:tcPr>
            <w:tcW w:w="992" w:type="dxa"/>
            <w:shd w:val="clear" w:color="auto" w:fill="EEECE1" w:themeFill="background2"/>
            <w:vAlign w:val="center"/>
          </w:tcPr>
          <w:p w14:paraId="2B0C91C3" w14:textId="77777777" w:rsidR="00636DAD" w:rsidRPr="00D47F6D" w:rsidRDefault="00636DAD" w:rsidP="00BC4426">
            <w:pPr>
              <w:rPr>
                <w:color w:val="000000"/>
                <w:sz w:val="20"/>
                <w:szCs w:val="20"/>
                <w:lang w:eastAsia="en-NZ"/>
              </w:rPr>
            </w:pPr>
            <w:r w:rsidRPr="00D47F6D">
              <w:rPr>
                <w:color w:val="000000"/>
                <w:sz w:val="20"/>
                <w:szCs w:val="20"/>
                <w:lang w:eastAsia="en-NZ"/>
              </w:rPr>
              <w:t>1</w:t>
            </w:r>
            <w:r w:rsidRPr="008A7ECF">
              <w:rPr>
                <w:color w:val="000000"/>
                <w:sz w:val="20"/>
                <w:szCs w:val="20"/>
                <w:lang w:eastAsia="en-NZ"/>
              </w:rPr>
              <w:t>%</w:t>
            </w:r>
          </w:p>
        </w:tc>
        <w:tc>
          <w:tcPr>
            <w:tcW w:w="709" w:type="dxa"/>
            <w:shd w:val="clear" w:color="auto" w:fill="EEECE1" w:themeFill="background2"/>
            <w:vAlign w:val="center"/>
          </w:tcPr>
          <w:p w14:paraId="1C40ABC0" w14:textId="77777777" w:rsidR="00636DAD" w:rsidRPr="00D47F6D" w:rsidRDefault="00636DAD" w:rsidP="00BC4426">
            <w:pPr>
              <w:rPr>
                <w:color w:val="000000"/>
                <w:sz w:val="20"/>
                <w:szCs w:val="20"/>
                <w:lang w:eastAsia="en-NZ"/>
              </w:rPr>
            </w:pPr>
            <w:r w:rsidRPr="00D47F6D">
              <w:rPr>
                <w:color w:val="000000"/>
                <w:sz w:val="20"/>
                <w:szCs w:val="20"/>
                <w:lang w:eastAsia="en-NZ"/>
              </w:rPr>
              <w:t>6</w:t>
            </w:r>
          </w:p>
        </w:tc>
        <w:tc>
          <w:tcPr>
            <w:tcW w:w="1004" w:type="dxa"/>
            <w:shd w:val="clear" w:color="auto" w:fill="EEECE1" w:themeFill="background2"/>
            <w:vAlign w:val="center"/>
          </w:tcPr>
          <w:p w14:paraId="7809AA48" w14:textId="77777777" w:rsidR="00636DAD" w:rsidRPr="00D47F6D" w:rsidRDefault="00636DAD" w:rsidP="00BC4426">
            <w:pPr>
              <w:rPr>
                <w:color w:val="000000"/>
                <w:sz w:val="20"/>
                <w:szCs w:val="20"/>
                <w:lang w:eastAsia="en-NZ"/>
              </w:rPr>
            </w:pPr>
            <w:r w:rsidRPr="00D47F6D">
              <w:rPr>
                <w:color w:val="000000"/>
                <w:sz w:val="20"/>
                <w:szCs w:val="20"/>
                <w:lang w:eastAsia="en-NZ"/>
              </w:rPr>
              <w:t>1%</w:t>
            </w:r>
          </w:p>
        </w:tc>
      </w:tr>
      <w:tr w:rsidR="00636DAD" w:rsidRPr="00104774" w14:paraId="520DAF9B" w14:textId="77777777" w:rsidTr="00BC4426">
        <w:trPr>
          <w:trHeight w:val="267"/>
        </w:trPr>
        <w:tc>
          <w:tcPr>
            <w:tcW w:w="2183" w:type="dxa"/>
            <w:shd w:val="clear" w:color="auto" w:fill="FFFFFF" w:themeFill="background1"/>
            <w:vAlign w:val="center"/>
          </w:tcPr>
          <w:p w14:paraId="304F9424" w14:textId="77777777" w:rsidR="00636DAD" w:rsidRPr="00D47F6D" w:rsidRDefault="00636DAD" w:rsidP="00BC4426">
            <w:pPr>
              <w:rPr>
                <w:sz w:val="20"/>
                <w:szCs w:val="20"/>
              </w:rPr>
            </w:pPr>
            <w:r w:rsidRPr="00D47F6D">
              <w:rPr>
                <w:rFonts w:eastAsia="Calibri"/>
                <w:color w:val="000000" w:themeColor="text1"/>
                <w:sz w:val="20"/>
                <w:szCs w:val="20"/>
              </w:rPr>
              <w:t>Nelson | Whakatū</w:t>
            </w:r>
          </w:p>
        </w:tc>
        <w:tc>
          <w:tcPr>
            <w:tcW w:w="694" w:type="dxa"/>
            <w:shd w:val="clear" w:color="auto" w:fill="auto"/>
            <w:vAlign w:val="center"/>
          </w:tcPr>
          <w:p w14:paraId="77F2E578" w14:textId="77777777" w:rsidR="00636DAD" w:rsidRPr="00D47F6D" w:rsidRDefault="00636DAD" w:rsidP="00BC4426">
            <w:pPr>
              <w:rPr>
                <w:sz w:val="20"/>
                <w:szCs w:val="20"/>
              </w:rPr>
            </w:pPr>
            <w:r w:rsidRPr="00D47F6D">
              <w:rPr>
                <w:rFonts w:eastAsia="Calibri"/>
                <w:color w:val="000000" w:themeColor="text1"/>
                <w:sz w:val="20"/>
                <w:szCs w:val="20"/>
              </w:rPr>
              <w:t>10</w:t>
            </w:r>
          </w:p>
        </w:tc>
        <w:tc>
          <w:tcPr>
            <w:tcW w:w="1087" w:type="dxa"/>
            <w:shd w:val="clear" w:color="auto" w:fill="auto"/>
            <w:vAlign w:val="center"/>
          </w:tcPr>
          <w:p w14:paraId="3C5A15DE"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1</w:t>
            </w:r>
            <w:r w:rsidRPr="008A7ECF">
              <w:rPr>
                <w:rFonts w:eastAsia="Calibri"/>
                <w:color w:val="000000" w:themeColor="text1"/>
                <w:sz w:val="20"/>
                <w:szCs w:val="20"/>
              </w:rPr>
              <w:t>%</w:t>
            </w:r>
          </w:p>
        </w:tc>
        <w:tc>
          <w:tcPr>
            <w:tcW w:w="709" w:type="dxa"/>
            <w:shd w:val="clear" w:color="auto" w:fill="auto"/>
            <w:vAlign w:val="center"/>
          </w:tcPr>
          <w:p w14:paraId="6705C76E"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10</w:t>
            </w:r>
          </w:p>
        </w:tc>
        <w:tc>
          <w:tcPr>
            <w:tcW w:w="992" w:type="dxa"/>
            <w:shd w:val="clear" w:color="auto" w:fill="auto"/>
            <w:vAlign w:val="center"/>
          </w:tcPr>
          <w:p w14:paraId="63C0A25F"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1</w:t>
            </w:r>
            <w:r w:rsidRPr="008A7ECF">
              <w:rPr>
                <w:rFonts w:eastAsia="Calibri"/>
                <w:color w:val="000000" w:themeColor="text1"/>
                <w:sz w:val="20"/>
                <w:szCs w:val="20"/>
              </w:rPr>
              <w:t>%</w:t>
            </w:r>
          </w:p>
        </w:tc>
        <w:tc>
          <w:tcPr>
            <w:tcW w:w="709" w:type="dxa"/>
            <w:shd w:val="clear" w:color="auto" w:fill="auto"/>
            <w:vAlign w:val="center"/>
          </w:tcPr>
          <w:p w14:paraId="7022076D" w14:textId="77777777" w:rsidR="00636DAD" w:rsidRPr="00D47F6D" w:rsidRDefault="00636DAD" w:rsidP="00BC4426">
            <w:pPr>
              <w:rPr>
                <w:rFonts w:eastAsia="Calibri"/>
                <w:color w:val="000000" w:themeColor="text1"/>
                <w:sz w:val="20"/>
                <w:szCs w:val="20"/>
              </w:rPr>
            </w:pPr>
            <w:r w:rsidRPr="00D47F6D">
              <w:rPr>
                <w:color w:val="000000"/>
                <w:sz w:val="20"/>
                <w:szCs w:val="20"/>
                <w:lang w:eastAsia="en-NZ"/>
              </w:rPr>
              <w:t>11</w:t>
            </w:r>
          </w:p>
        </w:tc>
        <w:tc>
          <w:tcPr>
            <w:tcW w:w="992" w:type="dxa"/>
            <w:shd w:val="clear" w:color="auto" w:fill="auto"/>
            <w:vAlign w:val="center"/>
          </w:tcPr>
          <w:p w14:paraId="6483D688" w14:textId="77777777" w:rsidR="00636DAD" w:rsidRPr="00D47F6D" w:rsidRDefault="00636DAD" w:rsidP="00BC4426">
            <w:pPr>
              <w:rPr>
                <w:color w:val="000000"/>
                <w:sz w:val="20"/>
                <w:szCs w:val="20"/>
                <w:lang w:eastAsia="en-NZ"/>
              </w:rPr>
            </w:pPr>
            <w:r w:rsidRPr="00D47F6D">
              <w:rPr>
                <w:color w:val="000000"/>
                <w:sz w:val="20"/>
                <w:szCs w:val="20"/>
                <w:lang w:eastAsia="en-NZ"/>
              </w:rPr>
              <w:t>1</w:t>
            </w:r>
            <w:r w:rsidRPr="008A7ECF">
              <w:rPr>
                <w:color w:val="000000"/>
                <w:sz w:val="20"/>
                <w:szCs w:val="20"/>
                <w:lang w:eastAsia="en-NZ"/>
              </w:rPr>
              <w:t>%</w:t>
            </w:r>
          </w:p>
        </w:tc>
        <w:tc>
          <w:tcPr>
            <w:tcW w:w="709" w:type="dxa"/>
            <w:shd w:val="clear" w:color="auto" w:fill="auto"/>
            <w:vAlign w:val="center"/>
          </w:tcPr>
          <w:p w14:paraId="30CA1C03" w14:textId="77777777" w:rsidR="00636DAD" w:rsidRPr="00D47F6D" w:rsidRDefault="00636DAD" w:rsidP="00BC4426">
            <w:pPr>
              <w:rPr>
                <w:color w:val="000000"/>
                <w:sz w:val="20"/>
                <w:szCs w:val="20"/>
                <w:lang w:eastAsia="en-NZ"/>
              </w:rPr>
            </w:pPr>
            <w:r w:rsidRPr="00D47F6D">
              <w:rPr>
                <w:color w:val="000000"/>
                <w:sz w:val="20"/>
                <w:szCs w:val="20"/>
                <w:lang w:eastAsia="en-NZ"/>
              </w:rPr>
              <w:t>11</w:t>
            </w:r>
          </w:p>
        </w:tc>
        <w:tc>
          <w:tcPr>
            <w:tcW w:w="1004" w:type="dxa"/>
            <w:shd w:val="clear" w:color="auto" w:fill="auto"/>
            <w:vAlign w:val="center"/>
          </w:tcPr>
          <w:p w14:paraId="54A17B8D" w14:textId="77777777" w:rsidR="00636DAD" w:rsidRPr="00D47F6D" w:rsidRDefault="00636DAD" w:rsidP="00BC4426">
            <w:pPr>
              <w:rPr>
                <w:color w:val="000000"/>
                <w:sz w:val="20"/>
                <w:szCs w:val="20"/>
                <w:lang w:eastAsia="en-NZ"/>
              </w:rPr>
            </w:pPr>
            <w:r w:rsidRPr="00D47F6D">
              <w:rPr>
                <w:color w:val="000000"/>
                <w:sz w:val="20"/>
                <w:szCs w:val="20"/>
                <w:lang w:eastAsia="en-NZ"/>
              </w:rPr>
              <w:t>1%</w:t>
            </w:r>
          </w:p>
        </w:tc>
      </w:tr>
      <w:tr w:rsidR="00636DAD" w:rsidRPr="007426DB" w14:paraId="498DA5EA" w14:textId="77777777" w:rsidTr="00BC4426">
        <w:trPr>
          <w:trHeight w:val="267"/>
        </w:trPr>
        <w:tc>
          <w:tcPr>
            <w:tcW w:w="2183" w:type="dxa"/>
            <w:shd w:val="clear" w:color="auto" w:fill="EEECE1" w:themeFill="background2"/>
            <w:vAlign w:val="center"/>
          </w:tcPr>
          <w:p w14:paraId="7216AFE9" w14:textId="77777777" w:rsidR="00636DAD" w:rsidRPr="00D47F6D" w:rsidRDefault="00636DAD" w:rsidP="00BC4426">
            <w:pPr>
              <w:rPr>
                <w:sz w:val="20"/>
                <w:szCs w:val="20"/>
              </w:rPr>
            </w:pPr>
            <w:r w:rsidRPr="00D47F6D">
              <w:rPr>
                <w:rFonts w:eastAsia="Calibri"/>
                <w:color w:val="000000" w:themeColor="text1"/>
                <w:sz w:val="20"/>
                <w:szCs w:val="20"/>
              </w:rPr>
              <w:t>Northland | Te Tai Tokerau</w:t>
            </w:r>
          </w:p>
        </w:tc>
        <w:tc>
          <w:tcPr>
            <w:tcW w:w="694" w:type="dxa"/>
            <w:shd w:val="clear" w:color="auto" w:fill="EEECE1" w:themeFill="background2"/>
            <w:vAlign w:val="center"/>
          </w:tcPr>
          <w:p w14:paraId="6B677F58" w14:textId="77777777" w:rsidR="00636DAD" w:rsidRPr="00D47F6D" w:rsidRDefault="00636DAD" w:rsidP="00BC4426">
            <w:pPr>
              <w:rPr>
                <w:sz w:val="20"/>
                <w:szCs w:val="20"/>
              </w:rPr>
            </w:pPr>
            <w:r w:rsidRPr="00D47F6D">
              <w:rPr>
                <w:rFonts w:eastAsia="Calibri"/>
                <w:color w:val="000000" w:themeColor="text1"/>
                <w:sz w:val="20"/>
                <w:szCs w:val="20"/>
              </w:rPr>
              <w:t>22</w:t>
            </w:r>
          </w:p>
        </w:tc>
        <w:tc>
          <w:tcPr>
            <w:tcW w:w="1087" w:type="dxa"/>
            <w:shd w:val="clear" w:color="auto" w:fill="EEECE1" w:themeFill="background2"/>
            <w:vAlign w:val="center"/>
          </w:tcPr>
          <w:p w14:paraId="7C8D3CFD"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3</w:t>
            </w:r>
            <w:r w:rsidRPr="008A7ECF">
              <w:rPr>
                <w:rFonts w:eastAsia="Calibri"/>
                <w:color w:val="000000" w:themeColor="text1"/>
                <w:sz w:val="20"/>
                <w:szCs w:val="20"/>
              </w:rPr>
              <w:t>%</w:t>
            </w:r>
          </w:p>
        </w:tc>
        <w:tc>
          <w:tcPr>
            <w:tcW w:w="709" w:type="dxa"/>
            <w:shd w:val="clear" w:color="auto" w:fill="EEECE1" w:themeFill="background2"/>
            <w:vAlign w:val="center"/>
          </w:tcPr>
          <w:p w14:paraId="5169B703"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23</w:t>
            </w:r>
          </w:p>
        </w:tc>
        <w:tc>
          <w:tcPr>
            <w:tcW w:w="992" w:type="dxa"/>
            <w:shd w:val="clear" w:color="auto" w:fill="EEECE1" w:themeFill="background2"/>
            <w:vAlign w:val="center"/>
          </w:tcPr>
          <w:p w14:paraId="5F9EC6BA"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3</w:t>
            </w:r>
            <w:r w:rsidRPr="008A7ECF">
              <w:rPr>
                <w:rFonts w:eastAsia="Calibri"/>
                <w:color w:val="000000" w:themeColor="text1"/>
                <w:sz w:val="20"/>
                <w:szCs w:val="20"/>
              </w:rPr>
              <w:t>%</w:t>
            </w:r>
          </w:p>
        </w:tc>
        <w:tc>
          <w:tcPr>
            <w:tcW w:w="709" w:type="dxa"/>
            <w:shd w:val="clear" w:color="auto" w:fill="EEECE1" w:themeFill="background2"/>
            <w:vAlign w:val="center"/>
          </w:tcPr>
          <w:p w14:paraId="693AC933" w14:textId="77777777" w:rsidR="00636DAD" w:rsidRPr="00D47F6D" w:rsidRDefault="00636DAD" w:rsidP="00BC4426">
            <w:pPr>
              <w:rPr>
                <w:rFonts w:eastAsia="Calibri"/>
                <w:color w:val="000000" w:themeColor="text1"/>
                <w:sz w:val="20"/>
                <w:szCs w:val="20"/>
              </w:rPr>
            </w:pPr>
            <w:r w:rsidRPr="00D47F6D">
              <w:rPr>
                <w:color w:val="000000"/>
                <w:sz w:val="20"/>
                <w:szCs w:val="20"/>
                <w:lang w:eastAsia="en-NZ"/>
              </w:rPr>
              <w:t>24</w:t>
            </w:r>
          </w:p>
        </w:tc>
        <w:tc>
          <w:tcPr>
            <w:tcW w:w="992" w:type="dxa"/>
            <w:shd w:val="clear" w:color="auto" w:fill="EEECE1" w:themeFill="background2"/>
            <w:vAlign w:val="center"/>
          </w:tcPr>
          <w:p w14:paraId="0F459E7E" w14:textId="77777777" w:rsidR="00636DAD" w:rsidRPr="00D47F6D" w:rsidRDefault="00636DAD" w:rsidP="00BC4426">
            <w:pPr>
              <w:rPr>
                <w:color w:val="000000"/>
                <w:sz w:val="20"/>
                <w:szCs w:val="20"/>
                <w:lang w:eastAsia="en-NZ"/>
              </w:rPr>
            </w:pPr>
            <w:r w:rsidRPr="00D47F6D">
              <w:rPr>
                <w:color w:val="000000"/>
                <w:sz w:val="20"/>
                <w:szCs w:val="20"/>
                <w:lang w:eastAsia="en-NZ"/>
              </w:rPr>
              <w:t>3</w:t>
            </w:r>
            <w:r w:rsidRPr="008A7ECF">
              <w:rPr>
                <w:color w:val="000000"/>
                <w:sz w:val="20"/>
                <w:szCs w:val="20"/>
                <w:lang w:eastAsia="en-NZ"/>
              </w:rPr>
              <w:t>%</w:t>
            </w:r>
          </w:p>
        </w:tc>
        <w:tc>
          <w:tcPr>
            <w:tcW w:w="709" w:type="dxa"/>
            <w:shd w:val="clear" w:color="auto" w:fill="EEECE1" w:themeFill="background2"/>
            <w:vAlign w:val="center"/>
          </w:tcPr>
          <w:p w14:paraId="7CDE1000" w14:textId="77777777" w:rsidR="00636DAD" w:rsidRPr="00D47F6D" w:rsidRDefault="00636DAD" w:rsidP="00BC4426">
            <w:pPr>
              <w:rPr>
                <w:color w:val="000000"/>
                <w:sz w:val="20"/>
                <w:szCs w:val="20"/>
                <w:lang w:eastAsia="en-NZ"/>
              </w:rPr>
            </w:pPr>
            <w:r w:rsidRPr="00D47F6D">
              <w:rPr>
                <w:color w:val="000000"/>
                <w:sz w:val="20"/>
                <w:szCs w:val="20"/>
                <w:lang w:eastAsia="en-NZ"/>
              </w:rPr>
              <w:t>25</w:t>
            </w:r>
          </w:p>
        </w:tc>
        <w:tc>
          <w:tcPr>
            <w:tcW w:w="1004" w:type="dxa"/>
            <w:shd w:val="clear" w:color="auto" w:fill="EEECE1" w:themeFill="background2"/>
            <w:vAlign w:val="center"/>
          </w:tcPr>
          <w:p w14:paraId="6E18D419" w14:textId="77777777" w:rsidR="00636DAD" w:rsidRPr="00D47F6D" w:rsidRDefault="00636DAD" w:rsidP="00BC4426">
            <w:pPr>
              <w:rPr>
                <w:color w:val="000000"/>
                <w:sz w:val="20"/>
                <w:szCs w:val="20"/>
                <w:lang w:eastAsia="en-NZ"/>
              </w:rPr>
            </w:pPr>
            <w:r w:rsidRPr="00D47F6D">
              <w:rPr>
                <w:color w:val="000000"/>
                <w:sz w:val="20"/>
                <w:szCs w:val="20"/>
                <w:lang w:eastAsia="en-NZ"/>
              </w:rPr>
              <w:t>3%</w:t>
            </w:r>
          </w:p>
        </w:tc>
      </w:tr>
      <w:tr w:rsidR="00636DAD" w:rsidRPr="00104774" w14:paraId="4FEDD963" w14:textId="77777777" w:rsidTr="00BC4426">
        <w:trPr>
          <w:trHeight w:val="253"/>
        </w:trPr>
        <w:tc>
          <w:tcPr>
            <w:tcW w:w="2183" w:type="dxa"/>
            <w:shd w:val="clear" w:color="auto" w:fill="FFFFFF" w:themeFill="background1"/>
            <w:vAlign w:val="center"/>
          </w:tcPr>
          <w:p w14:paraId="5A22CBF6" w14:textId="77777777" w:rsidR="00636DAD" w:rsidRPr="00D47F6D" w:rsidRDefault="00636DAD" w:rsidP="00BC4426">
            <w:pPr>
              <w:rPr>
                <w:sz w:val="20"/>
                <w:szCs w:val="20"/>
              </w:rPr>
            </w:pPr>
            <w:r w:rsidRPr="00D47F6D">
              <w:rPr>
                <w:rFonts w:eastAsia="Calibri"/>
                <w:color w:val="000000" w:themeColor="text1"/>
                <w:sz w:val="20"/>
                <w:szCs w:val="20"/>
              </w:rPr>
              <w:t>Otago | Ōtākou</w:t>
            </w:r>
          </w:p>
        </w:tc>
        <w:tc>
          <w:tcPr>
            <w:tcW w:w="694" w:type="dxa"/>
            <w:shd w:val="clear" w:color="auto" w:fill="auto"/>
            <w:vAlign w:val="center"/>
          </w:tcPr>
          <w:p w14:paraId="03F780ED" w14:textId="77777777" w:rsidR="00636DAD" w:rsidRPr="00D47F6D" w:rsidRDefault="00636DAD" w:rsidP="00BC4426">
            <w:pPr>
              <w:rPr>
                <w:sz w:val="20"/>
                <w:szCs w:val="20"/>
              </w:rPr>
            </w:pPr>
            <w:r w:rsidRPr="00D47F6D">
              <w:rPr>
                <w:rFonts w:eastAsia="Calibri"/>
                <w:color w:val="000000" w:themeColor="text1"/>
                <w:sz w:val="20"/>
                <w:szCs w:val="20"/>
              </w:rPr>
              <w:t>48</w:t>
            </w:r>
          </w:p>
        </w:tc>
        <w:tc>
          <w:tcPr>
            <w:tcW w:w="1087" w:type="dxa"/>
            <w:shd w:val="clear" w:color="auto" w:fill="auto"/>
            <w:vAlign w:val="center"/>
          </w:tcPr>
          <w:p w14:paraId="4919AE6F"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6</w:t>
            </w:r>
            <w:r w:rsidRPr="008A7ECF">
              <w:rPr>
                <w:rFonts w:eastAsia="Calibri"/>
                <w:color w:val="000000" w:themeColor="text1"/>
                <w:sz w:val="20"/>
                <w:szCs w:val="20"/>
              </w:rPr>
              <w:t>%</w:t>
            </w:r>
          </w:p>
        </w:tc>
        <w:tc>
          <w:tcPr>
            <w:tcW w:w="709" w:type="dxa"/>
            <w:shd w:val="clear" w:color="auto" w:fill="auto"/>
            <w:vAlign w:val="center"/>
          </w:tcPr>
          <w:p w14:paraId="7945A3D9"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53</w:t>
            </w:r>
          </w:p>
        </w:tc>
        <w:tc>
          <w:tcPr>
            <w:tcW w:w="992" w:type="dxa"/>
            <w:shd w:val="clear" w:color="auto" w:fill="auto"/>
            <w:vAlign w:val="center"/>
          </w:tcPr>
          <w:p w14:paraId="7FABBFA1"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7</w:t>
            </w:r>
            <w:r w:rsidRPr="008A7ECF">
              <w:rPr>
                <w:rFonts w:eastAsia="Calibri"/>
                <w:color w:val="000000" w:themeColor="text1"/>
                <w:sz w:val="20"/>
                <w:szCs w:val="20"/>
              </w:rPr>
              <w:t>%</w:t>
            </w:r>
          </w:p>
        </w:tc>
        <w:tc>
          <w:tcPr>
            <w:tcW w:w="709" w:type="dxa"/>
            <w:shd w:val="clear" w:color="auto" w:fill="auto"/>
            <w:vAlign w:val="center"/>
          </w:tcPr>
          <w:p w14:paraId="7AE370CE" w14:textId="77777777" w:rsidR="00636DAD" w:rsidRPr="00D47F6D" w:rsidRDefault="00636DAD" w:rsidP="00BC4426">
            <w:pPr>
              <w:rPr>
                <w:rFonts w:eastAsia="Calibri"/>
                <w:color w:val="000000" w:themeColor="text1"/>
                <w:sz w:val="20"/>
                <w:szCs w:val="20"/>
              </w:rPr>
            </w:pPr>
            <w:r w:rsidRPr="00D47F6D">
              <w:rPr>
                <w:color w:val="000000"/>
                <w:sz w:val="20"/>
                <w:szCs w:val="20"/>
                <w:lang w:eastAsia="en-NZ"/>
              </w:rPr>
              <w:t>53</w:t>
            </w:r>
          </w:p>
        </w:tc>
        <w:tc>
          <w:tcPr>
            <w:tcW w:w="992" w:type="dxa"/>
            <w:shd w:val="clear" w:color="auto" w:fill="auto"/>
            <w:vAlign w:val="center"/>
          </w:tcPr>
          <w:p w14:paraId="026B8FA4" w14:textId="77777777" w:rsidR="00636DAD" w:rsidRPr="00D47F6D" w:rsidRDefault="00636DAD" w:rsidP="00BC4426">
            <w:pPr>
              <w:rPr>
                <w:color w:val="000000"/>
                <w:sz w:val="20"/>
                <w:szCs w:val="20"/>
                <w:lang w:eastAsia="en-NZ"/>
              </w:rPr>
            </w:pPr>
            <w:r w:rsidRPr="00D47F6D">
              <w:rPr>
                <w:color w:val="000000"/>
                <w:sz w:val="20"/>
                <w:szCs w:val="20"/>
                <w:lang w:eastAsia="en-NZ"/>
              </w:rPr>
              <w:t>6</w:t>
            </w:r>
            <w:r w:rsidRPr="008A7ECF">
              <w:rPr>
                <w:color w:val="000000"/>
                <w:sz w:val="20"/>
                <w:szCs w:val="20"/>
                <w:lang w:eastAsia="en-NZ"/>
              </w:rPr>
              <w:t>%</w:t>
            </w:r>
          </w:p>
        </w:tc>
        <w:tc>
          <w:tcPr>
            <w:tcW w:w="709" w:type="dxa"/>
            <w:shd w:val="clear" w:color="auto" w:fill="auto"/>
            <w:vAlign w:val="center"/>
          </w:tcPr>
          <w:p w14:paraId="73724358" w14:textId="77777777" w:rsidR="00636DAD" w:rsidRPr="00D47F6D" w:rsidRDefault="00636DAD" w:rsidP="00BC4426">
            <w:pPr>
              <w:rPr>
                <w:color w:val="000000"/>
                <w:sz w:val="20"/>
                <w:szCs w:val="20"/>
                <w:lang w:eastAsia="en-NZ"/>
              </w:rPr>
            </w:pPr>
            <w:r w:rsidRPr="00D47F6D">
              <w:rPr>
                <w:color w:val="000000"/>
                <w:sz w:val="20"/>
                <w:szCs w:val="20"/>
                <w:lang w:eastAsia="en-NZ"/>
              </w:rPr>
              <w:t>54</w:t>
            </w:r>
          </w:p>
        </w:tc>
        <w:tc>
          <w:tcPr>
            <w:tcW w:w="1004" w:type="dxa"/>
            <w:shd w:val="clear" w:color="auto" w:fill="auto"/>
            <w:vAlign w:val="center"/>
          </w:tcPr>
          <w:p w14:paraId="018E6CBA" w14:textId="77777777" w:rsidR="00636DAD" w:rsidRPr="00D47F6D" w:rsidRDefault="00636DAD" w:rsidP="00BC4426">
            <w:pPr>
              <w:rPr>
                <w:color w:val="000000"/>
                <w:sz w:val="20"/>
                <w:szCs w:val="20"/>
                <w:lang w:eastAsia="en-NZ"/>
              </w:rPr>
            </w:pPr>
            <w:r w:rsidRPr="00D47F6D">
              <w:rPr>
                <w:color w:val="000000"/>
                <w:sz w:val="20"/>
                <w:szCs w:val="20"/>
                <w:lang w:eastAsia="en-NZ"/>
              </w:rPr>
              <w:t>6%</w:t>
            </w:r>
          </w:p>
        </w:tc>
      </w:tr>
      <w:tr w:rsidR="00636DAD" w:rsidRPr="007426DB" w14:paraId="150EAC7E" w14:textId="77777777" w:rsidTr="00BC4426">
        <w:trPr>
          <w:trHeight w:val="267"/>
        </w:trPr>
        <w:tc>
          <w:tcPr>
            <w:tcW w:w="2183" w:type="dxa"/>
            <w:shd w:val="clear" w:color="auto" w:fill="EEECE1" w:themeFill="background2"/>
            <w:vAlign w:val="center"/>
          </w:tcPr>
          <w:p w14:paraId="72B97F2F" w14:textId="77777777" w:rsidR="00636DAD" w:rsidRPr="00D47F6D" w:rsidRDefault="00636DAD" w:rsidP="00BC4426">
            <w:pPr>
              <w:rPr>
                <w:sz w:val="20"/>
                <w:szCs w:val="20"/>
              </w:rPr>
            </w:pPr>
            <w:r w:rsidRPr="00D47F6D">
              <w:rPr>
                <w:rFonts w:eastAsia="Calibri"/>
                <w:color w:val="000000" w:themeColor="text1"/>
                <w:sz w:val="20"/>
                <w:szCs w:val="20"/>
              </w:rPr>
              <w:t>Southland | Murihiku</w:t>
            </w:r>
          </w:p>
        </w:tc>
        <w:tc>
          <w:tcPr>
            <w:tcW w:w="694" w:type="dxa"/>
            <w:shd w:val="clear" w:color="auto" w:fill="EEECE1" w:themeFill="background2"/>
            <w:vAlign w:val="center"/>
          </w:tcPr>
          <w:p w14:paraId="515119AC" w14:textId="77777777" w:rsidR="00636DAD" w:rsidRPr="00D47F6D" w:rsidRDefault="00636DAD" w:rsidP="00BC4426">
            <w:pPr>
              <w:rPr>
                <w:sz w:val="20"/>
                <w:szCs w:val="20"/>
              </w:rPr>
            </w:pPr>
            <w:r w:rsidRPr="00D47F6D">
              <w:rPr>
                <w:rFonts w:eastAsia="Calibri"/>
                <w:color w:val="000000" w:themeColor="text1"/>
                <w:sz w:val="20"/>
                <w:szCs w:val="20"/>
              </w:rPr>
              <w:t>7</w:t>
            </w:r>
          </w:p>
        </w:tc>
        <w:tc>
          <w:tcPr>
            <w:tcW w:w="1087" w:type="dxa"/>
            <w:shd w:val="clear" w:color="auto" w:fill="EEECE1" w:themeFill="background2"/>
            <w:vAlign w:val="center"/>
          </w:tcPr>
          <w:p w14:paraId="2F52AF08"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1</w:t>
            </w:r>
            <w:r w:rsidRPr="008A7ECF">
              <w:rPr>
                <w:rFonts w:eastAsia="Calibri"/>
                <w:color w:val="000000" w:themeColor="text1"/>
                <w:sz w:val="20"/>
                <w:szCs w:val="20"/>
              </w:rPr>
              <w:t>%</w:t>
            </w:r>
          </w:p>
        </w:tc>
        <w:tc>
          <w:tcPr>
            <w:tcW w:w="709" w:type="dxa"/>
            <w:shd w:val="clear" w:color="auto" w:fill="EEECE1" w:themeFill="background2"/>
            <w:vAlign w:val="center"/>
          </w:tcPr>
          <w:p w14:paraId="12118DB1"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8</w:t>
            </w:r>
          </w:p>
        </w:tc>
        <w:tc>
          <w:tcPr>
            <w:tcW w:w="992" w:type="dxa"/>
            <w:shd w:val="clear" w:color="auto" w:fill="EEECE1" w:themeFill="background2"/>
            <w:vAlign w:val="center"/>
          </w:tcPr>
          <w:p w14:paraId="4675733A"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1</w:t>
            </w:r>
            <w:r w:rsidRPr="008A7ECF">
              <w:rPr>
                <w:rFonts w:eastAsia="Calibri"/>
                <w:color w:val="000000" w:themeColor="text1"/>
                <w:sz w:val="20"/>
                <w:szCs w:val="20"/>
              </w:rPr>
              <w:t>%</w:t>
            </w:r>
          </w:p>
        </w:tc>
        <w:tc>
          <w:tcPr>
            <w:tcW w:w="709" w:type="dxa"/>
            <w:shd w:val="clear" w:color="auto" w:fill="EEECE1" w:themeFill="background2"/>
            <w:vAlign w:val="center"/>
          </w:tcPr>
          <w:p w14:paraId="22D24D31" w14:textId="77777777" w:rsidR="00636DAD" w:rsidRPr="00D47F6D" w:rsidRDefault="00636DAD" w:rsidP="00BC4426">
            <w:pPr>
              <w:rPr>
                <w:rFonts w:eastAsia="Calibri"/>
                <w:color w:val="000000" w:themeColor="text1"/>
                <w:sz w:val="20"/>
                <w:szCs w:val="20"/>
              </w:rPr>
            </w:pPr>
            <w:r w:rsidRPr="00D47F6D">
              <w:rPr>
                <w:color w:val="000000"/>
                <w:sz w:val="20"/>
                <w:szCs w:val="20"/>
                <w:lang w:eastAsia="en-NZ"/>
              </w:rPr>
              <w:t>8</w:t>
            </w:r>
          </w:p>
        </w:tc>
        <w:tc>
          <w:tcPr>
            <w:tcW w:w="992" w:type="dxa"/>
            <w:shd w:val="clear" w:color="auto" w:fill="EEECE1" w:themeFill="background2"/>
            <w:vAlign w:val="center"/>
          </w:tcPr>
          <w:p w14:paraId="78E81176" w14:textId="77777777" w:rsidR="00636DAD" w:rsidRPr="00D47F6D" w:rsidRDefault="00636DAD" w:rsidP="00BC4426">
            <w:pPr>
              <w:rPr>
                <w:color w:val="000000"/>
                <w:sz w:val="20"/>
                <w:szCs w:val="20"/>
                <w:lang w:eastAsia="en-NZ"/>
              </w:rPr>
            </w:pPr>
            <w:r w:rsidRPr="00D47F6D">
              <w:rPr>
                <w:color w:val="000000"/>
                <w:sz w:val="20"/>
                <w:szCs w:val="20"/>
                <w:lang w:eastAsia="en-NZ"/>
              </w:rPr>
              <w:t>1</w:t>
            </w:r>
            <w:r w:rsidRPr="008A7ECF">
              <w:rPr>
                <w:color w:val="000000"/>
                <w:sz w:val="20"/>
                <w:szCs w:val="20"/>
                <w:lang w:eastAsia="en-NZ"/>
              </w:rPr>
              <w:t>%</w:t>
            </w:r>
          </w:p>
        </w:tc>
        <w:tc>
          <w:tcPr>
            <w:tcW w:w="709" w:type="dxa"/>
            <w:shd w:val="clear" w:color="auto" w:fill="EEECE1" w:themeFill="background2"/>
            <w:vAlign w:val="center"/>
          </w:tcPr>
          <w:p w14:paraId="79F2D2B3" w14:textId="77777777" w:rsidR="00636DAD" w:rsidRPr="00D47F6D" w:rsidRDefault="00636DAD" w:rsidP="00BC4426">
            <w:pPr>
              <w:rPr>
                <w:color w:val="000000"/>
                <w:sz w:val="20"/>
                <w:szCs w:val="20"/>
                <w:lang w:eastAsia="en-NZ"/>
              </w:rPr>
            </w:pPr>
            <w:r w:rsidRPr="00D47F6D">
              <w:rPr>
                <w:color w:val="000000"/>
                <w:sz w:val="20"/>
                <w:szCs w:val="20"/>
                <w:lang w:eastAsia="en-NZ"/>
              </w:rPr>
              <w:t>8</w:t>
            </w:r>
          </w:p>
        </w:tc>
        <w:tc>
          <w:tcPr>
            <w:tcW w:w="1004" w:type="dxa"/>
            <w:shd w:val="clear" w:color="auto" w:fill="EEECE1" w:themeFill="background2"/>
            <w:vAlign w:val="center"/>
          </w:tcPr>
          <w:p w14:paraId="738A2086" w14:textId="77777777" w:rsidR="00636DAD" w:rsidRPr="00D47F6D" w:rsidRDefault="00636DAD" w:rsidP="00BC4426">
            <w:pPr>
              <w:rPr>
                <w:color w:val="000000"/>
                <w:sz w:val="20"/>
                <w:szCs w:val="20"/>
                <w:lang w:eastAsia="en-NZ"/>
              </w:rPr>
            </w:pPr>
            <w:r w:rsidRPr="00D47F6D">
              <w:rPr>
                <w:color w:val="000000"/>
                <w:sz w:val="20"/>
                <w:szCs w:val="20"/>
                <w:lang w:eastAsia="en-NZ"/>
              </w:rPr>
              <w:t>1%</w:t>
            </w:r>
          </w:p>
        </w:tc>
      </w:tr>
      <w:tr w:rsidR="00636DAD" w:rsidRPr="00104774" w14:paraId="7D17F6E7" w14:textId="77777777" w:rsidTr="00BC4426">
        <w:trPr>
          <w:trHeight w:val="267"/>
        </w:trPr>
        <w:tc>
          <w:tcPr>
            <w:tcW w:w="2183" w:type="dxa"/>
            <w:shd w:val="clear" w:color="auto" w:fill="FFFFFF" w:themeFill="background1"/>
            <w:vAlign w:val="center"/>
          </w:tcPr>
          <w:p w14:paraId="6EFC2255" w14:textId="77777777" w:rsidR="00636DAD" w:rsidRPr="00D47F6D" w:rsidRDefault="00636DAD" w:rsidP="00BC4426">
            <w:pPr>
              <w:rPr>
                <w:sz w:val="20"/>
                <w:szCs w:val="20"/>
              </w:rPr>
            </w:pPr>
            <w:r w:rsidRPr="00D47F6D">
              <w:rPr>
                <w:rFonts w:eastAsia="Calibri"/>
                <w:color w:val="000000" w:themeColor="text1"/>
                <w:sz w:val="20"/>
                <w:szCs w:val="20"/>
              </w:rPr>
              <w:t>Taranaki</w:t>
            </w:r>
          </w:p>
        </w:tc>
        <w:tc>
          <w:tcPr>
            <w:tcW w:w="694" w:type="dxa"/>
            <w:shd w:val="clear" w:color="auto" w:fill="auto"/>
            <w:vAlign w:val="center"/>
          </w:tcPr>
          <w:p w14:paraId="59BDF86F" w14:textId="77777777" w:rsidR="00636DAD" w:rsidRPr="00D47F6D" w:rsidRDefault="00636DAD" w:rsidP="00BC4426">
            <w:pPr>
              <w:rPr>
                <w:sz w:val="20"/>
                <w:szCs w:val="20"/>
              </w:rPr>
            </w:pPr>
            <w:r w:rsidRPr="00D47F6D">
              <w:rPr>
                <w:rFonts w:eastAsia="Calibri"/>
                <w:color w:val="000000" w:themeColor="text1"/>
                <w:sz w:val="20"/>
                <w:szCs w:val="20"/>
              </w:rPr>
              <w:t>15</w:t>
            </w:r>
          </w:p>
        </w:tc>
        <w:tc>
          <w:tcPr>
            <w:tcW w:w="1087" w:type="dxa"/>
            <w:shd w:val="clear" w:color="auto" w:fill="auto"/>
            <w:vAlign w:val="center"/>
          </w:tcPr>
          <w:p w14:paraId="67F0A758"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2</w:t>
            </w:r>
            <w:r w:rsidRPr="008A7ECF">
              <w:rPr>
                <w:rFonts w:eastAsia="Calibri"/>
                <w:color w:val="000000" w:themeColor="text1"/>
                <w:sz w:val="20"/>
                <w:szCs w:val="20"/>
              </w:rPr>
              <w:t>%</w:t>
            </w:r>
          </w:p>
        </w:tc>
        <w:tc>
          <w:tcPr>
            <w:tcW w:w="709" w:type="dxa"/>
            <w:shd w:val="clear" w:color="auto" w:fill="auto"/>
            <w:vAlign w:val="center"/>
          </w:tcPr>
          <w:p w14:paraId="1650BFD3"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14</w:t>
            </w:r>
          </w:p>
        </w:tc>
        <w:tc>
          <w:tcPr>
            <w:tcW w:w="992" w:type="dxa"/>
            <w:shd w:val="clear" w:color="auto" w:fill="auto"/>
            <w:vAlign w:val="center"/>
          </w:tcPr>
          <w:p w14:paraId="32DBC7DC"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2</w:t>
            </w:r>
            <w:r w:rsidRPr="008A7ECF">
              <w:rPr>
                <w:rFonts w:eastAsia="Calibri"/>
                <w:color w:val="000000" w:themeColor="text1"/>
                <w:sz w:val="20"/>
                <w:szCs w:val="20"/>
              </w:rPr>
              <w:t>%</w:t>
            </w:r>
          </w:p>
        </w:tc>
        <w:tc>
          <w:tcPr>
            <w:tcW w:w="709" w:type="dxa"/>
            <w:shd w:val="clear" w:color="auto" w:fill="auto"/>
            <w:vAlign w:val="center"/>
          </w:tcPr>
          <w:p w14:paraId="348F2454" w14:textId="77777777" w:rsidR="00636DAD" w:rsidRPr="00D47F6D" w:rsidRDefault="00636DAD" w:rsidP="00BC4426">
            <w:pPr>
              <w:rPr>
                <w:rFonts w:eastAsia="Calibri"/>
                <w:color w:val="000000" w:themeColor="text1"/>
                <w:sz w:val="20"/>
                <w:szCs w:val="20"/>
              </w:rPr>
            </w:pPr>
            <w:r w:rsidRPr="00D47F6D">
              <w:rPr>
                <w:color w:val="000000"/>
                <w:sz w:val="20"/>
                <w:szCs w:val="20"/>
                <w:lang w:eastAsia="en-NZ"/>
              </w:rPr>
              <w:t>14</w:t>
            </w:r>
          </w:p>
        </w:tc>
        <w:tc>
          <w:tcPr>
            <w:tcW w:w="992" w:type="dxa"/>
            <w:shd w:val="clear" w:color="auto" w:fill="auto"/>
            <w:vAlign w:val="center"/>
          </w:tcPr>
          <w:p w14:paraId="72718972" w14:textId="77777777" w:rsidR="00636DAD" w:rsidRPr="00D47F6D" w:rsidRDefault="00636DAD" w:rsidP="00BC4426">
            <w:pPr>
              <w:rPr>
                <w:color w:val="000000"/>
                <w:sz w:val="20"/>
                <w:szCs w:val="20"/>
                <w:lang w:eastAsia="en-NZ"/>
              </w:rPr>
            </w:pPr>
            <w:r w:rsidRPr="00D47F6D">
              <w:rPr>
                <w:color w:val="000000"/>
                <w:sz w:val="20"/>
                <w:szCs w:val="20"/>
                <w:lang w:eastAsia="en-NZ"/>
              </w:rPr>
              <w:t>2</w:t>
            </w:r>
            <w:r w:rsidRPr="008A7ECF">
              <w:rPr>
                <w:color w:val="000000"/>
                <w:sz w:val="20"/>
                <w:szCs w:val="20"/>
                <w:lang w:eastAsia="en-NZ"/>
              </w:rPr>
              <w:t>%</w:t>
            </w:r>
          </w:p>
        </w:tc>
        <w:tc>
          <w:tcPr>
            <w:tcW w:w="709" w:type="dxa"/>
            <w:shd w:val="clear" w:color="auto" w:fill="auto"/>
            <w:vAlign w:val="center"/>
          </w:tcPr>
          <w:p w14:paraId="08B2DFF1" w14:textId="77777777" w:rsidR="00636DAD" w:rsidRPr="00D47F6D" w:rsidRDefault="00636DAD" w:rsidP="00BC4426">
            <w:pPr>
              <w:rPr>
                <w:color w:val="000000"/>
                <w:sz w:val="20"/>
                <w:szCs w:val="20"/>
                <w:lang w:eastAsia="en-NZ"/>
              </w:rPr>
            </w:pPr>
            <w:r w:rsidRPr="00D47F6D">
              <w:rPr>
                <w:color w:val="000000"/>
                <w:sz w:val="20"/>
                <w:szCs w:val="20"/>
                <w:lang w:eastAsia="en-NZ"/>
              </w:rPr>
              <w:t>14</w:t>
            </w:r>
          </w:p>
        </w:tc>
        <w:tc>
          <w:tcPr>
            <w:tcW w:w="1004" w:type="dxa"/>
            <w:shd w:val="clear" w:color="auto" w:fill="auto"/>
            <w:vAlign w:val="center"/>
          </w:tcPr>
          <w:p w14:paraId="5145C80A" w14:textId="77777777" w:rsidR="00636DAD" w:rsidRPr="00D47F6D" w:rsidRDefault="00636DAD" w:rsidP="00BC4426">
            <w:pPr>
              <w:rPr>
                <w:color w:val="000000"/>
                <w:sz w:val="20"/>
                <w:szCs w:val="20"/>
                <w:lang w:eastAsia="en-NZ"/>
              </w:rPr>
            </w:pPr>
            <w:r w:rsidRPr="00D47F6D">
              <w:rPr>
                <w:color w:val="000000"/>
                <w:sz w:val="20"/>
                <w:szCs w:val="20"/>
                <w:lang w:eastAsia="en-NZ"/>
              </w:rPr>
              <w:t>2%</w:t>
            </w:r>
          </w:p>
        </w:tc>
      </w:tr>
      <w:tr w:rsidR="00636DAD" w:rsidRPr="007426DB" w14:paraId="17B04AEC" w14:textId="77777777" w:rsidTr="00BC4426">
        <w:trPr>
          <w:trHeight w:val="267"/>
        </w:trPr>
        <w:tc>
          <w:tcPr>
            <w:tcW w:w="2183" w:type="dxa"/>
            <w:shd w:val="clear" w:color="auto" w:fill="EEECE1" w:themeFill="background2"/>
            <w:vAlign w:val="center"/>
          </w:tcPr>
          <w:p w14:paraId="1B6802DE" w14:textId="77777777" w:rsidR="00636DAD" w:rsidRPr="00D47F6D" w:rsidRDefault="00636DAD" w:rsidP="00BC4426">
            <w:pPr>
              <w:rPr>
                <w:sz w:val="20"/>
                <w:szCs w:val="20"/>
              </w:rPr>
            </w:pPr>
            <w:r w:rsidRPr="00D47F6D">
              <w:rPr>
                <w:rFonts w:eastAsia="Calibri"/>
                <w:color w:val="000000" w:themeColor="text1"/>
                <w:sz w:val="20"/>
                <w:szCs w:val="20"/>
              </w:rPr>
              <w:t>Tasman | Te Tai-o-Aorere</w:t>
            </w:r>
          </w:p>
        </w:tc>
        <w:tc>
          <w:tcPr>
            <w:tcW w:w="694" w:type="dxa"/>
            <w:shd w:val="clear" w:color="auto" w:fill="EEECE1" w:themeFill="background2"/>
            <w:vAlign w:val="center"/>
          </w:tcPr>
          <w:p w14:paraId="0042B760" w14:textId="77777777" w:rsidR="00636DAD" w:rsidRPr="00D47F6D" w:rsidRDefault="00636DAD" w:rsidP="00BC4426">
            <w:pPr>
              <w:rPr>
                <w:sz w:val="20"/>
                <w:szCs w:val="20"/>
              </w:rPr>
            </w:pPr>
            <w:r w:rsidRPr="00D47F6D">
              <w:rPr>
                <w:rFonts w:eastAsia="Calibri"/>
                <w:color w:val="000000" w:themeColor="text1"/>
                <w:sz w:val="20"/>
                <w:szCs w:val="20"/>
              </w:rPr>
              <w:t>7</w:t>
            </w:r>
          </w:p>
        </w:tc>
        <w:tc>
          <w:tcPr>
            <w:tcW w:w="1087" w:type="dxa"/>
            <w:shd w:val="clear" w:color="auto" w:fill="EEECE1" w:themeFill="background2"/>
            <w:vAlign w:val="center"/>
          </w:tcPr>
          <w:p w14:paraId="1A817E3F"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1</w:t>
            </w:r>
            <w:r w:rsidRPr="008A7ECF">
              <w:rPr>
                <w:rFonts w:eastAsia="Calibri"/>
                <w:color w:val="000000" w:themeColor="text1"/>
                <w:sz w:val="20"/>
                <w:szCs w:val="20"/>
              </w:rPr>
              <w:t>%</w:t>
            </w:r>
          </w:p>
        </w:tc>
        <w:tc>
          <w:tcPr>
            <w:tcW w:w="709" w:type="dxa"/>
            <w:shd w:val="clear" w:color="auto" w:fill="EEECE1" w:themeFill="background2"/>
            <w:vAlign w:val="center"/>
          </w:tcPr>
          <w:p w14:paraId="74D4FC58"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7</w:t>
            </w:r>
          </w:p>
        </w:tc>
        <w:tc>
          <w:tcPr>
            <w:tcW w:w="992" w:type="dxa"/>
            <w:shd w:val="clear" w:color="auto" w:fill="EEECE1" w:themeFill="background2"/>
            <w:vAlign w:val="center"/>
          </w:tcPr>
          <w:p w14:paraId="29E1B2CA"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1</w:t>
            </w:r>
            <w:r w:rsidRPr="008A7ECF">
              <w:rPr>
                <w:rFonts w:eastAsia="Calibri"/>
                <w:color w:val="000000" w:themeColor="text1"/>
                <w:sz w:val="20"/>
                <w:szCs w:val="20"/>
              </w:rPr>
              <w:t>%</w:t>
            </w:r>
          </w:p>
        </w:tc>
        <w:tc>
          <w:tcPr>
            <w:tcW w:w="709" w:type="dxa"/>
            <w:shd w:val="clear" w:color="auto" w:fill="EEECE1" w:themeFill="background2"/>
            <w:vAlign w:val="center"/>
          </w:tcPr>
          <w:p w14:paraId="5294ADF2" w14:textId="77777777" w:rsidR="00636DAD" w:rsidRPr="00D47F6D" w:rsidRDefault="00636DAD" w:rsidP="00BC4426">
            <w:pPr>
              <w:rPr>
                <w:rFonts w:eastAsia="Calibri"/>
                <w:color w:val="000000" w:themeColor="text1"/>
                <w:sz w:val="20"/>
                <w:szCs w:val="20"/>
              </w:rPr>
            </w:pPr>
            <w:r w:rsidRPr="00D47F6D">
              <w:rPr>
                <w:color w:val="000000"/>
                <w:sz w:val="20"/>
                <w:szCs w:val="20"/>
                <w:lang w:eastAsia="en-NZ"/>
              </w:rPr>
              <w:t>7</w:t>
            </w:r>
          </w:p>
        </w:tc>
        <w:tc>
          <w:tcPr>
            <w:tcW w:w="992" w:type="dxa"/>
            <w:shd w:val="clear" w:color="auto" w:fill="EEECE1" w:themeFill="background2"/>
            <w:vAlign w:val="center"/>
          </w:tcPr>
          <w:p w14:paraId="2CE21074" w14:textId="77777777" w:rsidR="00636DAD" w:rsidRPr="00D47F6D" w:rsidRDefault="00636DAD" w:rsidP="00BC4426">
            <w:pPr>
              <w:rPr>
                <w:color w:val="000000"/>
                <w:sz w:val="20"/>
                <w:szCs w:val="20"/>
                <w:lang w:eastAsia="en-NZ"/>
              </w:rPr>
            </w:pPr>
            <w:r w:rsidRPr="00D47F6D">
              <w:rPr>
                <w:color w:val="000000"/>
                <w:sz w:val="20"/>
                <w:szCs w:val="20"/>
                <w:lang w:eastAsia="en-NZ"/>
              </w:rPr>
              <w:t>1</w:t>
            </w:r>
            <w:r w:rsidRPr="008A7ECF">
              <w:rPr>
                <w:color w:val="000000"/>
                <w:sz w:val="20"/>
                <w:szCs w:val="20"/>
                <w:lang w:eastAsia="en-NZ"/>
              </w:rPr>
              <w:t>%</w:t>
            </w:r>
          </w:p>
        </w:tc>
        <w:tc>
          <w:tcPr>
            <w:tcW w:w="709" w:type="dxa"/>
            <w:shd w:val="clear" w:color="auto" w:fill="EEECE1" w:themeFill="background2"/>
            <w:vAlign w:val="center"/>
          </w:tcPr>
          <w:p w14:paraId="779E0F6C" w14:textId="77777777" w:rsidR="00636DAD" w:rsidRPr="00D47F6D" w:rsidRDefault="00636DAD" w:rsidP="00BC4426">
            <w:pPr>
              <w:rPr>
                <w:color w:val="000000"/>
                <w:sz w:val="20"/>
                <w:szCs w:val="20"/>
                <w:lang w:eastAsia="en-NZ"/>
              </w:rPr>
            </w:pPr>
            <w:r w:rsidRPr="00D47F6D">
              <w:rPr>
                <w:color w:val="000000"/>
                <w:sz w:val="20"/>
                <w:szCs w:val="20"/>
                <w:lang w:eastAsia="en-NZ"/>
              </w:rPr>
              <w:t>7</w:t>
            </w:r>
          </w:p>
        </w:tc>
        <w:tc>
          <w:tcPr>
            <w:tcW w:w="1004" w:type="dxa"/>
            <w:shd w:val="clear" w:color="auto" w:fill="EEECE1" w:themeFill="background2"/>
            <w:vAlign w:val="center"/>
          </w:tcPr>
          <w:p w14:paraId="05C2A7E9" w14:textId="77777777" w:rsidR="00636DAD" w:rsidRPr="00D47F6D" w:rsidRDefault="00636DAD" w:rsidP="00BC4426">
            <w:pPr>
              <w:rPr>
                <w:color w:val="000000"/>
                <w:sz w:val="20"/>
                <w:szCs w:val="20"/>
                <w:lang w:eastAsia="en-NZ"/>
              </w:rPr>
            </w:pPr>
            <w:r w:rsidRPr="00D47F6D">
              <w:rPr>
                <w:color w:val="000000"/>
                <w:sz w:val="20"/>
                <w:szCs w:val="20"/>
                <w:lang w:eastAsia="en-NZ"/>
              </w:rPr>
              <w:t>1%</w:t>
            </w:r>
          </w:p>
        </w:tc>
      </w:tr>
      <w:tr w:rsidR="00636DAD" w:rsidRPr="00104774" w14:paraId="29920DB3" w14:textId="77777777" w:rsidTr="00BC4426">
        <w:trPr>
          <w:trHeight w:val="253"/>
        </w:trPr>
        <w:tc>
          <w:tcPr>
            <w:tcW w:w="2183" w:type="dxa"/>
            <w:shd w:val="clear" w:color="auto" w:fill="FFFFFF" w:themeFill="background1"/>
            <w:vAlign w:val="center"/>
          </w:tcPr>
          <w:p w14:paraId="6136F8D4" w14:textId="77777777" w:rsidR="00636DAD" w:rsidRPr="00D47F6D" w:rsidRDefault="00636DAD" w:rsidP="00BC4426">
            <w:pPr>
              <w:rPr>
                <w:sz w:val="20"/>
                <w:szCs w:val="20"/>
              </w:rPr>
            </w:pPr>
            <w:r w:rsidRPr="00D47F6D">
              <w:rPr>
                <w:rFonts w:eastAsia="Calibri"/>
                <w:color w:val="000000" w:themeColor="text1"/>
                <w:sz w:val="20"/>
                <w:szCs w:val="20"/>
              </w:rPr>
              <w:t>Waikato</w:t>
            </w:r>
          </w:p>
        </w:tc>
        <w:tc>
          <w:tcPr>
            <w:tcW w:w="694" w:type="dxa"/>
            <w:shd w:val="clear" w:color="auto" w:fill="auto"/>
            <w:vAlign w:val="center"/>
          </w:tcPr>
          <w:p w14:paraId="14F4C698" w14:textId="77777777" w:rsidR="00636DAD" w:rsidRPr="00D47F6D" w:rsidRDefault="00636DAD" w:rsidP="00BC4426">
            <w:pPr>
              <w:rPr>
                <w:sz w:val="20"/>
                <w:szCs w:val="20"/>
              </w:rPr>
            </w:pPr>
            <w:r w:rsidRPr="00D47F6D">
              <w:rPr>
                <w:rFonts w:eastAsia="Calibri"/>
                <w:color w:val="000000" w:themeColor="text1"/>
                <w:sz w:val="20"/>
                <w:szCs w:val="20"/>
              </w:rPr>
              <w:t>43</w:t>
            </w:r>
          </w:p>
        </w:tc>
        <w:tc>
          <w:tcPr>
            <w:tcW w:w="1087" w:type="dxa"/>
            <w:shd w:val="clear" w:color="auto" w:fill="auto"/>
            <w:vAlign w:val="center"/>
          </w:tcPr>
          <w:p w14:paraId="0D736613"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6</w:t>
            </w:r>
            <w:r w:rsidRPr="008A7ECF">
              <w:rPr>
                <w:rFonts w:eastAsia="Calibri"/>
                <w:color w:val="000000" w:themeColor="text1"/>
                <w:sz w:val="20"/>
                <w:szCs w:val="20"/>
              </w:rPr>
              <w:t>%</w:t>
            </w:r>
          </w:p>
        </w:tc>
        <w:tc>
          <w:tcPr>
            <w:tcW w:w="709" w:type="dxa"/>
            <w:shd w:val="clear" w:color="auto" w:fill="auto"/>
            <w:vAlign w:val="center"/>
          </w:tcPr>
          <w:p w14:paraId="1F1FAADD"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44</w:t>
            </w:r>
          </w:p>
        </w:tc>
        <w:tc>
          <w:tcPr>
            <w:tcW w:w="992" w:type="dxa"/>
            <w:shd w:val="clear" w:color="auto" w:fill="auto"/>
            <w:vAlign w:val="center"/>
          </w:tcPr>
          <w:p w14:paraId="1CEAB076"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5</w:t>
            </w:r>
            <w:r w:rsidRPr="008A7ECF">
              <w:rPr>
                <w:rFonts w:eastAsia="Calibri"/>
                <w:color w:val="000000" w:themeColor="text1"/>
                <w:sz w:val="20"/>
                <w:szCs w:val="20"/>
              </w:rPr>
              <w:t>%</w:t>
            </w:r>
          </w:p>
        </w:tc>
        <w:tc>
          <w:tcPr>
            <w:tcW w:w="709" w:type="dxa"/>
            <w:shd w:val="clear" w:color="auto" w:fill="auto"/>
            <w:vAlign w:val="center"/>
          </w:tcPr>
          <w:p w14:paraId="72805FFA" w14:textId="77777777" w:rsidR="00636DAD" w:rsidRPr="00D47F6D" w:rsidRDefault="00636DAD" w:rsidP="00BC4426">
            <w:pPr>
              <w:rPr>
                <w:rFonts w:eastAsia="Calibri"/>
                <w:color w:val="000000" w:themeColor="text1"/>
                <w:sz w:val="20"/>
                <w:szCs w:val="20"/>
              </w:rPr>
            </w:pPr>
            <w:r w:rsidRPr="00D47F6D">
              <w:rPr>
                <w:color w:val="000000"/>
                <w:sz w:val="20"/>
                <w:szCs w:val="20"/>
                <w:lang w:eastAsia="en-NZ"/>
              </w:rPr>
              <w:t>45</w:t>
            </w:r>
          </w:p>
        </w:tc>
        <w:tc>
          <w:tcPr>
            <w:tcW w:w="992" w:type="dxa"/>
            <w:shd w:val="clear" w:color="auto" w:fill="auto"/>
            <w:vAlign w:val="center"/>
          </w:tcPr>
          <w:p w14:paraId="41EEF41A" w14:textId="77777777" w:rsidR="00636DAD" w:rsidRPr="00D47F6D" w:rsidRDefault="00636DAD" w:rsidP="00BC4426">
            <w:pPr>
              <w:rPr>
                <w:color w:val="000000"/>
                <w:sz w:val="20"/>
                <w:szCs w:val="20"/>
                <w:lang w:eastAsia="en-NZ"/>
              </w:rPr>
            </w:pPr>
            <w:r w:rsidRPr="00D47F6D">
              <w:rPr>
                <w:color w:val="000000"/>
                <w:sz w:val="20"/>
                <w:szCs w:val="20"/>
                <w:lang w:eastAsia="en-NZ"/>
              </w:rPr>
              <w:t>5</w:t>
            </w:r>
            <w:r w:rsidRPr="008A7ECF">
              <w:rPr>
                <w:color w:val="000000"/>
                <w:sz w:val="20"/>
                <w:szCs w:val="20"/>
                <w:lang w:eastAsia="en-NZ"/>
              </w:rPr>
              <w:t>%</w:t>
            </w:r>
          </w:p>
        </w:tc>
        <w:tc>
          <w:tcPr>
            <w:tcW w:w="709" w:type="dxa"/>
            <w:shd w:val="clear" w:color="auto" w:fill="auto"/>
            <w:vAlign w:val="center"/>
          </w:tcPr>
          <w:p w14:paraId="07177412" w14:textId="77777777" w:rsidR="00636DAD" w:rsidRPr="00D47F6D" w:rsidRDefault="00636DAD" w:rsidP="00BC4426">
            <w:pPr>
              <w:rPr>
                <w:color w:val="000000"/>
                <w:sz w:val="20"/>
                <w:szCs w:val="20"/>
                <w:lang w:eastAsia="en-NZ"/>
              </w:rPr>
            </w:pPr>
            <w:r w:rsidRPr="00D47F6D">
              <w:rPr>
                <w:color w:val="000000"/>
                <w:sz w:val="20"/>
                <w:szCs w:val="20"/>
                <w:lang w:eastAsia="en-NZ"/>
              </w:rPr>
              <w:t>45</w:t>
            </w:r>
          </w:p>
        </w:tc>
        <w:tc>
          <w:tcPr>
            <w:tcW w:w="1004" w:type="dxa"/>
            <w:shd w:val="clear" w:color="auto" w:fill="auto"/>
            <w:vAlign w:val="center"/>
          </w:tcPr>
          <w:p w14:paraId="29CC9C39" w14:textId="77777777" w:rsidR="00636DAD" w:rsidRPr="00D47F6D" w:rsidRDefault="00636DAD" w:rsidP="00BC4426">
            <w:pPr>
              <w:rPr>
                <w:color w:val="000000"/>
                <w:sz w:val="20"/>
                <w:szCs w:val="20"/>
                <w:lang w:eastAsia="en-NZ"/>
              </w:rPr>
            </w:pPr>
            <w:r w:rsidRPr="00D47F6D">
              <w:rPr>
                <w:color w:val="000000"/>
                <w:sz w:val="20"/>
                <w:szCs w:val="20"/>
                <w:lang w:eastAsia="en-NZ"/>
              </w:rPr>
              <w:t>5%</w:t>
            </w:r>
          </w:p>
        </w:tc>
      </w:tr>
      <w:tr w:rsidR="00636DAD" w:rsidRPr="007426DB" w14:paraId="6D280501" w14:textId="77777777" w:rsidTr="00BC4426">
        <w:trPr>
          <w:trHeight w:val="267"/>
        </w:trPr>
        <w:tc>
          <w:tcPr>
            <w:tcW w:w="2183" w:type="dxa"/>
            <w:shd w:val="clear" w:color="auto" w:fill="EEECE1" w:themeFill="background2"/>
            <w:vAlign w:val="center"/>
          </w:tcPr>
          <w:p w14:paraId="63246172" w14:textId="77777777" w:rsidR="00636DAD" w:rsidRPr="00D47F6D" w:rsidRDefault="00636DAD" w:rsidP="00BC4426">
            <w:pPr>
              <w:rPr>
                <w:sz w:val="20"/>
                <w:szCs w:val="20"/>
              </w:rPr>
            </w:pPr>
            <w:r w:rsidRPr="00D47F6D">
              <w:rPr>
                <w:rFonts w:eastAsia="Calibri"/>
                <w:color w:val="000000" w:themeColor="text1"/>
                <w:sz w:val="20"/>
                <w:szCs w:val="20"/>
              </w:rPr>
              <w:lastRenderedPageBreak/>
              <w:t>Wellington | Te Whanganui-a-tara</w:t>
            </w:r>
          </w:p>
        </w:tc>
        <w:tc>
          <w:tcPr>
            <w:tcW w:w="694" w:type="dxa"/>
            <w:shd w:val="clear" w:color="auto" w:fill="EEECE1" w:themeFill="background2"/>
            <w:vAlign w:val="center"/>
          </w:tcPr>
          <w:p w14:paraId="05BB2EF4" w14:textId="77777777" w:rsidR="00636DAD" w:rsidRPr="00D47F6D" w:rsidRDefault="00636DAD" w:rsidP="00BC4426">
            <w:pPr>
              <w:rPr>
                <w:sz w:val="20"/>
                <w:szCs w:val="20"/>
              </w:rPr>
            </w:pPr>
            <w:r w:rsidRPr="00D47F6D">
              <w:rPr>
                <w:rFonts w:eastAsia="Calibri"/>
                <w:color w:val="000000" w:themeColor="text1"/>
                <w:sz w:val="20"/>
                <w:szCs w:val="20"/>
              </w:rPr>
              <w:t>130</w:t>
            </w:r>
          </w:p>
        </w:tc>
        <w:tc>
          <w:tcPr>
            <w:tcW w:w="1087" w:type="dxa"/>
            <w:shd w:val="clear" w:color="auto" w:fill="EEECE1" w:themeFill="background2"/>
            <w:vAlign w:val="center"/>
          </w:tcPr>
          <w:p w14:paraId="790506A0"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17</w:t>
            </w:r>
            <w:r w:rsidRPr="008A7ECF">
              <w:rPr>
                <w:rFonts w:eastAsia="Calibri"/>
                <w:color w:val="000000" w:themeColor="text1"/>
                <w:sz w:val="20"/>
                <w:szCs w:val="20"/>
              </w:rPr>
              <w:t>%</w:t>
            </w:r>
          </w:p>
        </w:tc>
        <w:tc>
          <w:tcPr>
            <w:tcW w:w="709" w:type="dxa"/>
            <w:shd w:val="clear" w:color="auto" w:fill="EEECE1" w:themeFill="background2"/>
            <w:vAlign w:val="center"/>
          </w:tcPr>
          <w:p w14:paraId="50DC2CF9"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142</w:t>
            </w:r>
          </w:p>
        </w:tc>
        <w:tc>
          <w:tcPr>
            <w:tcW w:w="992" w:type="dxa"/>
            <w:shd w:val="clear" w:color="auto" w:fill="EEECE1" w:themeFill="background2"/>
            <w:vAlign w:val="center"/>
          </w:tcPr>
          <w:p w14:paraId="29B6283F"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18</w:t>
            </w:r>
            <w:r w:rsidRPr="008A7ECF">
              <w:rPr>
                <w:rFonts w:eastAsia="Calibri"/>
                <w:color w:val="000000" w:themeColor="text1"/>
                <w:sz w:val="20"/>
                <w:szCs w:val="20"/>
              </w:rPr>
              <w:t>%</w:t>
            </w:r>
          </w:p>
        </w:tc>
        <w:tc>
          <w:tcPr>
            <w:tcW w:w="709" w:type="dxa"/>
            <w:shd w:val="clear" w:color="auto" w:fill="EEECE1" w:themeFill="background2"/>
            <w:vAlign w:val="center"/>
          </w:tcPr>
          <w:p w14:paraId="4C32BFEB" w14:textId="77777777" w:rsidR="00636DAD" w:rsidRPr="00D47F6D" w:rsidRDefault="00636DAD" w:rsidP="00BC4426">
            <w:pPr>
              <w:rPr>
                <w:rFonts w:eastAsia="Calibri"/>
                <w:color w:val="000000" w:themeColor="text1"/>
                <w:sz w:val="20"/>
                <w:szCs w:val="20"/>
              </w:rPr>
            </w:pPr>
            <w:r w:rsidRPr="00D47F6D">
              <w:rPr>
                <w:color w:val="000000"/>
                <w:sz w:val="20"/>
                <w:szCs w:val="20"/>
                <w:lang w:eastAsia="en-NZ"/>
              </w:rPr>
              <w:t>144</w:t>
            </w:r>
          </w:p>
        </w:tc>
        <w:tc>
          <w:tcPr>
            <w:tcW w:w="992" w:type="dxa"/>
            <w:shd w:val="clear" w:color="auto" w:fill="EEECE1" w:themeFill="background2"/>
            <w:vAlign w:val="center"/>
          </w:tcPr>
          <w:p w14:paraId="51F97BB4" w14:textId="77777777" w:rsidR="00636DAD" w:rsidRPr="00D47F6D" w:rsidRDefault="00636DAD" w:rsidP="00BC4426">
            <w:pPr>
              <w:rPr>
                <w:color w:val="000000"/>
                <w:sz w:val="20"/>
                <w:szCs w:val="20"/>
                <w:lang w:eastAsia="en-NZ"/>
              </w:rPr>
            </w:pPr>
            <w:r w:rsidRPr="00D47F6D">
              <w:rPr>
                <w:color w:val="000000"/>
                <w:sz w:val="20"/>
                <w:szCs w:val="20"/>
                <w:lang w:eastAsia="en-NZ"/>
              </w:rPr>
              <w:t>17</w:t>
            </w:r>
            <w:r w:rsidRPr="008A7ECF">
              <w:rPr>
                <w:color w:val="000000"/>
                <w:sz w:val="20"/>
                <w:szCs w:val="20"/>
                <w:lang w:eastAsia="en-NZ"/>
              </w:rPr>
              <w:t>%</w:t>
            </w:r>
          </w:p>
        </w:tc>
        <w:tc>
          <w:tcPr>
            <w:tcW w:w="709" w:type="dxa"/>
            <w:shd w:val="clear" w:color="auto" w:fill="EEECE1" w:themeFill="background2"/>
            <w:vAlign w:val="center"/>
          </w:tcPr>
          <w:p w14:paraId="6B0B805B" w14:textId="77777777" w:rsidR="00636DAD" w:rsidRPr="00D47F6D" w:rsidRDefault="00636DAD" w:rsidP="00BC4426">
            <w:pPr>
              <w:rPr>
                <w:color w:val="000000"/>
                <w:sz w:val="20"/>
                <w:szCs w:val="20"/>
                <w:lang w:eastAsia="en-NZ"/>
              </w:rPr>
            </w:pPr>
            <w:r w:rsidRPr="00D47F6D">
              <w:rPr>
                <w:color w:val="000000"/>
                <w:sz w:val="20"/>
                <w:szCs w:val="20"/>
                <w:lang w:eastAsia="en-NZ"/>
              </w:rPr>
              <w:t>150</w:t>
            </w:r>
          </w:p>
        </w:tc>
        <w:tc>
          <w:tcPr>
            <w:tcW w:w="1004" w:type="dxa"/>
            <w:shd w:val="clear" w:color="auto" w:fill="EEECE1" w:themeFill="background2"/>
            <w:vAlign w:val="center"/>
          </w:tcPr>
          <w:p w14:paraId="33480657" w14:textId="77777777" w:rsidR="00636DAD" w:rsidRPr="00D47F6D" w:rsidRDefault="00636DAD" w:rsidP="00BC4426">
            <w:pPr>
              <w:rPr>
                <w:color w:val="000000"/>
                <w:sz w:val="20"/>
                <w:szCs w:val="20"/>
                <w:lang w:eastAsia="en-NZ"/>
              </w:rPr>
            </w:pPr>
            <w:r w:rsidRPr="00D47F6D">
              <w:rPr>
                <w:color w:val="000000"/>
                <w:sz w:val="20"/>
                <w:szCs w:val="20"/>
                <w:lang w:eastAsia="en-NZ"/>
              </w:rPr>
              <w:t>17%</w:t>
            </w:r>
          </w:p>
        </w:tc>
      </w:tr>
      <w:tr w:rsidR="00636DAD" w:rsidRPr="00104774" w14:paraId="7595A54C" w14:textId="77777777" w:rsidTr="00BC4426">
        <w:trPr>
          <w:trHeight w:val="267"/>
        </w:trPr>
        <w:tc>
          <w:tcPr>
            <w:tcW w:w="2183" w:type="dxa"/>
            <w:shd w:val="clear" w:color="auto" w:fill="FFFFFF" w:themeFill="background1"/>
            <w:vAlign w:val="center"/>
          </w:tcPr>
          <w:p w14:paraId="3354E98E" w14:textId="77777777" w:rsidR="00636DAD" w:rsidRPr="00D47F6D" w:rsidRDefault="00636DAD" w:rsidP="00BC4426">
            <w:pPr>
              <w:rPr>
                <w:sz w:val="20"/>
                <w:szCs w:val="20"/>
              </w:rPr>
            </w:pPr>
            <w:r w:rsidRPr="00D47F6D">
              <w:rPr>
                <w:rFonts w:eastAsia="Calibri"/>
                <w:color w:val="000000" w:themeColor="text1"/>
                <w:sz w:val="20"/>
                <w:szCs w:val="20"/>
              </w:rPr>
              <w:t>West Coast | Te Tai Poutini</w:t>
            </w:r>
          </w:p>
        </w:tc>
        <w:tc>
          <w:tcPr>
            <w:tcW w:w="694" w:type="dxa"/>
            <w:shd w:val="clear" w:color="auto" w:fill="auto"/>
            <w:vAlign w:val="center"/>
          </w:tcPr>
          <w:p w14:paraId="5B90BF88" w14:textId="77777777" w:rsidR="00636DAD" w:rsidRPr="00D47F6D" w:rsidRDefault="00636DAD" w:rsidP="00BC4426">
            <w:pPr>
              <w:rPr>
                <w:sz w:val="20"/>
                <w:szCs w:val="20"/>
              </w:rPr>
            </w:pPr>
            <w:r w:rsidRPr="00D47F6D">
              <w:rPr>
                <w:rFonts w:eastAsia="Calibri"/>
                <w:color w:val="000000" w:themeColor="text1"/>
                <w:sz w:val="20"/>
                <w:szCs w:val="20"/>
              </w:rPr>
              <w:t>18</w:t>
            </w:r>
          </w:p>
        </w:tc>
        <w:tc>
          <w:tcPr>
            <w:tcW w:w="1087" w:type="dxa"/>
            <w:shd w:val="clear" w:color="auto" w:fill="auto"/>
            <w:vAlign w:val="center"/>
          </w:tcPr>
          <w:p w14:paraId="5B10A12B"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2</w:t>
            </w:r>
            <w:r w:rsidRPr="008A7ECF">
              <w:rPr>
                <w:rFonts w:eastAsia="Calibri"/>
                <w:color w:val="000000" w:themeColor="text1"/>
                <w:sz w:val="20"/>
                <w:szCs w:val="20"/>
              </w:rPr>
              <w:t>%</w:t>
            </w:r>
          </w:p>
        </w:tc>
        <w:tc>
          <w:tcPr>
            <w:tcW w:w="709" w:type="dxa"/>
            <w:shd w:val="clear" w:color="auto" w:fill="auto"/>
            <w:vAlign w:val="center"/>
          </w:tcPr>
          <w:p w14:paraId="2803C384"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20</w:t>
            </w:r>
          </w:p>
        </w:tc>
        <w:tc>
          <w:tcPr>
            <w:tcW w:w="992" w:type="dxa"/>
            <w:shd w:val="clear" w:color="auto" w:fill="auto"/>
            <w:vAlign w:val="center"/>
          </w:tcPr>
          <w:p w14:paraId="33707113"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2</w:t>
            </w:r>
            <w:r w:rsidRPr="008A7ECF">
              <w:rPr>
                <w:rFonts w:eastAsia="Calibri"/>
                <w:color w:val="000000" w:themeColor="text1"/>
                <w:sz w:val="20"/>
                <w:szCs w:val="20"/>
              </w:rPr>
              <w:t>%</w:t>
            </w:r>
          </w:p>
        </w:tc>
        <w:tc>
          <w:tcPr>
            <w:tcW w:w="709" w:type="dxa"/>
            <w:shd w:val="clear" w:color="auto" w:fill="auto"/>
            <w:vAlign w:val="center"/>
          </w:tcPr>
          <w:p w14:paraId="7BAEC2BC" w14:textId="77777777" w:rsidR="00636DAD" w:rsidRPr="00D47F6D" w:rsidRDefault="00636DAD" w:rsidP="00BC4426">
            <w:pPr>
              <w:rPr>
                <w:rFonts w:eastAsia="Calibri"/>
                <w:color w:val="000000" w:themeColor="text1"/>
                <w:sz w:val="20"/>
                <w:szCs w:val="20"/>
              </w:rPr>
            </w:pPr>
            <w:r w:rsidRPr="00D47F6D">
              <w:rPr>
                <w:color w:val="000000"/>
                <w:sz w:val="20"/>
                <w:szCs w:val="20"/>
                <w:lang w:eastAsia="en-NZ"/>
              </w:rPr>
              <w:t>19</w:t>
            </w:r>
          </w:p>
        </w:tc>
        <w:tc>
          <w:tcPr>
            <w:tcW w:w="992" w:type="dxa"/>
            <w:shd w:val="clear" w:color="auto" w:fill="auto"/>
            <w:vAlign w:val="center"/>
          </w:tcPr>
          <w:p w14:paraId="7A71A885" w14:textId="77777777" w:rsidR="00636DAD" w:rsidRPr="00D47F6D" w:rsidRDefault="00636DAD" w:rsidP="00BC4426">
            <w:pPr>
              <w:rPr>
                <w:color w:val="000000"/>
                <w:sz w:val="20"/>
                <w:szCs w:val="20"/>
                <w:lang w:eastAsia="en-NZ"/>
              </w:rPr>
            </w:pPr>
            <w:r w:rsidRPr="00D47F6D">
              <w:rPr>
                <w:color w:val="000000"/>
                <w:sz w:val="20"/>
                <w:szCs w:val="20"/>
                <w:lang w:eastAsia="en-NZ"/>
              </w:rPr>
              <w:t>2</w:t>
            </w:r>
            <w:r w:rsidRPr="008A7ECF">
              <w:rPr>
                <w:color w:val="000000"/>
                <w:sz w:val="20"/>
                <w:szCs w:val="20"/>
                <w:lang w:eastAsia="en-NZ"/>
              </w:rPr>
              <w:t>%</w:t>
            </w:r>
          </w:p>
        </w:tc>
        <w:tc>
          <w:tcPr>
            <w:tcW w:w="709" w:type="dxa"/>
            <w:shd w:val="clear" w:color="auto" w:fill="auto"/>
            <w:vAlign w:val="center"/>
          </w:tcPr>
          <w:p w14:paraId="755AEAD4" w14:textId="77777777" w:rsidR="00636DAD" w:rsidRPr="00D47F6D" w:rsidRDefault="00636DAD" w:rsidP="00BC4426">
            <w:pPr>
              <w:rPr>
                <w:color w:val="000000"/>
                <w:sz w:val="20"/>
                <w:szCs w:val="20"/>
                <w:lang w:eastAsia="en-NZ"/>
              </w:rPr>
            </w:pPr>
            <w:r w:rsidRPr="00D47F6D">
              <w:rPr>
                <w:color w:val="000000"/>
                <w:sz w:val="20"/>
                <w:szCs w:val="20"/>
                <w:lang w:eastAsia="en-NZ"/>
              </w:rPr>
              <w:t>20</w:t>
            </w:r>
          </w:p>
        </w:tc>
        <w:tc>
          <w:tcPr>
            <w:tcW w:w="1004" w:type="dxa"/>
            <w:shd w:val="clear" w:color="auto" w:fill="auto"/>
            <w:vAlign w:val="center"/>
          </w:tcPr>
          <w:p w14:paraId="3BEFB23D" w14:textId="77777777" w:rsidR="00636DAD" w:rsidRPr="00D47F6D" w:rsidRDefault="00636DAD" w:rsidP="00BC4426">
            <w:pPr>
              <w:rPr>
                <w:color w:val="000000"/>
                <w:sz w:val="20"/>
                <w:szCs w:val="20"/>
                <w:lang w:eastAsia="en-NZ"/>
              </w:rPr>
            </w:pPr>
            <w:r w:rsidRPr="00D47F6D">
              <w:rPr>
                <w:color w:val="000000"/>
                <w:sz w:val="20"/>
                <w:szCs w:val="20"/>
                <w:lang w:eastAsia="en-NZ"/>
              </w:rPr>
              <w:t>2%</w:t>
            </w:r>
          </w:p>
        </w:tc>
      </w:tr>
      <w:tr w:rsidR="00636DAD" w:rsidRPr="007426DB" w14:paraId="0927FA86" w14:textId="77777777" w:rsidTr="00BC4426">
        <w:trPr>
          <w:trHeight w:val="253"/>
        </w:trPr>
        <w:tc>
          <w:tcPr>
            <w:tcW w:w="2183" w:type="dxa"/>
            <w:shd w:val="clear" w:color="auto" w:fill="EEECE1" w:themeFill="background2"/>
            <w:vAlign w:val="center"/>
          </w:tcPr>
          <w:p w14:paraId="08F35E55" w14:textId="77777777" w:rsidR="00636DAD" w:rsidRPr="00D47F6D" w:rsidRDefault="00636DAD" w:rsidP="00BC4426">
            <w:pPr>
              <w:rPr>
                <w:sz w:val="20"/>
                <w:szCs w:val="20"/>
              </w:rPr>
            </w:pPr>
            <w:r w:rsidRPr="00D47F6D">
              <w:rPr>
                <w:rFonts w:eastAsia="Calibri"/>
                <w:color w:val="000000" w:themeColor="text1"/>
                <w:sz w:val="20"/>
                <w:szCs w:val="20"/>
              </w:rPr>
              <w:t>Unspecified</w:t>
            </w:r>
          </w:p>
        </w:tc>
        <w:tc>
          <w:tcPr>
            <w:tcW w:w="694" w:type="dxa"/>
            <w:shd w:val="clear" w:color="auto" w:fill="EEECE1" w:themeFill="background2"/>
            <w:vAlign w:val="center"/>
          </w:tcPr>
          <w:p w14:paraId="7B7690F5" w14:textId="77777777" w:rsidR="00636DAD" w:rsidRPr="00D47F6D" w:rsidRDefault="00636DAD" w:rsidP="00BC4426">
            <w:pPr>
              <w:rPr>
                <w:sz w:val="20"/>
                <w:szCs w:val="20"/>
              </w:rPr>
            </w:pPr>
            <w:r w:rsidRPr="00D47F6D">
              <w:rPr>
                <w:rFonts w:eastAsia="Calibri"/>
                <w:color w:val="000000" w:themeColor="text1"/>
                <w:sz w:val="20"/>
                <w:szCs w:val="20"/>
              </w:rPr>
              <w:t>34</w:t>
            </w:r>
          </w:p>
        </w:tc>
        <w:tc>
          <w:tcPr>
            <w:tcW w:w="1087" w:type="dxa"/>
            <w:shd w:val="clear" w:color="auto" w:fill="EEECE1" w:themeFill="background2"/>
            <w:vAlign w:val="center"/>
          </w:tcPr>
          <w:p w14:paraId="0EA3FC0C"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4</w:t>
            </w:r>
            <w:r w:rsidRPr="008A7ECF">
              <w:rPr>
                <w:rFonts w:eastAsia="Calibri"/>
                <w:color w:val="000000" w:themeColor="text1"/>
                <w:sz w:val="20"/>
                <w:szCs w:val="20"/>
              </w:rPr>
              <w:t>%</w:t>
            </w:r>
          </w:p>
        </w:tc>
        <w:tc>
          <w:tcPr>
            <w:tcW w:w="709" w:type="dxa"/>
            <w:shd w:val="clear" w:color="auto" w:fill="EEECE1" w:themeFill="background2"/>
            <w:vAlign w:val="center"/>
          </w:tcPr>
          <w:p w14:paraId="44090158"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26</w:t>
            </w:r>
          </w:p>
        </w:tc>
        <w:tc>
          <w:tcPr>
            <w:tcW w:w="992" w:type="dxa"/>
            <w:shd w:val="clear" w:color="auto" w:fill="EEECE1" w:themeFill="background2"/>
            <w:vAlign w:val="center"/>
          </w:tcPr>
          <w:p w14:paraId="28857485"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3</w:t>
            </w:r>
            <w:r w:rsidRPr="008A7ECF">
              <w:rPr>
                <w:rFonts w:eastAsia="Calibri"/>
                <w:color w:val="000000" w:themeColor="text1"/>
                <w:sz w:val="20"/>
                <w:szCs w:val="20"/>
              </w:rPr>
              <w:t>%</w:t>
            </w:r>
          </w:p>
        </w:tc>
        <w:tc>
          <w:tcPr>
            <w:tcW w:w="709" w:type="dxa"/>
            <w:shd w:val="clear" w:color="auto" w:fill="EEECE1" w:themeFill="background2"/>
            <w:vAlign w:val="center"/>
          </w:tcPr>
          <w:p w14:paraId="22D3ED35" w14:textId="77777777" w:rsidR="00636DAD" w:rsidRPr="00D47F6D" w:rsidRDefault="00636DAD" w:rsidP="00BC4426">
            <w:pPr>
              <w:rPr>
                <w:rFonts w:eastAsia="Calibri"/>
                <w:color w:val="000000" w:themeColor="text1"/>
                <w:sz w:val="20"/>
                <w:szCs w:val="20"/>
              </w:rPr>
            </w:pPr>
            <w:r w:rsidRPr="00D47F6D">
              <w:rPr>
                <w:rFonts w:eastAsia="Calibri"/>
                <w:color w:val="000000" w:themeColor="text1"/>
                <w:sz w:val="20"/>
                <w:szCs w:val="20"/>
              </w:rPr>
              <w:t>39</w:t>
            </w:r>
          </w:p>
        </w:tc>
        <w:tc>
          <w:tcPr>
            <w:tcW w:w="992" w:type="dxa"/>
            <w:shd w:val="clear" w:color="auto" w:fill="EEECE1" w:themeFill="background2"/>
            <w:vAlign w:val="center"/>
          </w:tcPr>
          <w:p w14:paraId="373FCA65" w14:textId="77777777" w:rsidR="00636DAD" w:rsidRPr="00D47F6D" w:rsidRDefault="00636DAD" w:rsidP="00BC4426">
            <w:pPr>
              <w:rPr>
                <w:rFonts w:eastAsia="Calibri"/>
                <w:color w:val="000000" w:themeColor="text1"/>
                <w:sz w:val="20"/>
                <w:szCs w:val="20"/>
              </w:rPr>
            </w:pPr>
            <w:r w:rsidRPr="00D47F6D">
              <w:rPr>
                <w:color w:val="000000"/>
                <w:sz w:val="20"/>
                <w:szCs w:val="20"/>
                <w:lang w:eastAsia="en-NZ"/>
              </w:rPr>
              <w:t>5</w:t>
            </w:r>
            <w:r w:rsidRPr="008A7ECF">
              <w:rPr>
                <w:color w:val="000000"/>
                <w:sz w:val="20"/>
                <w:szCs w:val="20"/>
                <w:lang w:eastAsia="en-NZ"/>
              </w:rPr>
              <w:t>%</w:t>
            </w:r>
          </w:p>
        </w:tc>
        <w:tc>
          <w:tcPr>
            <w:tcW w:w="709" w:type="dxa"/>
            <w:shd w:val="clear" w:color="auto" w:fill="EEECE1" w:themeFill="background2"/>
            <w:vAlign w:val="center"/>
          </w:tcPr>
          <w:p w14:paraId="25444AC0" w14:textId="77777777" w:rsidR="00636DAD" w:rsidRPr="00D47F6D" w:rsidRDefault="00636DAD" w:rsidP="00BC4426">
            <w:pPr>
              <w:rPr>
                <w:color w:val="000000"/>
                <w:sz w:val="20"/>
                <w:szCs w:val="20"/>
                <w:lang w:eastAsia="en-NZ"/>
              </w:rPr>
            </w:pPr>
            <w:r w:rsidRPr="00D47F6D">
              <w:rPr>
                <w:color w:val="000000"/>
                <w:sz w:val="20"/>
                <w:szCs w:val="20"/>
                <w:lang w:eastAsia="en-NZ"/>
              </w:rPr>
              <w:t>41</w:t>
            </w:r>
          </w:p>
        </w:tc>
        <w:tc>
          <w:tcPr>
            <w:tcW w:w="1004" w:type="dxa"/>
            <w:shd w:val="clear" w:color="auto" w:fill="EEECE1" w:themeFill="background2"/>
            <w:vAlign w:val="center"/>
          </w:tcPr>
          <w:p w14:paraId="47F47B38" w14:textId="77777777" w:rsidR="00636DAD" w:rsidRPr="00D47F6D" w:rsidRDefault="00636DAD" w:rsidP="00BC4426">
            <w:pPr>
              <w:rPr>
                <w:color w:val="000000"/>
                <w:sz w:val="20"/>
                <w:szCs w:val="20"/>
                <w:lang w:eastAsia="en-NZ"/>
              </w:rPr>
            </w:pPr>
            <w:r w:rsidRPr="00D47F6D">
              <w:rPr>
                <w:color w:val="000000"/>
                <w:sz w:val="20"/>
                <w:szCs w:val="20"/>
                <w:lang w:eastAsia="en-NZ"/>
              </w:rPr>
              <w:t>5%</w:t>
            </w:r>
          </w:p>
        </w:tc>
      </w:tr>
      <w:tr w:rsidR="00636DAD" w:rsidRPr="00104774" w14:paraId="32C31335" w14:textId="77777777" w:rsidTr="00BC4426">
        <w:trPr>
          <w:trHeight w:val="253"/>
        </w:trPr>
        <w:tc>
          <w:tcPr>
            <w:tcW w:w="2183" w:type="dxa"/>
            <w:shd w:val="clear" w:color="auto" w:fill="auto"/>
            <w:vAlign w:val="center"/>
          </w:tcPr>
          <w:p w14:paraId="5DC29EB9" w14:textId="77777777" w:rsidR="00636DAD" w:rsidRPr="00D47F6D" w:rsidRDefault="00636DAD" w:rsidP="00BC4426">
            <w:pPr>
              <w:rPr>
                <w:rFonts w:eastAsia="Calibri"/>
                <w:color w:val="000000" w:themeColor="text1"/>
                <w:sz w:val="20"/>
                <w:szCs w:val="20"/>
              </w:rPr>
            </w:pPr>
            <w:r w:rsidRPr="00D47F6D">
              <w:rPr>
                <w:rFonts w:eastAsia="Calibri"/>
                <w:b/>
                <w:bCs/>
                <w:color w:val="000000" w:themeColor="text1"/>
                <w:sz w:val="20"/>
                <w:szCs w:val="20"/>
              </w:rPr>
              <w:t>Total</w:t>
            </w:r>
          </w:p>
        </w:tc>
        <w:tc>
          <w:tcPr>
            <w:tcW w:w="694" w:type="dxa"/>
            <w:shd w:val="clear" w:color="auto" w:fill="auto"/>
            <w:vAlign w:val="center"/>
          </w:tcPr>
          <w:p w14:paraId="0E501A51" w14:textId="77777777" w:rsidR="00636DAD" w:rsidRPr="00D47F6D" w:rsidRDefault="00636DAD" w:rsidP="00BC4426">
            <w:pPr>
              <w:rPr>
                <w:rFonts w:eastAsia="Calibri"/>
                <w:color w:val="000000" w:themeColor="text1"/>
                <w:sz w:val="20"/>
                <w:szCs w:val="20"/>
              </w:rPr>
            </w:pPr>
            <w:r w:rsidRPr="00D47F6D">
              <w:rPr>
                <w:rFonts w:eastAsia="Calibri"/>
                <w:b/>
                <w:bCs/>
                <w:color w:val="000000" w:themeColor="text1"/>
                <w:sz w:val="20"/>
                <w:szCs w:val="20"/>
              </w:rPr>
              <w:t>760</w:t>
            </w:r>
          </w:p>
        </w:tc>
        <w:tc>
          <w:tcPr>
            <w:tcW w:w="1087" w:type="dxa"/>
            <w:shd w:val="clear" w:color="auto" w:fill="auto"/>
            <w:vAlign w:val="center"/>
          </w:tcPr>
          <w:p w14:paraId="320E599D" w14:textId="77777777" w:rsidR="00636DAD" w:rsidRPr="00D47F6D" w:rsidRDefault="00636DAD" w:rsidP="00BC4426">
            <w:pPr>
              <w:rPr>
                <w:rFonts w:eastAsia="Calibri"/>
                <w:color w:val="000000" w:themeColor="text1"/>
                <w:sz w:val="20"/>
                <w:szCs w:val="20"/>
              </w:rPr>
            </w:pPr>
          </w:p>
        </w:tc>
        <w:tc>
          <w:tcPr>
            <w:tcW w:w="709" w:type="dxa"/>
            <w:shd w:val="clear" w:color="auto" w:fill="auto"/>
            <w:vAlign w:val="center"/>
          </w:tcPr>
          <w:p w14:paraId="6B909ABF" w14:textId="77777777" w:rsidR="00636DAD" w:rsidRPr="00D47F6D" w:rsidRDefault="00636DAD" w:rsidP="00BC4426">
            <w:pPr>
              <w:rPr>
                <w:rFonts w:eastAsia="Calibri"/>
                <w:color w:val="000000" w:themeColor="text1"/>
                <w:sz w:val="20"/>
                <w:szCs w:val="20"/>
              </w:rPr>
            </w:pPr>
            <w:r w:rsidRPr="00D47F6D">
              <w:rPr>
                <w:rFonts w:eastAsia="Calibri"/>
                <w:b/>
                <w:bCs/>
                <w:color w:val="000000" w:themeColor="text1"/>
                <w:sz w:val="20"/>
                <w:szCs w:val="20"/>
              </w:rPr>
              <w:t>809</w:t>
            </w:r>
          </w:p>
        </w:tc>
        <w:tc>
          <w:tcPr>
            <w:tcW w:w="992" w:type="dxa"/>
            <w:shd w:val="clear" w:color="auto" w:fill="auto"/>
            <w:vAlign w:val="center"/>
          </w:tcPr>
          <w:p w14:paraId="258D92DD" w14:textId="77777777" w:rsidR="00636DAD" w:rsidRPr="00D47F6D" w:rsidRDefault="00636DAD" w:rsidP="00BC4426">
            <w:pPr>
              <w:rPr>
                <w:rFonts w:eastAsia="Calibri"/>
                <w:color w:val="000000" w:themeColor="text1"/>
                <w:sz w:val="20"/>
                <w:szCs w:val="20"/>
              </w:rPr>
            </w:pPr>
          </w:p>
        </w:tc>
        <w:tc>
          <w:tcPr>
            <w:tcW w:w="709" w:type="dxa"/>
            <w:shd w:val="clear" w:color="auto" w:fill="auto"/>
            <w:vAlign w:val="center"/>
          </w:tcPr>
          <w:p w14:paraId="4347FD54" w14:textId="77777777" w:rsidR="00636DAD" w:rsidRPr="00D47F6D" w:rsidRDefault="00636DAD" w:rsidP="00BC4426">
            <w:pPr>
              <w:rPr>
                <w:rFonts w:eastAsia="Calibri"/>
                <w:color w:val="000000" w:themeColor="text1"/>
                <w:sz w:val="20"/>
                <w:szCs w:val="20"/>
              </w:rPr>
            </w:pPr>
            <w:r w:rsidRPr="00D47F6D">
              <w:rPr>
                <w:rFonts w:eastAsia="Calibri"/>
                <w:b/>
                <w:bCs/>
                <w:color w:val="000000" w:themeColor="text1"/>
                <w:sz w:val="20"/>
                <w:szCs w:val="20"/>
              </w:rPr>
              <w:t>845</w:t>
            </w:r>
          </w:p>
        </w:tc>
        <w:tc>
          <w:tcPr>
            <w:tcW w:w="992" w:type="dxa"/>
            <w:shd w:val="clear" w:color="auto" w:fill="auto"/>
            <w:vAlign w:val="center"/>
          </w:tcPr>
          <w:p w14:paraId="3BCE5F93" w14:textId="77777777" w:rsidR="00636DAD" w:rsidRPr="00D47F6D" w:rsidRDefault="00636DAD" w:rsidP="00BC4426">
            <w:pPr>
              <w:rPr>
                <w:color w:val="000000"/>
                <w:sz w:val="20"/>
                <w:szCs w:val="20"/>
                <w:lang w:eastAsia="en-NZ"/>
              </w:rPr>
            </w:pPr>
          </w:p>
        </w:tc>
        <w:tc>
          <w:tcPr>
            <w:tcW w:w="709" w:type="dxa"/>
            <w:shd w:val="clear" w:color="auto" w:fill="auto"/>
            <w:vAlign w:val="center"/>
          </w:tcPr>
          <w:p w14:paraId="77355EFE" w14:textId="77777777" w:rsidR="00636DAD" w:rsidRPr="00D47F6D" w:rsidRDefault="00636DAD" w:rsidP="00BC4426">
            <w:pPr>
              <w:rPr>
                <w:b/>
                <w:bCs/>
                <w:color w:val="000000"/>
                <w:sz w:val="20"/>
                <w:szCs w:val="20"/>
                <w:lang w:eastAsia="en-NZ"/>
              </w:rPr>
            </w:pPr>
            <w:r w:rsidRPr="00D47F6D">
              <w:rPr>
                <w:b/>
                <w:bCs/>
                <w:color w:val="000000"/>
                <w:sz w:val="20"/>
                <w:szCs w:val="20"/>
                <w:lang w:eastAsia="en-NZ"/>
              </w:rPr>
              <w:t>872</w:t>
            </w:r>
          </w:p>
        </w:tc>
        <w:tc>
          <w:tcPr>
            <w:tcW w:w="1004" w:type="dxa"/>
            <w:shd w:val="clear" w:color="auto" w:fill="auto"/>
            <w:vAlign w:val="center"/>
          </w:tcPr>
          <w:p w14:paraId="558A393F" w14:textId="77777777" w:rsidR="00636DAD" w:rsidRPr="00D47F6D" w:rsidRDefault="00636DAD" w:rsidP="00BC4426">
            <w:pPr>
              <w:rPr>
                <w:color w:val="000000"/>
                <w:sz w:val="20"/>
                <w:szCs w:val="20"/>
                <w:lang w:eastAsia="en-NZ"/>
              </w:rPr>
            </w:pPr>
          </w:p>
        </w:tc>
      </w:tr>
    </w:tbl>
    <w:p w14:paraId="00C4B29F" w14:textId="77777777" w:rsidR="00636DAD" w:rsidRDefault="00636DAD" w:rsidP="00636DAD">
      <w:pPr>
        <w:rPr>
          <w:b/>
          <w:bCs/>
          <w:sz w:val="28"/>
          <w:szCs w:val="28"/>
        </w:rPr>
      </w:pPr>
    </w:p>
    <w:p w14:paraId="1505337D" w14:textId="77777777" w:rsidR="00636DAD" w:rsidRDefault="00636DAD" w:rsidP="00636DAD">
      <w:pPr>
        <w:rPr>
          <w:b/>
          <w:bCs/>
          <w:sz w:val="28"/>
          <w:szCs w:val="28"/>
        </w:rPr>
      </w:pPr>
      <w:r w:rsidRPr="0068393C">
        <w:rPr>
          <w:b/>
          <w:bCs/>
          <w:sz w:val="28"/>
          <w:szCs w:val="28"/>
        </w:rPr>
        <w:t xml:space="preserve">Planning for </w:t>
      </w:r>
      <w:r>
        <w:rPr>
          <w:b/>
          <w:bCs/>
          <w:sz w:val="28"/>
          <w:szCs w:val="28"/>
        </w:rPr>
        <w:t>financial year 1 July 2023 - 31 June 2024</w:t>
      </w:r>
    </w:p>
    <w:p w14:paraId="0394FEF5" w14:textId="77777777" w:rsidR="00636DAD" w:rsidRDefault="00636DAD" w:rsidP="00636DAD">
      <w:r>
        <w:t>The 23/24 programme plan is provided in your papers. Some highlights of the plan are listed below. Look for invitations and opportunities to be involved in aspects of these activities.</w:t>
      </w:r>
    </w:p>
    <w:p w14:paraId="0605B2FE" w14:textId="77777777" w:rsidR="00636DAD" w:rsidRPr="001104CB" w:rsidRDefault="00636DAD" w:rsidP="00636DAD">
      <w:pPr>
        <w:numPr>
          <w:ilvl w:val="0"/>
          <w:numId w:val="28"/>
        </w:numPr>
        <w:autoSpaceDE/>
        <w:autoSpaceDN/>
        <w:adjustRightInd/>
        <w:spacing w:after="160" w:line="259" w:lineRule="auto"/>
      </w:pPr>
      <w:r w:rsidRPr="001104CB">
        <w:t>Sector-wide support to implement the code and contribute to the QSM</w:t>
      </w:r>
      <w:r>
        <w:t>.</w:t>
      </w:r>
    </w:p>
    <w:p w14:paraId="23B07C06" w14:textId="77777777" w:rsidR="00636DAD" w:rsidRPr="001104CB" w:rsidRDefault="00636DAD" w:rsidP="00636DAD">
      <w:pPr>
        <w:numPr>
          <w:ilvl w:val="0"/>
          <w:numId w:val="28"/>
        </w:numPr>
        <w:autoSpaceDE/>
        <w:autoSpaceDN/>
        <w:adjustRightInd/>
        <w:spacing w:after="160" w:line="259" w:lineRule="auto"/>
      </w:pPr>
      <w:r w:rsidRPr="001104CB">
        <w:t xml:space="preserve">Consumer health </w:t>
      </w:r>
      <w:r>
        <w:t>fora x3 (1 national and 2 regional).</w:t>
      </w:r>
    </w:p>
    <w:p w14:paraId="4492C7C9" w14:textId="77777777" w:rsidR="00636DAD" w:rsidRPr="001104CB" w:rsidRDefault="00636DAD" w:rsidP="00636DAD">
      <w:pPr>
        <w:numPr>
          <w:ilvl w:val="0"/>
          <w:numId w:val="28"/>
        </w:numPr>
        <w:autoSpaceDE/>
        <w:autoSpaceDN/>
        <w:adjustRightInd/>
        <w:spacing w:after="160" w:line="259" w:lineRule="auto"/>
      </w:pPr>
      <w:r w:rsidRPr="001104CB">
        <w:t>Refreshing and revising leadership and capability offering for consumers</w:t>
      </w:r>
      <w:r>
        <w:t>.</w:t>
      </w:r>
    </w:p>
    <w:p w14:paraId="4E0744CB" w14:textId="77777777" w:rsidR="00636DAD" w:rsidRPr="001104CB" w:rsidRDefault="00636DAD" w:rsidP="00636DAD">
      <w:pPr>
        <w:numPr>
          <w:ilvl w:val="0"/>
          <w:numId w:val="28"/>
        </w:numPr>
        <w:autoSpaceDE/>
        <w:autoSpaceDN/>
        <w:adjustRightInd/>
        <w:spacing w:after="160" w:line="259" w:lineRule="auto"/>
      </w:pPr>
      <w:r w:rsidRPr="001104CB">
        <w:t>Developing an EOI ‘toolkit’ for consumer health forum Aotearoa</w:t>
      </w:r>
      <w:r>
        <w:t>.</w:t>
      </w:r>
    </w:p>
    <w:p w14:paraId="07E70EF2" w14:textId="77777777" w:rsidR="00636DAD" w:rsidRDefault="00636DAD" w:rsidP="00636DAD">
      <w:pPr>
        <w:numPr>
          <w:ilvl w:val="0"/>
          <w:numId w:val="28"/>
        </w:numPr>
        <w:autoSpaceDE/>
        <w:autoSpaceDN/>
        <w:adjustRightInd/>
        <w:spacing w:after="160" w:line="259" w:lineRule="auto"/>
      </w:pPr>
      <w:r w:rsidRPr="001104CB">
        <w:t>Growing resources in ngā pae hiranga based on sector and community need</w:t>
      </w:r>
      <w:r>
        <w:t>.</w:t>
      </w:r>
    </w:p>
    <w:p w14:paraId="19C365BD" w14:textId="77777777" w:rsidR="00CC40D9" w:rsidRDefault="00CC40D9" w:rsidP="00520EC5"/>
    <w:p w14:paraId="65F5759A" w14:textId="77777777" w:rsidR="00CC40D9" w:rsidRDefault="00CC40D9" w:rsidP="00520EC5"/>
    <w:p w14:paraId="5F3D4722" w14:textId="77777777" w:rsidR="00CC40D9" w:rsidRDefault="00CC40D9" w:rsidP="00520EC5"/>
    <w:p w14:paraId="1C84DF01" w14:textId="77777777" w:rsidR="00CC40D9" w:rsidRDefault="00CC40D9" w:rsidP="00520EC5"/>
    <w:p w14:paraId="365CE642" w14:textId="77777777" w:rsidR="00CC40D9" w:rsidRDefault="00CC40D9" w:rsidP="00520EC5"/>
    <w:p w14:paraId="31CB1C22" w14:textId="77777777" w:rsidR="00CC40D9" w:rsidRDefault="00CC40D9" w:rsidP="00520EC5"/>
    <w:p w14:paraId="0876A8D3" w14:textId="77777777" w:rsidR="00CC40D9" w:rsidRDefault="00CC40D9" w:rsidP="00520EC5"/>
    <w:p w14:paraId="25C8B2D1" w14:textId="77777777" w:rsidR="00CC40D9" w:rsidRDefault="00CC40D9" w:rsidP="00520EC5"/>
    <w:p w14:paraId="2A6DAAB5" w14:textId="77777777" w:rsidR="00CC40D9" w:rsidRDefault="00CC40D9" w:rsidP="00520EC5"/>
    <w:p w14:paraId="02026180" w14:textId="77777777" w:rsidR="00CC40D9" w:rsidRDefault="00CC40D9" w:rsidP="00520EC5"/>
    <w:p w14:paraId="67239D6C" w14:textId="77777777" w:rsidR="00CC40D9" w:rsidRDefault="00CC40D9" w:rsidP="00520EC5"/>
    <w:p w14:paraId="2F29F98C" w14:textId="77777777" w:rsidR="00CC40D9" w:rsidRDefault="00CC40D9" w:rsidP="00520EC5"/>
    <w:p w14:paraId="4509E859" w14:textId="77777777" w:rsidR="00CC40D9" w:rsidRDefault="00CC40D9" w:rsidP="00520EC5"/>
    <w:p w14:paraId="765B23E9" w14:textId="77777777" w:rsidR="00CC40D9" w:rsidRDefault="00CC40D9" w:rsidP="00520EC5"/>
    <w:p w14:paraId="6795032B" w14:textId="77777777" w:rsidR="00CC40D9" w:rsidRDefault="00CC40D9" w:rsidP="00520EC5"/>
    <w:p w14:paraId="66810C1C" w14:textId="77777777" w:rsidR="00CC40D9" w:rsidRDefault="00CC40D9" w:rsidP="00520EC5"/>
    <w:p w14:paraId="621F6DA0" w14:textId="77777777" w:rsidR="00462299" w:rsidRDefault="00462299">
      <w:pPr>
        <w:autoSpaceDE/>
        <w:autoSpaceDN/>
        <w:adjustRightInd/>
        <w:spacing w:after="0" w:line="240" w:lineRule="auto"/>
        <w:rPr>
          <w:rFonts w:eastAsiaTheme="majorEastAsia" w:cstheme="majorBidi"/>
          <w:b/>
          <w:color w:val="293868"/>
          <w:sz w:val="24"/>
        </w:rPr>
      </w:pPr>
      <w:r>
        <w:br w:type="page"/>
      </w:r>
    </w:p>
    <w:p w14:paraId="203F7788" w14:textId="044B8064" w:rsidR="00CC40D9" w:rsidRDefault="00CC40D9" w:rsidP="00CC40D9">
      <w:pPr>
        <w:pStyle w:val="Heading3"/>
        <w:numPr>
          <w:ilvl w:val="0"/>
          <w:numId w:val="0"/>
        </w:numPr>
      </w:pPr>
      <w:r>
        <w:lastRenderedPageBreak/>
        <w:t xml:space="preserve">Appendix </w:t>
      </w:r>
      <w:r w:rsidR="00462299">
        <w:t>2</w:t>
      </w:r>
    </w:p>
    <w:p w14:paraId="7DCB5712" w14:textId="77777777" w:rsidR="00911961" w:rsidRPr="00893035" w:rsidRDefault="00911961" w:rsidP="00911961">
      <w:pPr>
        <w:jc w:val="both"/>
        <w:rPr>
          <w:bCs/>
          <w:sz w:val="24"/>
          <w:szCs w:val="24"/>
        </w:rPr>
      </w:pPr>
      <w:r w:rsidRPr="00893035">
        <w:rPr>
          <w:b/>
          <w:sz w:val="24"/>
          <w:szCs w:val="24"/>
        </w:rPr>
        <w:t xml:space="preserve">Russ Aiton </w:t>
      </w:r>
      <w:r w:rsidRPr="00893035">
        <w:rPr>
          <w:bCs/>
          <w:sz w:val="24"/>
          <w:szCs w:val="24"/>
        </w:rPr>
        <w:t>(West Coast)</w:t>
      </w:r>
    </w:p>
    <w:p w14:paraId="7CD84040" w14:textId="77777777" w:rsidR="00911961" w:rsidRPr="00281531" w:rsidRDefault="00911961" w:rsidP="00C70C68">
      <w:pPr>
        <w:widowControl w:val="0"/>
        <w:kinsoku w:val="0"/>
        <w:overflowPunct w:val="0"/>
        <w:spacing w:after="0" w:line="240" w:lineRule="auto"/>
        <w:ind w:right="132"/>
        <w:rPr>
          <w:rFonts w:eastAsiaTheme="minorEastAsia"/>
          <w:lang w:eastAsia="en-NZ"/>
          <w14:ligatures w14:val="standardContextual"/>
        </w:rPr>
      </w:pPr>
      <w:r w:rsidRPr="00281531">
        <w:rPr>
          <w:rFonts w:eastAsiaTheme="minorEastAsia"/>
          <w:lang w:eastAsia="en-NZ"/>
          <w14:ligatures w14:val="standardContextual"/>
        </w:rPr>
        <w:t>Chair</w:t>
      </w:r>
      <w:r w:rsidRPr="00281531">
        <w:rPr>
          <w:rFonts w:eastAsiaTheme="minorEastAsia"/>
          <w:spacing w:val="-2"/>
          <w:lang w:eastAsia="en-NZ"/>
          <w14:ligatures w14:val="standardContextual"/>
        </w:rPr>
        <w:t xml:space="preserve"> </w:t>
      </w:r>
      <w:r w:rsidRPr="00281531">
        <w:rPr>
          <w:rFonts w:eastAsiaTheme="minorEastAsia"/>
          <w:lang w:eastAsia="en-NZ"/>
          <w14:ligatures w14:val="standardContextual"/>
        </w:rPr>
        <w:t>–</w:t>
      </w:r>
      <w:r w:rsidRPr="00281531">
        <w:rPr>
          <w:rFonts w:eastAsiaTheme="minorEastAsia"/>
          <w:spacing w:val="-5"/>
          <w:lang w:eastAsia="en-NZ"/>
          <w14:ligatures w14:val="standardContextual"/>
        </w:rPr>
        <w:t xml:space="preserve"> </w:t>
      </w:r>
      <w:r w:rsidRPr="00281531">
        <w:rPr>
          <w:rFonts w:eastAsiaTheme="minorEastAsia"/>
          <w:lang w:eastAsia="en-NZ"/>
          <w14:ligatures w14:val="standardContextual"/>
        </w:rPr>
        <w:t>Te</w:t>
      </w:r>
      <w:r w:rsidRPr="00281531">
        <w:rPr>
          <w:rFonts w:eastAsiaTheme="minorEastAsia"/>
          <w:spacing w:val="-3"/>
          <w:lang w:eastAsia="en-NZ"/>
          <w14:ligatures w14:val="standardContextual"/>
        </w:rPr>
        <w:t xml:space="preserve"> </w:t>
      </w:r>
      <w:r w:rsidRPr="00281531">
        <w:rPr>
          <w:rFonts w:eastAsiaTheme="minorEastAsia"/>
          <w:lang w:eastAsia="en-NZ"/>
          <w14:ligatures w14:val="standardContextual"/>
        </w:rPr>
        <w:t>Whatu</w:t>
      </w:r>
      <w:r w:rsidRPr="00281531">
        <w:rPr>
          <w:rFonts w:eastAsiaTheme="minorEastAsia"/>
          <w:spacing w:val="-6"/>
          <w:lang w:eastAsia="en-NZ"/>
          <w14:ligatures w14:val="standardContextual"/>
        </w:rPr>
        <w:t xml:space="preserve"> </w:t>
      </w:r>
      <w:r w:rsidRPr="00281531">
        <w:rPr>
          <w:rFonts w:eastAsiaTheme="minorEastAsia"/>
          <w:lang w:eastAsia="en-NZ"/>
          <w14:ligatures w14:val="standardContextual"/>
        </w:rPr>
        <w:t>Ora</w:t>
      </w:r>
      <w:r w:rsidRPr="00281531">
        <w:rPr>
          <w:rFonts w:eastAsiaTheme="minorEastAsia"/>
          <w:spacing w:val="-2"/>
          <w:lang w:eastAsia="en-NZ"/>
          <w14:ligatures w14:val="standardContextual"/>
        </w:rPr>
        <w:t xml:space="preserve"> </w:t>
      </w:r>
      <w:r w:rsidRPr="00281531">
        <w:rPr>
          <w:rFonts w:eastAsiaTheme="minorEastAsia"/>
          <w:lang w:eastAsia="en-NZ"/>
          <w14:ligatures w14:val="standardContextual"/>
        </w:rPr>
        <w:t>–</w:t>
      </w:r>
      <w:r w:rsidRPr="00281531">
        <w:rPr>
          <w:rFonts w:eastAsiaTheme="minorEastAsia"/>
          <w:spacing w:val="-5"/>
          <w:lang w:eastAsia="en-NZ"/>
          <w14:ligatures w14:val="standardContextual"/>
        </w:rPr>
        <w:t xml:space="preserve"> </w:t>
      </w:r>
      <w:r w:rsidRPr="00281531">
        <w:rPr>
          <w:rFonts w:eastAsiaTheme="minorEastAsia"/>
          <w:lang w:eastAsia="en-NZ"/>
          <w14:ligatures w14:val="standardContextual"/>
        </w:rPr>
        <w:t>West</w:t>
      </w:r>
      <w:r w:rsidRPr="00281531">
        <w:rPr>
          <w:rFonts w:eastAsiaTheme="minorEastAsia"/>
          <w:spacing w:val="-5"/>
          <w:lang w:eastAsia="en-NZ"/>
          <w14:ligatures w14:val="standardContextual"/>
        </w:rPr>
        <w:t xml:space="preserve"> </w:t>
      </w:r>
      <w:r w:rsidRPr="00281531">
        <w:rPr>
          <w:rFonts w:eastAsiaTheme="minorEastAsia"/>
          <w:lang w:eastAsia="en-NZ"/>
          <w14:ligatures w14:val="standardContextual"/>
        </w:rPr>
        <w:t>Coast</w:t>
      </w:r>
      <w:r w:rsidRPr="00281531">
        <w:rPr>
          <w:rFonts w:eastAsiaTheme="minorEastAsia"/>
          <w:spacing w:val="-4"/>
          <w:lang w:eastAsia="en-NZ"/>
          <w14:ligatures w14:val="standardContextual"/>
        </w:rPr>
        <w:t xml:space="preserve"> </w:t>
      </w:r>
      <w:r w:rsidRPr="00281531">
        <w:rPr>
          <w:rFonts w:eastAsiaTheme="minorEastAsia"/>
          <w:lang w:eastAsia="en-NZ"/>
          <w14:ligatures w14:val="standardContextual"/>
        </w:rPr>
        <w:t>Consumer</w:t>
      </w:r>
      <w:r w:rsidRPr="00281531">
        <w:rPr>
          <w:rFonts w:eastAsiaTheme="minorEastAsia"/>
          <w:spacing w:val="-3"/>
          <w:lang w:eastAsia="en-NZ"/>
          <w14:ligatures w14:val="standardContextual"/>
        </w:rPr>
        <w:t xml:space="preserve"> </w:t>
      </w:r>
      <w:r w:rsidRPr="00281531">
        <w:rPr>
          <w:rFonts w:eastAsiaTheme="minorEastAsia"/>
          <w:lang w:eastAsia="en-NZ"/>
          <w14:ligatures w14:val="standardContextual"/>
        </w:rPr>
        <w:t>Advisory</w:t>
      </w:r>
      <w:r w:rsidRPr="00281531">
        <w:rPr>
          <w:rFonts w:eastAsiaTheme="minorEastAsia"/>
          <w:spacing w:val="-3"/>
          <w:lang w:eastAsia="en-NZ"/>
          <w14:ligatures w14:val="standardContextual"/>
        </w:rPr>
        <w:t xml:space="preserve"> </w:t>
      </w:r>
      <w:r w:rsidRPr="00281531">
        <w:rPr>
          <w:rFonts w:eastAsiaTheme="minorEastAsia"/>
          <w:lang w:eastAsia="en-NZ"/>
          <w14:ligatures w14:val="standardContextual"/>
        </w:rPr>
        <w:t>Group Chair - National Chairs Group (Consumer Councils)</w:t>
      </w:r>
    </w:p>
    <w:p w14:paraId="0F25DB0D" w14:textId="059491B9" w:rsidR="00911961" w:rsidRPr="00281531" w:rsidRDefault="00911961" w:rsidP="00C70C68">
      <w:pPr>
        <w:widowControl w:val="0"/>
        <w:kinsoku w:val="0"/>
        <w:overflowPunct w:val="0"/>
        <w:spacing w:before="1" w:after="0" w:line="240" w:lineRule="auto"/>
        <w:ind w:right="-9"/>
        <w:rPr>
          <w:rFonts w:eastAsiaTheme="minorEastAsia"/>
          <w:lang w:eastAsia="en-NZ"/>
          <w14:ligatures w14:val="standardContextual"/>
        </w:rPr>
      </w:pPr>
      <w:r w:rsidRPr="00281531">
        <w:rPr>
          <w:rFonts w:eastAsiaTheme="minorEastAsia"/>
          <w:lang w:eastAsia="en-NZ"/>
          <w14:ligatures w14:val="standardContextual"/>
        </w:rPr>
        <w:t>Co-Chair</w:t>
      </w:r>
      <w:r w:rsidRPr="00281531">
        <w:rPr>
          <w:rFonts w:eastAsiaTheme="minorEastAsia"/>
          <w:spacing w:val="-8"/>
          <w:lang w:eastAsia="en-NZ"/>
          <w14:ligatures w14:val="standardContextual"/>
        </w:rPr>
        <w:t xml:space="preserve"> </w:t>
      </w:r>
      <w:r w:rsidRPr="00281531">
        <w:rPr>
          <w:rFonts w:eastAsiaTheme="minorEastAsia"/>
          <w:lang w:eastAsia="en-NZ"/>
          <w14:ligatures w14:val="standardContextual"/>
        </w:rPr>
        <w:t>–</w:t>
      </w:r>
      <w:r w:rsidRPr="00281531">
        <w:rPr>
          <w:rFonts w:eastAsiaTheme="minorEastAsia"/>
          <w:spacing w:val="-9"/>
          <w:lang w:eastAsia="en-NZ"/>
          <w14:ligatures w14:val="standardContextual"/>
        </w:rPr>
        <w:t xml:space="preserve"> </w:t>
      </w:r>
      <w:r w:rsidRPr="00281531">
        <w:rPr>
          <w:rFonts w:eastAsiaTheme="minorEastAsia"/>
          <w:lang w:eastAsia="en-NZ"/>
          <w14:ligatures w14:val="standardContextual"/>
        </w:rPr>
        <w:t>Consumer</w:t>
      </w:r>
      <w:r w:rsidRPr="00281531">
        <w:rPr>
          <w:rFonts w:eastAsiaTheme="minorEastAsia"/>
          <w:spacing w:val="-9"/>
          <w:lang w:eastAsia="en-NZ"/>
          <w14:ligatures w14:val="standardContextual"/>
        </w:rPr>
        <w:t xml:space="preserve"> </w:t>
      </w:r>
      <w:r w:rsidRPr="00281531">
        <w:rPr>
          <w:rFonts w:eastAsiaTheme="minorEastAsia"/>
          <w:lang w:eastAsia="en-NZ"/>
          <w14:ligatures w14:val="standardContextual"/>
        </w:rPr>
        <w:t>Advisory</w:t>
      </w:r>
      <w:r w:rsidRPr="00281531">
        <w:rPr>
          <w:rFonts w:eastAsiaTheme="minorEastAsia"/>
          <w:spacing w:val="-7"/>
          <w:lang w:eastAsia="en-NZ"/>
          <w14:ligatures w14:val="standardContextual"/>
        </w:rPr>
        <w:t xml:space="preserve"> </w:t>
      </w:r>
      <w:r w:rsidRPr="00281531">
        <w:rPr>
          <w:rFonts w:eastAsiaTheme="minorEastAsia"/>
          <w:lang w:eastAsia="en-NZ"/>
          <w14:ligatures w14:val="standardContextual"/>
        </w:rPr>
        <w:t>Group</w:t>
      </w:r>
      <w:r w:rsidRPr="00281531">
        <w:rPr>
          <w:rFonts w:eastAsiaTheme="minorEastAsia"/>
          <w:spacing w:val="-7"/>
          <w:lang w:eastAsia="en-NZ"/>
          <w14:ligatures w14:val="standardContextual"/>
        </w:rPr>
        <w:t xml:space="preserve"> </w:t>
      </w:r>
      <w:r w:rsidRPr="00281531">
        <w:rPr>
          <w:rFonts w:eastAsiaTheme="minorEastAsia"/>
          <w:lang w:eastAsia="en-NZ"/>
          <w14:ligatures w14:val="standardContextual"/>
        </w:rPr>
        <w:t>(</w:t>
      </w:r>
      <w:proofErr w:type="spellStart"/>
      <w:r w:rsidR="00C70C68">
        <w:rPr>
          <w:rFonts w:eastAsiaTheme="minorEastAsia"/>
          <w:lang w:eastAsia="en-NZ"/>
          <w14:ligatures w14:val="standardContextual"/>
        </w:rPr>
        <w:t>Te</w:t>
      </w:r>
      <w:proofErr w:type="spellEnd"/>
      <w:r w:rsidR="00C70C68">
        <w:rPr>
          <w:rFonts w:eastAsiaTheme="minorEastAsia"/>
          <w:lang w:eastAsia="en-NZ"/>
          <w14:ligatures w14:val="standardContextual"/>
        </w:rPr>
        <w:t xml:space="preserve"> </w:t>
      </w:r>
      <w:proofErr w:type="spellStart"/>
      <w:r w:rsidR="00C70C68">
        <w:rPr>
          <w:rFonts w:eastAsiaTheme="minorEastAsia"/>
          <w:lang w:eastAsia="en-NZ"/>
          <w14:ligatures w14:val="standardContextual"/>
        </w:rPr>
        <w:t>Tāhū</w:t>
      </w:r>
      <w:proofErr w:type="spellEnd"/>
      <w:r w:rsidR="00C70C68">
        <w:rPr>
          <w:rFonts w:eastAsiaTheme="minorEastAsia"/>
          <w:lang w:eastAsia="en-NZ"/>
          <w14:ligatures w14:val="standardContextual"/>
        </w:rPr>
        <w:t xml:space="preserve"> Hauora</w:t>
      </w:r>
      <w:r w:rsidRPr="00281531">
        <w:rPr>
          <w:rFonts w:eastAsiaTheme="minorEastAsia"/>
          <w:lang w:eastAsia="en-NZ"/>
          <w14:ligatures w14:val="standardContextual"/>
        </w:rPr>
        <w:t xml:space="preserve">) Co-Chair - National Quality </w:t>
      </w:r>
      <w:r>
        <w:rPr>
          <w:rFonts w:eastAsiaTheme="minorEastAsia"/>
          <w:lang w:eastAsia="en-NZ"/>
          <w14:ligatures w14:val="standardContextual"/>
        </w:rPr>
        <w:t>F</w:t>
      </w:r>
      <w:r w:rsidRPr="00281531">
        <w:rPr>
          <w:rFonts w:eastAsiaTheme="minorEastAsia"/>
          <w:lang w:eastAsia="en-NZ"/>
          <w14:ligatures w14:val="standardContextual"/>
        </w:rPr>
        <w:t>orum</w:t>
      </w:r>
    </w:p>
    <w:p w14:paraId="3A5148AE" w14:textId="77777777" w:rsidR="00911961" w:rsidRPr="00281531" w:rsidRDefault="00911961" w:rsidP="00C70C68">
      <w:pPr>
        <w:widowControl w:val="0"/>
        <w:kinsoku w:val="0"/>
        <w:overflowPunct w:val="0"/>
        <w:spacing w:before="1" w:after="0" w:line="240" w:lineRule="auto"/>
        <w:rPr>
          <w:rFonts w:eastAsiaTheme="minorEastAsia"/>
          <w:spacing w:val="-2"/>
          <w:lang w:eastAsia="en-NZ"/>
          <w14:ligatures w14:val="standardContextual"/>
        </w:rPr>
      </w:pPr>
      <w:r w:rsidRPr="00281531">
        <w:rPr>
          <w:rFonts w:eastAsiaTheme="minorEastAsia"/>
          <w:lang w:eastAsia="en-NZ"/>
          <w14:ligatures w14:val="standardContextual"/>
        </w:rPr>
        <w:t>Chair</w:t>
      </w:r>
      <w:r w:rsidRPr="00281531">
        <w:rPr>
          <w:rFonts w:eastAsiaTheme="minorEastAsia"/>
          <w:spacing w:val="-7"/>
          <w:lang w:eastAsia="en-NZ"/>
          <w14:ligatures w14:val="standardContextual"/>
        </w:rPr>
        <w:t xml:space="preserve"> </w:t>
      </w:r>
      <w:r w:rsidRPr="00281531">
        <w:rPr>
          <w:rFonts w:eastAsiaTheme="minorEastAsia"/>
          <w:lang w:eastAsia="en-NZ"/>
          <w14:ligatures w14:val="standardContextual"/>
        </w:rPr>
        <w:t>–</w:t>
      </w:r>
      <w:r w:rsidRPr="00281531">
        <w:rPr>
          <w:rFonts w:eastAsiaTheme="minorEastAsia"/>
          <w:spacing w:val="-9"/>
          <w:lang w:eastAsia="en-NZ"/>
          <w14:ligatures w14:val="standardContextual"/>
        </w:rPr>
        <w:t xml:space="preserve"> </w:t>
      </w:r>
      <w:r w:rsidRPr="00281531">
        <w:rPr>
          <w:rFonts w:eastAsiaTheme="minorEastAsia"/>
          <w:lang w:eastAsia="en-NZ"/>
          <w14:ligatures w14:val="standardContextual"/>
        </w:rPr>
        <w:t>Cornerstone</w:t>
      </w:r>
      <w:r w:rsidRPr="00281531">
        <w:rPr>
          <w:rFonts w:eastAsiaTheme="minorEastAsia"/>
          <w:spacing w:val="-7"/>
          <w:lang w:eastAsia="en-NZ"/>
          <w14:ligatures w14:val="standardContextual"/>
        </w:rPr>
        <w:t xml:space="preserve"> </w:t>
      </w:r>
      <w:r w:rsidRPr="00281531">
        <w:rPr>
          <w:rFonts w:eastAsiaTheme="minorEastAsia"/>
          <w:lang w:eastAsia="en-NZ"/>
          <w14:ligatures w14:val="standardContextual"/>
        </w:rPr>
        <w:t>Family</w:t>
      </w:r>
      <w:r w:rsidRPr="00281531">
        <w:rPr>
          <w:rFonts w:eastAsiaTheme="minorEastAsia"/>
          <w:spacing w:val="-6"/>
          <w:lang w:eastAsia="en-NZ"/>
          <w14:ligatures w14:val="standardContextual"/>
        </w:rPr>
        <w:t xml:space="preserve"> </w:t>
      </w:r>
      <w:r w:rsidRPr="00281531">
        <w:rPr>
          <w:rFonts w:eastAsiaTheme="minorEastAsia"/>
          <w:lang w:eastAsia="en-NZ"/>
          <w14:ligatures w14:val="standardContextual"/>
        </w:rPr>
        <w:t>Support</w:t>
      </w:r>
      <w:r w:rsidRPr="00281531">
        <w:rPr>
          <w:rFonts w:eastAsiaTheme="minorEastAsia"/>
          <w:spacing w:val="-7"/>
          <w:lang w:eastAsia="en-NZ"/>
          <w14:ligatures w14:val="standardContextual"/>
        </w:rPr>
        <w:t xml:space="preserve"> </w:t>
      </w:r>
      <w:r w:rsidRPr="00281531">
        <w:rPr>
          <w:rFonts w:eastAsiaTheme="minorEastAsia"/>
          <w:lang w:eastAsia="en-NZ"/>
          <w14:ligatures w14:val="standardContextual"/>
        </w:rPr>
        <w:t>Services</w:t>
      </w:r>
      <w:r w:rsidRPr="00281531">
        <w:rPr>
          <w:rFonts w:eastAsiaTheme="minorEastAsia"/>
          <w:spacing w:val="-8"/>
          <w:lang w:eastAsia="en-NZ"/>
          <w14:ligatures w14:val="standardContextual"/>
        </w:rPr>
        <w:t xml:space="preserve"> </w:t>
      </w:r>
      <w:r w:rsidRPr="00281531">
        <w:rPr>
          <w:rFonts w:eastAsiaTheme="minorEastAsia"/>
          <w:spacing w:val="-2"/>
          <w:lang w:eastAsia="en-NZ"/>
          <w14:ligatures w14:val="standardContextual"/>
        </w:rPr>
        <w:t>(Greymouth)</w:t>
      </w:r>
    </w:p>
    <w:p w14:paraId="5B5E1593" w14:textId="77777777" w:rsidR="00911961" w:rsidRPr="008B590C" w:rsidRDefault="00911961" w:rsidP="00911961">
      <w:pPr>
        <w:spacing w:after="0"/>
        <w:ind w:left="-142"/>
        <w:jc w:val="both"/>
        <w:rPr>
          <w:b/>
          <w:i/>
          <w:iCs/>
        </w:rPr>
      </w:pPr>
    </w:p>
    <w:p w14:paraId="436E847D" w14:textId="53F46B2A" w:rsidR="00911961" w:rsidRPr="00F47250" w:rsidRDefault="00CE53C1" w:rsidP="00911961">
      <w:pPr>
        <w:spacing w:after="0"/>
        <w:jc w:val="both"/>
      </w:pPr>
      <w:r w:rsidRPr="00DC1858">
        <w:rPr>
          <w:b/>
        </w:rPr>
        <w:t>Environmental scan</w:t>
      </w:r>
      <w:r w:rsidRPr="00F47250">
        <w:rPr>
          <w:b/>
        </w:rPr>
        <w:t xml:space="preserve"> </w:t>
      </w:r>
      <w:r>
        <w:rPr>
          <w:b/>
        </w:rPr>
        <w:t xml:space="preserve">/ </w:t>
      </w:r>
      <w:r w:rsidR="00911961" w:rsidRPr="00F47250">
        <w:rPr>
          <w:b/>
        </w:rPr>
        <w:t>Real time monitoring</w:t>
      </w:r>
    </w:p>
    <w:p w14:paraId="01DD9252" w14:textId="77777777" w:rsidR="00911961" w:rsidRPr="00D46841" w:rsidRDefault="00911961" w:rsidP="00911961">
      <w:pPr>
        <w:widowControl w:val="0"/>
        <w:kinsoku w:val="0"/>
        <w:overflowPunct w:val="0"/>
        <w:spacing w:before="120" w:after="0" w:line="240" w:lineRule="auto"/>
        <w:rPr>
          <w:rFonts w:eastAsiaTheme="minorEastAsia"/>
          <w:lang w:eastAsia="en-NZ"/>
          <w14:ligatures w14:val="standardContextual"/>
        </w:rPr>
      </w:pPr>
      <w:r w:rsidRPr="00D46841">
        <w:rPr>
          <w:rFonts w:eastAsiaTheme="minorEastAsia"/>
          <w:b/>
          <w:bCs/>
          <w:lang w:eastAsia="en-NZ"/>
          <w14:ligatures w14:val="standardContextual"/>
        </w:rPr>
        <w:t xml:space="preserve">Takiwā Poutini | West Coast Localities steering group </w:t>
      </w:r>
      <w:r w:rsidRPr="00D46841">
        <w:rPr>
          <w:rFonts w:eastAsiaTheme="minorEastAsia"/>
          <w:lang w:eastAsia="en-NZ"/>
          <w14:ligatures w14:val="standardContextual"/>
        </w:rPr>
        <w:t>– the report by the governance group continues to demonstrate a willingness to engage community as evidenced by the proactive and determined consultations. The actual change mechanisms e.g., (the new) funding processes still are the main protagonist barrier to delivery of the health and wellbeing provisions as identified in the feedback. The programme manager has really engaged community “</w:t>
      </w:r>
      <w:r w:rsidRPr="00D46841">
        <w:rPr>
          <w:rFonts w:eastAsiaTheme="minorEastAsia"/>
          <w:i/>
          <w:iCs/>
          <w:lang w:eastAsia="en-NZ"/>
          <w14:ligatures w14:val="standardContextual"/>
        </w:rPr>
        <w:t>We’ve also drilled down further into the bigger broader priorities to ensure that when we move to the next steps, we can focus on exactly</w:t>
      </w:r>
      <w:r w:rsidRPr="00D46841">
        <w:rPr>
          <w:rFonts w:eastAsiaTheme="minorEastAsia"/>
          <w:i/>
          <w:iCs/>
          <w:spacing w:val="-3"/>
          <w:lang w:eastAsia="en-NZ"/>
          <w14:ligatures w14:val="standardContextual"/>
        </w:rPr>
        <w:t xml:space="preserve"> </w:t>
      </w:r>
      <w:r w:rsidRPr="00D46841">
        <w:rPr>
          <w:rFonts w:eastAsiaTheme="minorEastAsia"/>
          <w:i/>
          <w:iCs/>
          <w:lang w:eastAsia="en-NZ"/>
          <w14:ligatures w14:val="standardContextual"/>
        </w:rPr>
        <w:t>what</w:t>
      </w:r>
      <w:r w:rsidRPr="00D46841">
        <w:rPr>
          <w:rFonts w:eastAsiaTheme="minorEastAsia"/>
          <w:i/>
          <w:iCs/>
          <w:spacing w:val="-4"/>
          <w:lang w:eastAsia="en-NZ"/>
          <w14:ligatures w14:val="standardContextual"/>
        </w:rPr>
        <w:t xml:space="preserve"> </w:t>
      </w:r>
      <w:r w:rsidRPr="00D46841">
        <w:rPr>
          <w:rFonts w:eastAsiaTheme="minorEastAsia"/>
          <w:i/>
          <w:iCs/>
          <w:lang w:eastAsia="en-NZ"/>
          <w14:ligatures w14:val="standardContextual"/>
        </w:rPr>
        <w:t>whānau</w:t>
      </w:r>
      <w:r w:rsidRPr="00D46841">
        <w:rPr>
          <w:rFonts w:eastAsiaTheme="minorEastAsia"/>
          <w:i/>
          <w:iCs/>
          <w:spacing w:val="-4"/>
          <w:lang w:eastAsia="en-NZ"/>
          <w14:ligatures w14:val="standardContextual"/>
        </w:rPr>
        <w:t xml:space="preserve"> </w:t>
      </w:r>
      <w:r w:rsidRPr="00D46841">
        <w:rPr>
          <w:rFonts w:eastAsiaTheme="minorEastAsia"/>
          <w:i/>
          <w:iCs/>
          <w:lang w:eastAsia="en-NZ"/>
          <w14:ligatures w14:val="standardContextual"/>
        </w:rPr>
        <w:t>have</w:t>
      </w:r>
      <w:r w:rsidRPr="00D46841">
        <w:rPr>
          <w:rFonts w:eastAsiaTheme="minorEastAsia"/>
          <w:i/>
          <w:iCs/>
          <w:spacing w:val="-2"/>
          <w:lang w:eastAsia="en-NZ"/>
          <w14:ligatures w14:val="standardContextual"/>
        </w:rPr>
        <w:t xml:space="preserve"> </w:t>
      </w:r>
      <w:r w:rsidRPr="00D46841">
        <w:rPr>
          <w:rFonts w:eastAsiaTheme="minorEastAsia"/>
          <w:i/>
          <w:iCs/>
          <w:lang w:eastAsia="en-NZ"/>
          <w14:ligatures w14:val="standardContextual"/>
        </w:rPr>
        <w:t>told</w:t>
      </w:r>
      <w:r w:rsidRPr="00D46841">
        <w:rPr>
          <w:rFonts w:eastAsiaTheme="minorEastAsia"/>
          <w:i/>
          <w:iCs/>
          <w:spacing w:val="-2"/>
          <w:lang w:eastAsia="en-NZ"/>
          <w14:ligatures w14:val="standardContextual"/>
        </w:rPr>
        <w:t xml:space="preserve"> </w:t>
      </w:r>
      <w:r w:rsidRPr="00D46841">
        <w:rPr>
          <w:rFonts w:eastAsiaTheme="minorEastAsia"/>
          <w:i/>
          <w:iCs/>
          <w:lang w:eastAsia="en-NZ"/>
          <w14:ligatures w14:val="standardContextual"/>
        </w:rPr>
        <w:t>us</w:t>
      </w:r>
      <w:r w:rsidRPr="00D46841">
        <w:rPr>
          <w:rFonts w:eastAsiaTheme="minorEastAsia"/>
          <w:i/>
          <w:iCs/>
          <w:spacing w:val="-3"/>
          <w:lang w:eastAsia="en-NZ"/>
          <w14:ligatures w14:val="standardContextual"/>
        </w:rPr>
        <w:t xml:space="preserve"> </w:t>
      </w:r>
      <w:r w:rsidRPr="00D46841">
        <w:rPr>
          <w:rFonts w:eastAsiaTheme="minorEastAsia"/>
          <w:i/>
          <w:iCs/>
          <w:lang w:eastAsia="en-NZ"/>
          <w14:ligatures w14:val="standardContextual"/>
        </w:rPr>
        <w:t>would</w:t>
      </w:r>
      <w:r w:rsidRPr="00D46841">
        <w:rPr>
          <w:rFonts w:eastAsiaTheme="minorEastAsia"/>
          <w:i/>
          <w:iCs/>
          <w:spacing w:val="-2"/>
          <w:lang w:eastAsia="en-NZ"/>
          <w14:ligatures w14:val="standardContextual"/>
        </w:rPr>
        <w:t xml:space="preserve"> </w:t>
      </w:r>
      <w:r w:rsidRPr="00D46841">
        <w:rPr>
          <w:rFonts w:eastAsiaTheme="minorEastAsia"/>
          <w:i/>
          <w:iCs/>
          <w:lang w:eastAsia="en-NZ"/>
          <w14:ligatures w14:val="standardContextual"/>
        </w:rPr>
        <w:t>improve their</w:t>
      </w:r>
      <w:r w:rsidRPr="00D46841">
        <w:rPr>
          <w:rFonts w:eastAsiaTheme="minorEastAsia"/>
          <w:i/>
          <w:iCs/>
          <w:spacing w:val="-3"/>
          <w:lang w:eastAsia="en-NZ"/>
          <w14:ligatures w14:val="standardContextual"/>
        </w:rPr>
        <w:t xml:space="preserve"> </w:t>
      </w:r>
      <w:r w:rsidRPr="00D46841">
        <w:rPr>
          <w:rFonts w:eastAsiaTheme="minorEastAsia"/>
          <w:i/>
          <w:iCs/>
          <w:lang w:eastAsia="en-NZ"/>
          <w14:ligatures w14:val="standardContextual"/>
        </w:rPr>
        <w:t>wellbeing</w:t>
      </w:r>
      <w:r w:rsidRPr="00D46841">
        <w:rPr>
          <w:rFonts w:eastAsiaTheme="minorEastAsia"/>
          <w:lang w:eastAsia="en-NZ"/>
          <w14:ligatures w14:val="standardContextual"/>
        </w:rPr>
        <w:t>”</w:t>
      </w:r>
      <w:r w:rsidRPr="00D46841">
        <w:rPr>
          <w:rFonts w:eastAsiaTheme="minorEastAsia"/>
          <w:spacing w:val="-1"/>
          <w:lang w:eastAsia="en-NZ"/>
          <w14:ligatures w14:val="standardContextual"/>
        </w:rPr>
        <w:t xml:space="preserve"> </w:t>
      </w:r>
      <w:r w:rsidRPr="00D46841">
        <w:rPr>
          <w:rFonts w:eastAsiaTheme="minorEastAsia"/>
          <w:lang w:eastAsia="en-NZ"/>
          <w14:ligatures w14:val="standardContextual"/>
        </w:rPr>
        <w:t>But</w:t>
      </w:r>
      <w:r w:rsidRPr="00D46841">
        <w:rPr>
          <w:rFonts w:eastAsiaTheme="minorEastAsia"/>
          <w:spacing w:val="-2"/>
          <w:lang w:eastAsia="en-NZ"/>
          <w14:ligatures w14:val="standardContextual"/>
        </w:rPr>
        <w:t xml:space="preserve"> </w:t>
      </w:r>
      <w:r w:rsidRPr="00D46841">
        <w:rPr>
          <w:rFonts w:eastAsiaTheme="minorEastAsia"/>
          <w:lang w:eastAsia="en-NZ"/>
          <w14:ligatures w14:val="standardContextual"/>
        </w:rPr>
        <w:t>despite</w:t>
      </w:r>
      <w:r w:rsidRPr="00D46841">
        <w:rPr>
          <w:rFonts w:eastAsiaTheme="minorEastAsia"/>
          <w:spacing w:val="-2"/>
          <w:lang w:eastAsia="en-NZ"/>
          <w14:ligatures w14:val="standardContextual"/>
        </w:rPr>
        <w:t xml:space="preserve"> </w:t>
      </w:r>
      <w:r w:rsidRPr="00D46841">
        <w:rPr>
          <w:rFonts w:eastAsiaTheme="minorEastAsia"/>
          <w:lang w:eastAsia="en-NZ"/>
          <w14:ligatures w14:val="standardContextual"/>
        </w:rPr>
        <w:t>some</w:t>
      </w:r>
      <w:r w:rsidRPr="00D46841">
        <w:rPr>
          <w:rFonts w:eastAsiaTheme="minorEastAsia"/>
          <w:spacing w:val="-4"/>
          <w:lang w:eastAsia="en-NZ"/>
          <w14:ligatures w14:val="standardContextual"/>
        </w:rPr>
        <w:t xml:space="preserve"> </w:t>
      </w:r>
      <w:r w:rsidRPr="00D46841">
        <w:rPr>
          <w:rFonts w:eastAsiaTheme="minorEastAsia"/>
          <w:lang w:eastAsia="en-NZ"/>
          <w14:ligatures w14:val="standardContextual"/>
        </w:rPr>
        <w:t>18</w:t>
      </w:r>
      <w:r w:rsidRPr="00D46841">
        <w:rPr>
          <w:rFonts w:eastAsiaTheme="minorEastAsia"/>
          <w:spacing w:val="-2"/>
          <w:lang w:eastAsia="en-NZ"/>
          <w14:ligatures w14:val="standardContextual"/>
        </w:rPr>
        <w:t xml:space="preserve"> </w:t>
      </w:r>
      <w:r w:rsidRPr="00D46841">
        <w:rPr>
          <w:rFonts w:eastAsiaTheme="minorEastAsia"/>
          <w:lang w:eastAsia="en-NZ"/>
          <w14:ligatures w14:val="standardContextual"/>
        </w:rPr>
        <w:t>months</w:t>
      </w:r>
      <w:r w:rsidRPr="00D46841">
        <w:rPr>
          <w:rFonts w:eastAsiaTheme="minorEastAsia"/>
          <w:spacing w:val="-3"/>
          <w:lang w:eastAsia="en-NZ"/>
          <w14:ligatures w14:val="standardContextual"/>
        </w:rPr>
        <w:t xml:space="preserve"> </w:t>
      </w:r>
      <w:r w:rsidRPr="00D46841">
        <w:rPr>
          <w:rFonts w:eastAsiaTheme="minorEastAsia"/>
          <w:lang w:eastAsia="en-NZ"/>
          <w14:ligatures w14:val="standardContextual"/>
        </w:rPr>
        <w:t>in,</w:t>
      </w:r>
      <w:r w:rsidRPr="00D46841">
        <w:rPr>
          <w:rFonts w:eastAsiaTheme="minorEastAsia"/>
          <w:spacing w:val="-4"/>
          <w:lang w:eastAsia="en-NZ"/>
          <w14:ligatures w14:val="standardContextual"/>
        </w:rPr>
        <w:t xml:space="preserve"> </w:t>
      </w:r>
      <w:r w:rsidRPr="00D46841">
        <w:rPr>
          <w:rFonts w:eastAsiaTheme="minorEastAsia"/>
          <w:lang w:eastAsia="en-NZ"/>
          <w14:ligatures w14:val="standardContextual"/>
        </w:rPr>
        <w:t>and intentions</w:t>
      </w:r>
      <w:r w:rsidRPr="00D46841">
        <w:rPr>
          <w:rFonts w:eastAsiaTheme="minorEastAsia"/>
          <w:spacing w:val="-2"/>
          <w:lang w:eastAsia="en-NZ"/>
          <w14:ligatures w14:val="standardContextual"/>
        </w:rPr>
        <w:t xml:space="preserve"> </w:t>
      </w:r>
      <w:r w:rsidRPr="00D46841">
        <w:rPr>
          <w:rFonts w:eastAsiaTheme="minorEastAsia"/>
          <w:lang w:eastAsia="en-NZ"/>
          <w14:ligatures w14:val="standardContextual"/>
        </w:rPr>
        <w:t>of</w:t>
      </w:r>
      <w:r w:rsidRPr="00D46841">
        <w:rPr>
          <w:rFonts w:eastAsiaTheme="minorEastAsia"/>
          <w:spacing w:val="-1"/>
          <w:lang w:eastAsia="en-NZ"/>
          <w14:ligatures w14:val="standardContextual"/>
        </w:rPr>
        <w:t xml:space="preserve"> </w:t>
      </w:r>
      <w:r w:rsidRPr="00D46841">
        <w:rPr>
          <w:rFonts w:eastAsiaTheme="minorEastAsia"/>
          <w:lang w:eastAsia="en-NZ"/>
          <w14:ligatures w14:val="standardContextual"/>
        </w:rPr>
        <w:t>consulting/listening</w:t>
      </w:r>
      <w:r w:rsidRPr="00D46841">
        <w:rPr>
          <w:rFonts w:eastAsiaTheme="minorEastAsia"/>
          <w:spacing w:val="-2"/>
          <w:lang w:eastAsia="en-NZ"/>
          <w14:ligatures w14:val="standardContextual"/>
        </w:rPr>
        <w:t xml:space="preserve"> </w:t>
      </w:r>
      <w:r w:rsidRPr="00D46841">
        <w:rPr>
          <w:rFonts w:eastAsiaTheme="minorEastAsia"/>
          <w:lang w:eastAsia="en-NZ"/>
          <w14:ligatures w14:val="standardContextual"/>
        </w:rPr>
        <w:t>to</w:t>
      </w:r>
      <w:r w:rsidRPr="00D46841">
        <w:rPr>
          <w:rFonts w:eastAsiaTheme="minorEastAsia"/>
          <w:spacing w:val="-1"/>
          <w:lang w:eastAsia="en-NZ"/>
          <w14:ligatures w14:val="standardContextual"/>
        </w:rPr>
        <w:t xml:space="preserve"> </w:t>
      </w:r>
      <w:r w:rsidRPr="00D46841">
        <w:rPr>
          <w:rFonts w:eastAsiaTheme="minorEastAsia"/>
          <w:lang w:eastAsia="en-NZ"/>
          <w14:ligatures w14:val="standardContextual"/>
        </w:rPr>
        <w:t>wh</w:t>
      </w:r>
      <w:r>
        <w:rPr>
          <w:rFonts w:eastAsiaTheme="minorEastAsia"/>
          <w:lang w:eastAsia="en-NZ"/>
          <w14:ligatures w14:val="standardContextual"/>
        </w:rPr>
        <w:t>ā</w:t>
      </w:r>
      <w:r w:rsidRPr="00D46841">
        <w:rPr>
          <w:rFonts w:eastAsiaTheme="minorEastAsia"/>
          <w:lang w:eastAsia="en-NZ"/>
          <w14:ligatures w14:val="standardContextual"/>
        </w:rPr>
        <w:t>nau</w:t>
      </w:r>
      <w:r w:rsidRPr="00D46841">
        <w:rPr>
          <w:rFonts w:eastAsiaTheme="minorEastAsia"/>
          <w:spacing w:val="-1"/>
          <w:lang w:eastAsia="en-NZ"/>
          <w14:ligatures w14:val="standardContextual"/>
        </w:rPr>
        <w:t xml:space="preserve"> </w:t>
      </w:r>
      <w:r w:rsidRPr="00D46841">
        <w:rPr>
          <w:rFonts w:eastAsiaTheme="minorEastAsia"/>
          <w:lang w:eastAsia="en-NZ"/>
          <w14:ligatures w14:val="standardContextual"/>
        </w:rPr>
        <w:t>and</w:t>
      </w:r>
      <w:r w:rsidRPr="00D46841">
        <w:rPr>
          <w:rFonts w:eastAsiaTheme="minorEastAsia"/>
          <w:spacing w:val="-3"/>
          <w:lang w:eastAsia="en-NZ"/>
          <w14:ligatures w14:val="standardContextual"/>
        </w:rPr>
        <w:t xml:space="preserve"> </w:t>
      </w:r>
      <w:r w:rsidRPr="00D46841">
        <w:rPr>
          <w:rFonts w:eastAsiaTheme="minorEastAsia"/>
          <w:lang w:eastAsia="en-NZ"/>
          <w14:ligatures w14:val="standardContextual"/>
        </w:rPr>
        <w:t>community</w:t>
      </w:r>
      <w:r w:rsidRPr="00D46841">
        <w:rPr>
          <w:rFonts w:eastAsiaTheme="minorEastAsia"/>
          <w:spacing w:val="-2"/>
          <w:lang w:eastAsia="en-NZ"/>
          <w14:ligatures w14:val="standardContextual"/>
        </w:rPr>
        <w:t xml:space="preserve"> </w:t>
      </w:r>
      <w:r w:rsidRPr="00D46841">
        <w:rPr>
          <w:rFonts w:eastAsiaTheme="minorEastAsia"/>
          <w:lang w:eastAsia="en-NZ"/>
          <w14:ligatures w14:val="standardContextual"/>
        </w:rPr>
        <w:t>voice,</w:t>
      </w:r>
      <w:r w:rsidRPr="00D46841">
        <w:rPr>
          <w:rFonts w:eastAsiaTheme="minorEastAsia"/>
          <w:spacing w:val="-3"/>
          <w:lang w:eastAsia="en-NZ"/>
          <w14:ligatures w14:val="standardContextual"/>
        </w:rPr>
        <w:t xml:space="preserve"> </w:t>
      </w:r>
      <w:r w:rsidRPr="00D46841">
        <w:rPr>
          <w:rFonts w:eastAsiaTheme="minorEastAsia"/>
          <w:lang w:eastAsia="en-NZ"/>
          <w14:ligatures w14:val="standardContextual"/>
        </w:rPr>
        <w:t>there appears</w:t>
      </w:r>
      <w:r w:rsidRPr="00D46841">
        <w:rPr>
          <w:rFonts w:eastAsiaTheme="minorEastAsia"/>
          <w:spacing w:val="-2"/>
          <w:lang w:eastAsia="en-NZ"/>
          <w14:ligatures w14:val="standardContextual"/>
        </w:rPr>
        <w:t xml:space="preserve"> </w:t>
      </w:r>
      <w:r w:rsidRPr="00D46841">
        <w:rPr>
          <w:rFonts w:eastAsiaTheme="minorEastAsia"/>
          <w:lang w:eastAsia="en-NZ"/>
          <w14:ligatures w14:val="standardContextual"/>
        </w:rPr>
        <w:t>to</w:t>
      </w:r>
      <w:r w:rsidRPr="00D46841">
        <w:rPr>
          <w:rFonts w:eastAsiaTheme="minorEastAsia"/>
          <w:spacing w:val="-3"/>
          <w:lang w:eastAsia="en-NZ"/>
          <w14:ligatures w14:val="standardContextual"/>
        </w:rPr>
        <w:t xml:space="preserve"> </w:t>
      </w:r>
      <w:r w:rsidRPr="00D46841">
        <w:rPr>
          <w:rFonts w:eastAsiaTheme="minorEastAsia"/>
          <w:lang w:eastAsia="en-NZ"/>
          <w14:ligatures w14:val="standardContextual"/>
        </w:rPr>
        <w:t>have been</w:t>
      </w:r>
      <w:r w:rsidRPr="00D46841">
        <w:rPr>
          <w:rFonts w:eastAsiaTheme="minorEastAsia"/>
          <w:spacing w:val="-3"/>
          <w:lang w:eastAsia="en-NZ"/>
          <w14:ligatures w14:val="standardContextual"/>
        </w:rPr>
        <w:t xml:space="preserve"> </w:t>
      </w:r>
      <w:r w:rsidRPr="00D46841">
        <w:rPr>
          <w:rFonts w:eastAsiaTheme="minorEastAsia"/>
          <w:lang w:eastAsia="en-NZ"/>
          <w14:ligatures w14:val="standardContextual"/>
        </w:rPr>
        <w:t>no</w:t>
      </w:r>
      <w:r w:rsidRPr="00D46841">
        <w:rPr>
          <w:rFonts w:eastAsiaTheme="minorEastAsia"/>
          <w:spacing w:val="-3"/>
          <w:lang w:eastAsia="en-NZ"/>
          <w14:ligatures w14:val="standardContextual"/>
        </w:rPr>
        <w:t xml:space="preserve"> </w:t>
      </w:r>
      <w:r w:rsidRPr="00D46841">
        <w:rPr>
          <w:rFonts w:eastAsiaTheme="minorEastAsia"/>
          <w:lang w:eastAsia="en-NZ"/>
          <w14:ligatures w14:val="standardContextual"/>
        </w:rPr>
        <w:t>real change to practicalities for community. I have confidence that the programme manager can articulate The Code of Consumer Engagement and reference activities against the specific points. Whilst Localities is not “just about health” … the consumer is the integral point and common denominator.</w:t>
      </w:r>
    </w:p>
    <w:p w14:paraId="2C42FE46" w14:textId="77777777" w:rsidR="00911961" w:rsidRPr="00D46841" w:rsidRDefault="00911961" w:rsidP="00911961">
      <w:pPr>
        <w:widowControl w:val="0"/>
        <w:kinsoku w:val="0"/>
        <w:overflowPunct w:val="0"/>
        <w:spacing w:before="6" w:after="0" w:line="240" w:lineRule="auto"/>
        <w:rPr>
          <w:rFonts w:eastAsiaTheme="minorEastAsia"/>
          <w:lang w:eastAsia="en-NZ"/>
          <w14:ligatures w14:val="standardContextual"/>
        </w:rPr>
      </w:pPr>
    </w:p>
    <w:p w14:paraId="21219CE6" w14:textId="77777777" w:rsidR="00911961" w:rsidRPr="00D46841" w:rsidRDefault="00911961" w:rsidP="00911961">
      <w:pPr>
        <w:widowControl w:val="0"/>
        <w:kinsoku w:val="0"/>
        <w:overflowPunct w:val="0"/>
        <w:spacing w:after="0"/>
        <w:ind w:right="147"/>
        <w:rPr>
          <w:rFonts w:eastAsiaTheme="minorEastAsia"/>
          <w:lang w:eastAsia="en-NZ"/>
          <w14:ligatures w14:val="standardContextual"/>
        </w:rPr>
      </w:pPr>
      <w:r w:rsidRPr="00D46841">
        <w:rPr>
          <w:rFonts w:eastAsiaTheme="minorEastAsia"/>
          <w:b/>
          <w:bCs/>
          <w:lang w:eastAsia="en-NZ"/>
          <w14:ligatures w14:val="standardContextual"/>
        </w:rPr>
        <w:t xml:space="preserve">Te Whatu Ora </w:t>
      </w:r>
      <w:r w:rsidRPr="00D46841">
        <w:rPr>
          <w:rFonts w:eastAsiaTheme="minorEastAsia"/>
          <w:lang w:eastAsia="en-NZ"/>
          <w14:ligatures w14:val="standardContextual"/>
        </w:rPr>
        <w:t>– the Quality and Patient Safety team has been understaffed</w:t>
      </w:r>
      <w:r>
        <w:rPr>
          <w:rFonts w:eastAsiaTheme="minorEastAsia"/>
          <w:lang w:eastAsia="en-NZ"/>
          <w14:ligatures w14:val="standardContextual"/>
        </w:rPr>
        <w:t>,</w:t>
      </w:r>
      <w:r w:rsidRPr="00D46841">
        <w:rPr>
          <w:rFonts w:eastAsiaTheme="minorEastAsia"/>
          <w:lang w:eastAsia="en-NZ"/>
          <w14:ligatures w14:val="standardContextual"/>
        </w:rPr>
        <w:t xml:space="preserve"> resulting in priorities changing and consumer engagement being relegated. The Consumer Advisory Group are still malnourished</w:t>
      </w:r>
      <w:r w:rsidRPr="00D46841">
        <w:rPr>
          <w:rFonts w:eastAsiaTheme="minorEastAsia"/>
          <w:spacing w:val="-4"/>
          <w:lang w:eastAsia="en-NZ"/>
          <w14:ligatures w14:val="standardContextual"/>
        </w:rPr>
        <w:t xml:space="preserve"> </w:t>
      </w:r>
      <w:r w:rsidRPr="00D46841">
        <w:rPr>
          <w:rFonts w:eastAsiaTheme="minorEastAsia"/>
          <w:lang w:eastAsia="en-NZ"/>
          <w14:ligatures w14:val="standardContextual"/>
        </w:rPr>
        <w:t>and</w:t>
      </w:r>
      <w:r w:rsidRPr="00D46841">
        <w:rPr>
          <w:rFonts w:eastAsiaTheme="minorEastAsia"/>
          <w:spacing w:val="-6"/>
          <w:lang w:eastAsia="en-NZ"/>
          <w14:ligatures w14:val="standardContextual"/>
        </w:rPr>
        <w:t xml:space="preserve"> </w:t>
      </w:r>
      <w:r w:rsidRPr="00D46841">
        <w:rPr>
          <w:rFonts w:eastAsiaTheme="minorEastAsia"/>
          <w:lang w:eastAsia="en-NZ"/>
          <w14:ligatures w14:val="standardContextual"/>
        </w:rPr>
        <w:t>remain</w:t>
      </w:r>
      <w:r w:rsidRPr="00D46841">
        <w:rPr>
          <w:rFonts w:eastAsiaTheme="minorEastAsia"/>
          <w:spacing w:val="-4"/>
          <w:lang w:eastAsia="en-NZ"/>
          <w14:ligatures w14:val="standardContextual"/>
        </w:rPr>
        <w:t xml:space="preserve"> </w:t>
      </w:r>
      <w:r w:rsidRPr="00D46841">
        <w:rPr>
          <w:rFonts w:eastAsiaTheme="minorEastAsia"/>
          <w:lang w:eastAsia="en-NZ"/>
          <w14:ligatures w14:val="standardContextual"/>
        </w:rPr>
        <w:t>vulnerable</w:t>
      </w:r>
      <w:r w:rsidRPr="00D46841">
        <w:rPr>
          <w:rFonts w:eastAsiaTheme="minorEastAsia"/>
          <w:spacing w:val="-6"/>
          <w:lang w:eastAsia="en-NZ"/>
          <w14:ligatures w14:val="standardContextual"/>
        </w:rPr>
        <w:t xml:space="preserve"> </w:t>
      </w:r>
      <w:r w:rsidRPr="00D46841">
        <w:rPr>
          <w:rFonts w:eastAsiaTheme="minorEastAsia"/>
          <w:lang w:eastAsia="en-NZ"/>
          <w14:ligatures w14:val="standardContextual"/>
        </w:rPr>
        <w:t>within</w:t>
      </w:r>
      <w:r w:rsidRPr="00D46841">
        <w:rPr>
          <w:rFonts w:eastAsiaTheme="minorEastAsia"/>
          <w:spacing w:val="-6"/>
          <w:lang w:eastAsia="en-NZ"/>
          <w14:ligatures w14:val="standardContextual"/>
        </w:rPr>
        <w:t xml:space="preserve"> </w:t>
      </w:r>
      <w:r w:rsidRPr="00D46841">
        <w:rPr>
          <w:rFonts w:eastAsiaTheme="minorEastAsia"/>
          <w:lang w:eastAsia="en-NZ"/>
          <w14:ligatures w14:val="standardContextual"/>
        </w:rPr>
        <w:t>the</w:t>
      </w:r>
      <w:r w:rsidRPr="00D46841">
        <w:rPr>
          <w:rFonts w:eastAsiaTheme="minorEastAsia"/>
          <w:spacing w:val="-6"/>
          <w:lang w:eastAsia="en-NZ"/>
          <w14:ligatures w14:val="standardContextual"/>
        </w:rPr>
        <w:t xml:space="preserve"> </w:t>
      </w:r>
      <w:r w:rsidRPr="00D46841">
        <w:rPr>
          <w:rFonts w:eastAsiaTheme="minorEastAsia"/>
          <w:lang w:eastAsia="en-NZ"/>
          <w14:ligatures w14:val="standardContextual"/>
        </w:rPr>
        <w:t>consumer/community/wh</w:t>
      </w:r>
      <w:r>
        <w:rPr>
          <w:rFonts w:eastAsiaTheme="minorEastAsia"/>
          <w:lang w:eastAsia="en-NZ"/>
          <w14:ligatures w14:val="standardContextual"/>
        </w:rPr>
        <w:t>ā</w:t>
      </w:r>
      <w:r w:rsidRPr="00D46841">
        <w:rPr>
          <w:rFonts w:eastAsiaTheme="minorEastAsia"/>
          <w:lang w:eastAsia="en-NZ"/>
          <w14:ligatures w14:val="standardContextual"/>
        </w:rPr>
        <w:t>nau</w:t>
      </w:r>
      <w:r w:rsidRPr="00D46841">
        <w:rPr>
          <w:rFonts w:eastAsiaTheme="minorEastAsia"/>
          <w:spacing w:val="-6"/>
          <w:lang w:eastAsia="en-NZ"/>
          <w14:ligatures w14:val="standardContextual"/>
        </w:rPr>
        <w:t xml:space="preserve"> </w:t>
      </w:r>
      <w:r w:rsidRPr="00D46841">
        <w:rPr>
          <w:rFonts w:eastAsiaTheme="minorEastAsia"/>
          <w:lang w:eastAsia="en-NZ"/>
          <w14:ligatures w14:val="standardContextual"/>
        </w:rPr>
        <w:t>spaces.</w:t>
      </w:r>
      <w:r w:rsidRPr="00D46841">
        <w:rPr>
          <w:rFonts w:eastAsiaTheme="minorEastAsia"/>
          <w:spacing w:val="-6"/>
          <w:lang w:eastAsia="en-NZ"/>
          <w14:ligatures w14:val="standardContextual"/>
        </w:rPr>
        <w:t xml:space="preserve"> </w:t>
      </w:r>
      <w:r w:rsidRPr="00D46841">
        <w:rPr>
          <w:rFonts w:eastAsiaTheme="minorEastAsia"/>
          <w:lang w:eastAsia="en-NZ"/>
          <w14:ligatures w14:val="standardContextual"/>
        </w:rPr>
        <w:t>The</w:t>
      </w:r>
      <w:r w:rsidRPr="00D46841">
        <w:rPr>
          <w:rFonts w:eastAsiaTheme="minorEastAsia"/>
          <w:spacing w:val="-6"/>
          <w:lang w:eastAsia="en-NZ"/>
          <w14:ligatures w14:val="standardContextual"/>
        </w:rPr>
        <w:t xml:space="preserve"> </w:t>
      </w:r>
      <w:r w:rsidRPr="00D46841">
        <w:rPr>
          <w:rFonts w:eastAsiaTheme="minorEastAsia"/>
          <w:lang w:eastAsia="en-NZ"/>
          <w14:ligatures w14:val="standardContextual"/>
        </w:rPr>
        <w:t>feedback and supportive elements are lacking</w:t>
      </w:r>
      <w:r>
        <w:rPr>
          <w:rFonts w:eastAsiaTheme="minorEastAsia"/>
          <w:lang w:eastAsia="en-NZ"/>
          <w14:ligatures w14:val="standardContextual"/>
        </w:rPr>
        <w:t>,</w:t>
      </w:r>
      <w:r w:rsidRPr="00D46841">
        <w:rPr>
          <w:rFonts w:eastAsiaTheme="minorEastAsia"/>
          <w:lang w:eastAsia="en-NZ"/>
          <w14:ligatures w14:val="standardContextual"/>
        </w:rPr>
        <w:t xml:space="preserve"> reducing the overall consumer voice in health/community activities. The QSM, upload due end of September, still seems detached from the other core considerations needed to fully engage consumer in participatory activities and partnership conversations.</w:t>
      </w:r>
      <w:r w:rsidRPr="00D46841">
        <w:rPr>
          <w:rFonts w:eastAsiaTheme="minorEastAsia"/>
          <w:spacing w:val="-1"/>
          <w:lang w:eastAsia="en-NZ"/>
          <w14:ligatures w14:val="standardContextual"/>
        </w:rPr>
        <w:t xml:space="preserve"> </w:t>
      </w:r>
      <w:r w:rsidRPr="00D46841">
        <w:rPr>
          <w:rFonts w:eastAsiaTheme="minorEastAsia"/>
          <w:lang w:eastAsia="en-NZ"/>
          <w14:ligatures w14:val="standardContextual"/>
        </w:rPr>
        <w:t>There is</w:t>
      </w:r>
      <w:r w:rsidRPr="00D46841">
        <w:rPr>
          <w:rFonts w:eastAsiaTheme="minorEastAsia"/>
          <w:spacing w:val="-1"/>
          <w:lang w:eastAsia="en-NZ"/>
          <w14:ligatures w14:val="standardContextual"/>
        </w:rPr>
        <w:t xml:space="preserve"> </w:t>
      </w:r>
      <w:r w:rsidRPr="00D46841">
        <w:rPr>
          <w:rFonts w:eastAsiaTheme="minorEastAsia"/>
          <w:lang w:eastAsia="en-NZ"/>
          <w14:ligatures w14:val="standardContextual"/>
        </w:rPr>
        <w:t>a</w:t>
      </w:r>
      <w:r w:rsidRPr="00D46841">
        <w:rPr>
          <w:rFonts w:eastAsiaTheme="minorEastAsia"/>
          <w:spacing w:val="-3"/>
          <w:lang w:eastAsia="en-NZ"/>
          <w14:ligatures w14:val="standardContextual"/>
        </w:rPr>
        <w:t xml:space="preserve"> </w:t>
      </w:r>
      <w:r w:rsidRPr="00D46841">
        <w:rPr>
          <w:rFonts w:eastAsiaTheme="minorEastAsia"/>
          <w:lang w:eastAsia="en-NZ"/>
          <w14:ligatures w14:val="standardContextual"/>
        </w:rPr>
        <w:t>sense</w:t>
      </w:r>
      <w:r w:rsidRPr="00D46841">
        <w:rPr>
          <w:rFonts w:eastAsiaTheme="minorEastAsia"/>
          <w:spacing w:val="-2"/>
          <w:lang w:eastAsia="en-NZ"/>
          <w14:ligatures w14:val="standardContextual"/>
        </w:rPr>
        <w:t xml:space="preserve"> </w:t>
      </w:r>
      <w:r w:rsidRPr="00D46841">
        <w:rPr>
          <w:rFonts w:eastAsiaTheme="minorEastAsia"/>
          <w:lang w:eastAsia="en-NZ"/>
          <w14:ligatures w14:val="standardContextual"/>
        </w:rPr>
        <w:t>of survival mode</w:t>
      </w:r>
      <w:r w:rsidRPr="00D46841">
        <w:rPr>
          <w:rFonts w:eastAsiaTheme="minorEastAsia"/>
          <w:spacing w:val="-2"/>
          <w:lang w:eastAsia="en-NZ"/>
          <w14:ligatures w14:val="standardContextual"/>
        </w:rPr>
        <w:t xml:space="preserve"> </w:t>
      </w:r>
      <w:r w:rsidRPr="00D46841">
        <w:rPr>
          <w:rFonts w:eastAsiaTheme="minorEastAsia"/>
          <w:lang w:eastAsia="en-NZ"/>
          <w14:ligatures w14:val="standardContextual"/>
        </w:rPr>
        <w:t>within</w:t>
      </w:r>
      <w:r w:rsidRPr="00D46841">
        <w:rPr>
          <w:rFonts w:eastAsiaTheme="minorEastAsia"/>
          <w:spacing w:val="-2"/>
          <w:lang w:eastAsia="en-NZ"/>
          <w14:ligatures w14:val="standardContextual"/>
        </w:rPr>
        <w:t xml:space="preserve"> </w:t>
      </w:r>
      <w:r w:rsidRPr="00D46841">
        <w:rPr>
          <w:rFonts w:eastAsiaTheme="minorEastAsia"/>
          <w:lang w:eastAsia="en-NZ"/>
          <w14:ligatures w14:val="standardContextual"/>
        </w:rPr>
        <w:t>the workforce</w:t>
      </w:r>
      <w:r w:rsidRPr="00D46841">
        <w:rPr>
          <w:rFonts w:eastAsiaTheme="minorEastAsia"/>
          <w:spacing w:val="-2"/>
          <w:lang w:eastAsia="en-NZ"/>
          <w14:ligatures w14:val="standardContextual"/>
        </w:rPr>
        <w:t xml:space="preserve"> </w:t>
      </w:r>
      <w:r w:rsidRPr="00D46841">
        <w:rPr>
          <w:rFonts w:eastAsiaTheme="minorEastAsia"/>
          <w:lang w:eastAsia="en-NZ"/>
          <w14:ligatures w14:val="standardContextual"/>
        </w:rPr>
        <w:t>rather</w:t>
      </w:r>
      <w:r w:rsidRPr="00D46841">
        <w:rPr>
          <w:rFonts w:eastAsiaTheme="minorEastAsia"/>
          <w:spacing w:val="-1"/>
          <w:lang w:eastAsia="en-NZ"/>
          <w14:ligatures w14:val="standardContextual"/>
        </w:rPr>
        <w:t xml:space="preserve"> </w:t>
      </w:r>
      <w:r w:rsidRPr="00D46841">
        <w:rPr>
          <w:rFonts w:eastAsiaTheme="minorEastAsia"/>
          <w:lang w:eastAsia="en-NZ"/>
          <w14:ligatures w14:val="standardContextual"/>
        </w:rPr>
        <w:t>than</w:t>
      </w:r>
      <w:r w:rsidRPr="00D46841">
        <w:rPr>
          <w:rFonts w:eastAsiaTheme="minorEastAsia"/>
          <w:spacing w:val="-1"/>
          <w:lang w:eastAsia="en-NZ"/>
          <w14:ligatures w14:val="standardContextual"/>
        </w:rPr>
        <w:t xml:space="preserve"> </w:t>
      </w:r>
      <w:r w:rsidRPr="00D46841">
        <w:rPr>
          <w:rFonts w:eastAsiaTheme="minorEastAsia"/>
          <w:lang w:eastAsia="en-NZ"/>
          <w14:ligatures w14:val="standardContextual"/>
        </w:rPr>
        <w:t>receptive mode</w:t>
      </w:r>
      <w:r w:rsidRPr="00D46841">
        <w:rPr>
          <w:rFonts w:eastAsiaTheme="minorEastAsia"/>
          <w:spacing w:val="-2"/>
          <w:lang w:eastAsia="en-NZ"/>
          <w14:ligatures w14:val="standardContextual"/>
        </w:rPr>
        <w:t xml:space="preserve"> </w:t>
      </w:r>
      <w:r w:rsidRPr="00D46841">
        <w:rPr>
          <w:rFonts w:eastAsiaTheme="minorEastAsia"/>
          <w:lang w:eastAsia="en-NZ"/>
          <w14:ligatures w14:val="standardContextual"/>
        </w:rPr>
        <w:t>to engage the Code perhaps.</w:t>
      </w:r>
    </w:p>
    <w:p w14:paraId="218CE964" w14:textId="77777777" w:rsidR="00911961" w:rsidRPr="00D46841" w:rsidRDefault="00911961" w:rsidP="00911961">
      <w:pPr>
        <w:widowControl w:val="0"/>
        <w:kinsoku w:val="0"/>
        <w:overflowPunct w:val="0"/>
        <w:spacing w:before="5" w:after="0" w:line="240" w:lineRule="auto"/>
        <w:rPr>
          <w:rFonts w:eastAsiaTheme="minorEastAsia"/>
          <w:lang w:eastAsia="en-NZ"/>
          <w14:ligatures w14:val="standardContextual"/>
        </w:rPr>
      </w:pPr>
    </w:p>
    <w:p w14:paraId="35E25FE5" w14:textId="5AA5701A" w:rsidR="00911961" w:rsidRPr="00D46841" w:rsidRDefault="00911961" w:rsidP="00911961">
      <w:pPr>
        <w:widowControl w:val="0"/>
        <w:kinsoku w:val="0"/>
        <w:overflowPunct w:val="0"/>
        <w:spacing w:after="0"/>
        <w:ind w:right="147"/>
        <w:rPr>
          <w:rFonts w:eastAsiaTheme="minorEastAsia"/>
          <w:i/>
          <w:iCs/>
          <w:lang w:eastAsia="en-NZ"/>
          <w14:ligatures w14:val="standardContextual"/>
        </w:rPr>
      </w:pPr>
      <w:r w:rsidRPr="00D46841">
        <w:rPr>
          <w:rFonts w:eastAsiaTheme="minorEastAsia"/>
          <w:b/>
          <w:bCs/>
          <w:lang w:eastAsia="en-NZ"/>
          <w14:ligatures w14:val="standardContextual"/>
        </w:rPr>
        <w:t xml:space="preserve">The Code of Consumer Engagement (CoE) </w:t>
      </w:r>
      <w:r w:rsidRPr="00D46841">
        <w:rPr>
          <w:rFonts w:eastAsiaTheme="minorEastAsia"/>
          <w:lang w:eastAsia="en-NZ"/>
          <w14:ligatures w14:val="standardContextual"/>
        </w:rPr>
        <w:t xml:space="preserve">– the previous comments remain, sadly, the same - </w:t>
      </w:r>
      <w:r w:rsidRPr="00D46841">
        <w:rPr>
          <w:rFonts w:eastAsiaTheme="minorEastAsia"/>
          <w:i/>
          <w:iCs/>
          <w:lang w:eastAsia="en-NZ"/>
          <w14:ligatures w14:val="standardContextual"/>
        </w:rPr>
        <w:t>is not either supported or not seen as a stand-alone document rather an addition to the QI burden incumbent</w:t>
      </w:r>
      <w:r w:rsidRPr="00D46841">
        <w:rPr>
          <w:rFonts w:eastAsiaTheme="minorEastAsia"/>
          <w:i/>
          <w:iCs/>
          <w:spacing w:val="-3"/>
          <w:lang w:eastAsia="en-NZ"/>
          <w14:ligatures w14:val="standardContextual"/>
        </w:rPr>
        <w:t xml:space="preserve"> </w:t>
      </w:r>
      <w:r w:rsidRPr="00D46841">
        <w:rPr>
          <w:rFonts w:eastAsiaTheme="minorEastAsia"/>
          <w:i/>
          <w:iCs/>
          <w:lang w:eastAsia="en-NZ"/>
          <w14:ligatures w14:val="standardContextual"/>
        </w:rPr>
        <w:t>on</w:t>
      </w:r>
      <w:r w:rsidRPr="00D46841">
        <w:rPr>
          <w:rFonts w:eastAsiaTheme="minorEastAsia"/>
          <w:i/>
          <w:iCs/>
          <w:spacing w:val="-2"/>
          <w:lang w:eastAsia="en-NZ"/>
          <w14:ligatures w14:val="standardContextual"/>
        </w:rPr>
        <w:t xml:space="preserve"> </w:t>
      </w:r>
      <w:r w:rsidRPr="00D46841">
        <w:rPr>
          <w:rFonts w:eastAsiaTheme="minorEastAsia"/>
          <w:i/>
          <w:iCs/>
          <w:lang w:eastAsia="en-NZ"/>
          <w14:ligatures w14:val="standardContextual"/>
        </w:rPr>
        <w:t>the</w:t>
      </w:r>
      <w:r w:rsidRPr="00D46841">
        <w:rPr>
          <w:rFonts w:eastAsiaTheme="minorEastAsia"/>
          <w:i/>
          <w:iCs/>
          <w:spacing w:val="-2"/>
          <w:lang w:eastAsia="en-NZ"/>
          <w14:ligatures w14:val="standardContextual"/>
        </w:rPr>
        <w:t xml:space="preserve"> </w:t>
      </w:r>
      <w:r w:rsidRPr="00D46841">
        <w:rPr>
          <w:rFonts w:eastAsiaTheme="minorEastAsia"/>
          <w:i/>
          <w:iCs/>
          <w:lang w:eastAsia="en-NZ"/>
          <w14:ligatures w14:val="standardContextual"/>
        </w:rPr>
        <w:t>Quality</w:t>
      </w:r>
      <w:r w:rsidRPr="00D46841">
        <w:rPr>
          <w:rFonts w:eastAsiaTheme="minorEastAsia"/>
          <w:i/>
          <w:iCs/>
          <w:spacing w:val="-3"/>
          <w:lang w:eastAsia="en-NZ"/>
          <w14:ligatures w14:val="standardContextual"/>
        </w:rPr>
        <w:t xml:space="preserve"> </w:t>
      </w:r>
      <w:r w:rsidRPr="00D46841">
        <w:rPr>
          <w:rFonts w:eastAsiaTheme="minorEastAsia"/>
          <w:i/>
          <w:iCs/>
          <w:lang w:eastAsia="en-NZ"/>
          <w14:ligatures w14:val="standardContextual"/>
        </w:rPr>
        <w:t>workforce.</w:t>
      </w:r>
      <w:r w:rsidRPr="00D46841">
        <w:rPr>
          <w:rFonts w:eastAsiaTheme="minorEastAsia"/>
          <w:i/>
          <w:iCs/>
          <w:spacing w:val="-4"/>
          <w:lang w:eastAsia="en-NZ"/>
          <w14:ligatures w14:val="standardContextual"/>
        </w:rPr>
        <w:t xml:space="preserve"> </w:t>
      </w:r>
      <w:r w:rsidRPr="00D46841">
        <w:rPr>
          <w:rFonts w:eastAsiaTheme="minorEastAsia"/>
          <w:i/>
          <w:iCs/>
          <w:lang w:eastAsia="en-NZ"/>
          <w14:ligatures w14:val="standardContextual"/>
        </w:rPr>
        <w:t>Resourcing</w:t>
      </w:r>
      <w:r w:rsidRPr="00D46841">
        <w:rPr>
          <w:rFonts w:eastAsiaTheme="minorEastAsia"/>
          <w:i/>
          <w:iCs/>
          <w:spacing w:val="-1"/>
          <w:lang w:eastAsia="en-NZ"/>
          <w14:ligatures w14:val="standardContextual"/>
        </w:rPr>
        <w:t xml:space="preserve"> </w:t>
      </w:r>
      <w:r w:rsidRPr="00D46841">
        <w:rPr>
          <w:rFonts w:eastAsiaTheme="minorEastAsia"/>
          <w:i/>
          <w:iCs/>
          <w:lang w:eastAsia="en-NZ"/>
          <w14:ligatures w14:val="standardContextual"/>
        </w:rPr>
        <w:t>(FTE) is</w:t>
      </w:r>
      <w:r w:rsidRPr="00D46841">
        <w:rPr>
          <w:rFonts w:eastAsiaTheme="minorEastAsia"/>
          <w:i/>
          <w:iCs/>
          <w:spacing w:val="-3"/>
          <w:lang w:eastAsia="en-NZ"/>
          <w14:ligatures w14:val="standardContextual"/>
        </w:rPr>
        <w:t xml:space="preserve"> </w:t>
      </w:r>
      <w:r w:rsidRPr="00D46841">
        <w:rPr>
          <w:rFonts w:eastAsiaTheme="minorEastAsia"/>
          <w:i/>
          <w:iCs/>
          <w:lang w:eastAsia="en-NZ"/>
          <w14:ligatures w14:val="standardContextual"/>
        </w:rPr>
        <w:t>an</w:t>
      </w:r>
      <w:r w:rsidRPr="00D46841">
        <w:rPr>
          <w:rFonts w:eastAsiaTheme="minorEastAsia"/>
          <w:i/>
          <w:iCs/>
          <w:spacing w:val="-3"/>
          <w:lang w:eastAsia="en-NZ"/>
          <w14:ligatures w14:val="standardContextual"/>
        </w:rPr>
        <w:t xml:space="preserve"> </w:t>
      </w:r>
      <w:r w:rsidRPr="00D46841">
        <w:rPr>
          <w:rFonts w:eastAsiaTheme="minorEastAsia"/>
          <w:i/>
          <w:iCs/>
          <w:lang w:eastAsia="en-NZ"/>
          <w14:ligatures w14:val="standardContextual"/>
        </w:rPr>
        <w:t>ongoing</w:t>
      </w:r>
      <w:r w:rsidRPr="00D46841">
        <w:rPr>
          <w:rFonts w:eastAsiaTheme="minorEastAsia"/>
          <w:i/>
          <w:iCs/>
          <w:spacing w:val="-3"/>
          <w:lang w:eastAsia="en-NZ"/>
          <w14:ligatures w14:val="standardContextual"/>
        </w:rPr>
        <w:t xml:space="preserve"> </w:t>
      </w:r>
      <w:r w:rsidRPr="00D46841">
        <w:rPr>
          <w:rFonts w:eastAsiaTheme="minorEastAsia"/>
          <w:i/>
          <w:iCs/>
          <w:lang w:eastAsia="en-NZ"/>
          <w14:ligatures w14:val="standardContextual"/>
        </w:rPr>
        <w:t>issue</w:t>
      </w:r>
      <w:r w:rsidRPr="00D46841">
        <w:rPr>
          <w:rFonts w:eastAsiaTheme="minorEastAsia"/>
          <w:i/>
          <w:iCs/>
          <w:spacing w:val="-5"/>
          <w:lang w:eastAsia="en-NZ"/>
          <w14:ligatures w14:val="standardContextual"/>
        </w:rPr>
        <w:t xml:space="preserve"> </w:t>
      </w:r>
      <w:r w:rsidRPr="00D46841">
        <w:rPr>
          <w:rFonts w:eastAsiaTheme="minorEastAsia"/>
          <w:i/>
          <w:iCs/>
          <w:lang w:eastAsia="en-NZ"/>
          <w14:ligatures w14:val="standardContextual"/>
        </w:rPr>
        <w:t>against</w:t>
      </w:r>
      <w:r w:rsidRPr="00D46841">
        <w:rPr>
          <w:rFonts w:eastAsiaTheme="minorEastAsia"/>
          <w:i/>
          <w:iCs/>
          <w:spacing w:val="-4"/>
          <w:lang w:eastAsia="en-NZ"/>
          <w14:ligatures w14:val="standardContextual"/>
        </w:rPr>
        <w:t xml:space="preserve"> </w:t>
      </w:r>
      <w:r w:rsidRPr="00D46841">
        <w:rPr>
          <w:rFonts w:eastAsiaTheme="minorEastAsia"/>
          <w:i/>
          <w:iCs/>
          <w:lang w:eastAsia="en-NZ"/>
          <w14:ligatures w14:val="standardContextual"/>
        </w:rPr>
        <w:t>the</w:t>
      </w:r>
      <w:r w:rsidRPr="00D46841">
        <w:rPr>
          <w:rFonts w:eastAsiaTheme="minorEastAsia"/>
          <w:i/>
          <w:iCs/>
          <w:spacing w:val="-1"/>
          <w:lang w:eastAsia="en-NZ"/>
          <w14:ligatures w14:val="standardContextual"/>
        </w:rPr>
        <w:t xml:space="preserve"> </w:t>
      </w:r>
      <w:r w:rsidRPr="00D46841">
        <w:rPr>
          <w:rFonts w:eastAsiaTheme="minorEastAsia"/>
          <w:i/>
          <w:iCs/>
          <w:lang w:eastAsia="en-NZ"/>
          <w14:ligatures w14:val="standardContextual"/>
        </w:rPr>
        <w:t>changes</w:t>
      </w:r>
      <w:r w:rsidRPr="00D46841">
        <w:rPr>
          <w:rFonts w:eastAsiaTheme="minorEastAsia"/>
          <w:i/>
          <w:iCs/>
          <w:spacing w:val="-3"/>
          <w:lang w:eastAsia="en-NZ"/>
          <w14:ligatures w14:val="standardContextual"/>
        </w:rPr>
        <w:t xml:space="preserve"> </w:t>
      </w:r>
      <w:r w:rsidRPr="00D46841">
        <w:rPr>
          <w:rFonts w:eastAsiaTheme="minorEastAsia"/>
          <w:i/>
          <w:iCs/>
          <w:lang w:eastAsia="en-NZ"/>
          <w14:ligatures w14:val="standardContextual"/>
        </w:rPr>
        <w:t>to</w:t>
      </w:r>
      <w:r w:rsidRPr="00D46841">
        <w:rPr>
          <w:rFonts w:eastAsiaTheme="minorEastAsia"/>
          <w:i/>
          <w:iCs/>
          <w:spacing w:val="-5"/>
          <w:lang w:eastAsia="en-NZ"/>
          <w14:ligatures w14:val="standardContextual"/>
        </w:rPr>
        <w:t xml:space="preserve"> </w:t>
      </w:r>
      <w:r w:rsidRPr="00D46841">
        <w:rPr>
          <w:rFonts w:eastAsiaTheme="minorEastAsia"/>
          <w:i/>
          <w:iCs/>
          <w:lang w:eastAsia="en-NZ"/>
          <w14:ligatures w14:val="standardContextual"/>
        </w:rPr>
        <w:t xml:space="preserve">Te Whatu Ora operating models and ongoing consultation. For example, FTE redirected away from supporting CAG with recruitment plan to the QSM data upload to </w:t>
      </w:r>
      <w:proofErr w:type="spellStart"/>
      <w:r w:rsidR="00A20A7D">
        <w:rPr>
          <w:rFonts w:eastAsiaTheme="minorEastAsia"/>
          <w:i/>
          <w:iCs/>
          <w:lang w:eastAsia="en-NZ"/>
          <w14:ligatures w14:val="standardContextual"/>
        </w:rPr>
        <w:t>Te</w:t>
      </w:r>
      <w:proofErr w:type="spellEnd"/>
      <w:r w:rsidR="00A20A7D">
        <w:rPr>
          <w:rFonts w:eastAsiaTheme="minorEastAsia"/>
          <w:i/>
          <w:iCs/>
          <w:lang w:eastAsia="en-NZ"/>
          <w14:ligatures w14:val="standardContextual"/>
        </w:rPr>
        <w:t xml:space="preserve"> </w:t>
      </w:r>
      <w:proofErr w:type="spellStart"/>
      <w:r w:rsidR="00A20A7D">
        <w:rPr>
          <w:rFonts w:eastAsiaTheme="minorEastAsia"/>
          <w:i/>
          <w:iCs/>
          <w:lang w:eastAsia="en-NZ"/>
          <w14:ligatures w14:val="standardContextual"/>
        </w:rPr>
        <w:t>Tāhū</w:t>
      </w:r>
      <w:proofErr w:type="spellEnd"/>
      <w:r w:rsidR="00A20A7D">
        <w:rPr>
          <w:rFonts w:eastAsiaTheme="minorEastAsia"/>
          <w:i/>
          <w:iCs/>
          <w:lang w:eastAsia="en-NZ"/>
          <w14:ligatures w14:val="standardContextual"/>
        </w:rPr>
        <w:t xml:space="preserve"> Hauora</w:t>
      </w:r>
      <w:r w:rsidRPr="00D46841">
        <w:rPr>
          <w:rFonts w:eastAsiaTheme="minorEastAsia"/>
          <w:i/>
          <w:iCs/>
          <w:lang w:eastAsia="en-NZ"/>
          <w14:ligatures w14:val="standardContextual"/>
        </w:rPr>
        <w:t>. The ELT has not engaged as per (as example) CoE Clause 1.4 share leadership: knowledge and expertise drawn from lived experience are valued equally alongside clinical and other knowledge.</w:t>
      </w:r>
    </w:p>
    <w:p w14:paraId="4885A15E" w14:textId="77777777" w:rsidR="00911961" w:rsidRPr="00D46841" w:rsidRDefault="00911961" w:rsidP="00911961">
      <w:pPr>
        <w:widowControl w:val="0"/>
        <w:kinsoku w:val="0"/>
        <w:overflowPunct w:val="0"/>
        <w:spacing w:before="5" w:after="0" w:line="240" w:lineRule="auto"/>
        <w:rPr>
          <w:rFonts w:eastAsiaTheme="minorEastAsia"/>
          <w:i/>
          <w:iCs/>
          <w:lang w:eastAsia="en-NZ"/>
          <w14:ligatures w14:val="standardContextual"/>
        </w:rPr>
      </w:pPr>
    </w:p>
    <w:p w14:paraId="498C706F" w14:textId="77777777" w:rsidR="00911961" w:rsidRPr="00D46841" w:rsidRDefault="00911961" w:rsidP="00911961">
      <w:pPr>
        <w:widowControl w:val="0"/>
        <w:kinsoku w:val="0"/>
        <w:overflowPunct w:val="0"/>
        <w:spacing w:before="1" w:after="0"/>
        <w:rPr>
          <w:rFonts w:eastAsiaTheme="minorEastAsia"/>
          <w:lang w:eastAsia="en-NZ"/>
          <w14:ligatures w14:val="standardContextual"/>
        </w:rPr>
      </w:pPr>
      <w:r w:rsidRPr="00D46841">
        <w:rPr>
          <w:rFonts w:eastAsiaTheme="minorEastAsia"/>
          <w:lang w:eastAsia="en-NZ"/>
          <w14:ligatures w14:val="standardContextual"/>
        </w:rPr>
        <w:t>I acknowledge the workforce stress regarding the latest reiteration of the consultation docs from HSS and IIS and the impact upon our rural workforce. The resourcing for consumer engagement is undertaken</w:t>
      </w:r>
      <w:r w:rsidRPr="00D46841">
        <w:rPr>
          <w:rFonts w:eastAsiaTheme="minorEastAsia"/>
          <w:spacing w:val="-3"/>
          <w:lang w:eastAsia="en-NZ"/>
          <w14:ligatures w14:val="standardContextual"/>
        </w:rPr>
        <w:t xml:space="preserve"> </w:t>
      </w:r>
      <w:r w:rsidRPr="00D46841">
        <w:rPr>
          <w:rFonts w:eastAsiaTheme="minorEastAsia"/>
          <w:lang w:eastAsia="en-NZ"/>
          <w14:ligatures w14:val="standardContextual"/>
        </w:rPr>
        <w:t>by</w:t>
      </w:r>
      <w:r w:rsidRPr="00D46841">
        <w:rPr>
          <w:rFonts w:eastAsiaTheme="minorEastAsia"/>
          <w:spacing w:val="-3"/>
          <w:lang w:eastAsia="en-NZ"/>
          <w14:ligatures w14:val="standardContextual"/>
        </w:rPr>
        <w:t xml:space="preserve"> </w:t>
      </w:r>
      <w:r w:rsidRPr="00D46841">
        <w:rPr>
          <w:rFonts w:eastAsiaTheme="minorEastAsia"/>
          <w:lang w:eastAsia="en-NZ"/>
          <w14:ligatures w14:val="standardContextual"/>
        </w:rPr>
        <w:t>one</w:t>
      </w:r>
      <w:r w:rsidRPr="00D46841">
        <w:rPr>
          <w:rFonts w:eastAsiaTheme="minorEastAsia"/>
          <w:spacing w:val="-2"/>
          <w:lang w:eastAsia="en-NZ"/>
          <w14:ligatures w14:val="standardContextual"/>
        </w:rPr>
        <w:t xml:space="preserve"> </w:t>
      </w:r>
      <w:r w:rsidRPr="00D46841">
        <w:rPr>
          <w:rFonts w:eastAsiaTheme="minorEastAsia"/>
          <w:lang w:eastAsia="en-NZ"/>
          <w14:ligatures w14:val="standardContextual"/>
        </w:rPr>
        <w:t>staff,</w:t>
      </w:r>
      <w:r w:rsidRPr="00D46841">
        <w:rPr>
          <w:rFonts w:eastAsiaTheme="minorEastAsia"/>
          <w:spacing w:val="-2"/>
          <w:lang w:eastAsia="en-NZ"/>
          <w14:ligatures w14:val="standardContextual"/>
        </w:rPr>
        <w:t xml:space="preserve"> </w:t>
      </w:r>
      <w:r w:rsidRPr="00D46841">
        <w:rPr>
          <w:rFonts w:eastAsiaTheme="minorEastAsia"/>
          <w:lang w:eastAsia="en-NZ"/>
          <w14:ligatures w14:val="standardContextual"/>
        </w:rPr>
        <w:t>often</w:t>
      </w:r>
      <w:r w:rsidRPr="00D46841">
        <w:rPr>
          <w:rFonts w:eastAsiaTheme="minorEastAsia"/>
          <w:spacing w:val="-5"/>
          <w:lang w:eastAsia="en-NZ"/>
          <w14:ligatures w14:val="standardContextual"/>
        </w:rPr>
        <w:t xml:space="preserve"> </w:t>
      </w:r>
      <w:r w:rsidRPr="00D46841">
        <w:rPr>
          <w:rFonts w:eastAsiaTheme="minorEastAsia"/>
          <w:lang w:eastAsia="en-NZ"/>
          <w14:ligatures w14:val="standardContextual"/>
        </w:rPr>
        <w:t>having</w:t>
      </w:r>
      <w:r w:rsidRPr="00D46841">
        <w:rPr>
          <w:rFonts w:eastAsiaTheme="minorEastAsia"/>
          <w:spacing w:val="-2"/>
          <w:lang w:eastAsia="en-NZ"/>
          <w14:ligatures w14:val="standardContextual"/>
        </w:rPr>
        <w:t xml:space="preserve"> </w:t>
      </w:r>
      <w:r w:rsidRPr="00D46841">
        <w:rPr>
          <w:rFonts w:eastAsiaTheme="minorEastAsia"/>
          <w:lang w:eastAsia="en-NZ"/>
          <w14:ligatures w14:val="standardContextual"/>
        </w:rPr>
        <w:t>multiple</w:t>
      </w:r>
      <w:r w:rsidRPr="00D46841">
        <w:rPr>
          <w:rFonts w:eastAsiaTheme="minorEastAsia"/>
          <w:spacing w:val="-4"/>
          <w:lang w:eastAsia="en-NZ"/>
          <w14:ligatures w14:val="standardContextual"/>
        </w:rPr>
        <w:t xml:space="preserve"> </w:t>
      </w:r>
      <w:r w:rsidRPr="00D46841">
        <w:rPr>
          <w:rFonts w:eastAsiaTheme="minorEastAsia"/>
          <w:lang w:eastAsia="en-NZ"/>
          <w14:ligatures w14:val="standardContextual"/>
        </w:rPr>
        <w:t>FTE fractions and</w:t>
      </w:r>
      <w:r w:rsidRPr="00D46841">
        <w:rPr>
          <w:rFonts w:eastAsiaTheme="minorEastAsia"/>
          <w:spacing w:val="-2"/>
          <w:lang w:eastAsia="en-NZ"/>
          <w14:ligatures w14:val="standardContextual"/>
        </w:rPr>
        <w:t xml:space="preserve"> </w:t>
      </w:r>
      <w:r w:rsidRPr="00D46841">
        <w:rPr>
          <w:rFonts w:eastAsiaTheme="minorEastAsia"/>
          <w:lang w:eastAsia="en-NZ"/>
          <w14:ligatures w14:val="standardContextual"/>
        </w:rPr>
        <w:t>facets</w:t>
      </w:r>
      <w:r w:rsidRPr="00D46841">
        <w:rPr>
          <w:rFonts w:eastAsiaTheme="minorEastAsia"/>
          <w:spacing w:val="-3"/>
          <w:lang w:eastAsia="en-NZ"/>
          <w14:ligatures w14:val="standardContextual"/>
        </w:rPr>
        <w:t xml:space="preserve"> </w:t>
      </w:r>
      <w:r w:rsidRPr="00D46841">
        <w:rPr>
          <w:rFonts w:eastAsiaTheme="minorEastAsia"/>
          <w:lang w:eastAsia="en-NZ"/>
          <w14:ligatures w14:val="standardContextual"/>
        </w:rPr>
        <w:t>to</w:t>
      </w:r>
      <w:r w:rsidRPr="00D46841">
        <w:rPr>
          <w:rFonts w:eastAsiaTheme="minorEastAsia"/>
          <w:spacing w:val="-2"/>
          <w:lang w:eastAsia="en-NZ"/>
          <w14:ligatures w14:val="standardContextual"/>
        </w:rPr>
        <w:t xml:space="preserve"> </w:t>
      </w:r>
      <w:r w:rsidRPr="00D46841">
        <w:rPr>
          <w:rFonts w:eastAsiaTheme="minorEastAsia"/>
          <w:lang w:eastAsia="en-NZ"/>
          <w14:ligatures w14:val="standardContextual"/>
        </w:rPr>
        <w:t>their</w:t>
      </w:r>
      <w:r w:rsidRPr="00D46841">
        <w:rPr>
          <w:rFonts w:eastAsiaTheme="minorEastAsia"/>
          <w:spacing w:val="-3"/>
          <w:lang w:eastAsia="en-NZ"/>
          <w14:ligatures w14:val="standardContextual"/>
        </w:rPr>
        <w:t xml:space="preserve"> </w:t>
      </w:r>
      <w:r w:rsidRPr="00D46841">
        <w:rPr>
          <w:rFonts w:eastAsiaTheme="minorEastAsia"/>
          <w:lang w:eastAsia="en-NZ"/>
          <w14:ligatures w14:val="standardContextual"/>
        </w:rPr>
        <w:t>job with</w:t>
      </w:r>
      <w:r w:rsidRPr="00D46841">
        <w:rPr>
          <w:rFonts w:eastAsiaTheme="minorEastAsia"/>
          <w:spacing w:val="-1"/>
          <w:lang w:eastAsia="en-NZ"/>
          <w14:ligatures w14:val="standardContextual"/>
        </w:rPr>
        <w:t xml:space="preserve"> </w:t>
      </w:r>
      <w:r w:rsidRPr="00D46841">
        <w:rPr>
          <w:rFonts w:eastAsiaTheme="minorEastAsia"/>
          <w:lang w:eastAsia="en-NZ"/>
          <w14:ligatures w14:val="standardContextual"/>
        </w:rPr>
        <w:t>more</w:t>
      </w:r>
      <w:r w:rsidRPr="00D46841">
        <w:rPr>
          <w:rFonts w:eastAsiaTheme="minorEastAsia"/>
          <w:spacing w:val="-2"/>
          <w:lang w:eastAsia="en-NZ"/>
          <w14:ligatures w14:val="standardContextual"/>
        </w:rPr>
        <w:t xml:space="preserve"> </w:t>
      </w:r>
      <w:r w:rsidRPr="00D46841">
        <w:rPr>
          <w:rFonts w:eastAsiaTheme="minorEastAsia"/>
          <w:lang w:eastAsia="en-NZ"/>
          <w14:ligatures w14:val="standardContextual"/>
        </w:rPr>
        <w:t>than</w:t>
      </w:r>
      <w:r w:rsidRPr="00D46841">
        <w:rPr>
          <w:rFonts w:eastAsiaTheme="minorEastAsia"/>
          <w:spacing w:val="-4"/>
          <w:lang w:eastAsia="en-NZ"/>
          <w14:ligatures w14:val="standardContextual"/>
        </w:rPr>
        <w:t xml:space="preserve"> </w:t>
      </w:r>
      <w:r w:rsidRPr="00D46841">
        <w:rPr>
          <w:rFonts w:eastAsiaTheme="minorEastAsia"/>
          <w:lang w:eastAsia="en-NZ"/>
          <w14:ligatures w14:val="standardContextual"/>
        </w:rPr>
        <w:t xml:space="preserve">one reporting line. We await the final organisational map, but the pressure on workforce and remaining </w:t>
      </w:r>
      <w:r>
        <w:rPr>
          <w:rFonts w:eastAsiaTheme="minorEastAsia"/>
          <w:lang w:eastAsia="en-NZ"/>
          <w14:ligatures w14:val="standardContextual"/>
        </w:rPr>
        <w:t>M</w:t>
      </w:r>
      <w:r w:rsidRPr="00D46841">
        <w:rPr>
          <w:rFonts w:eastAsiaTheme="minorEastAsia"/>
          <w:lang w:eastAsia="en-NZ"/>
          <w14:ligatures w14:val="standardContextual"/>
        </w:rPr>
        <w:t>angers is a definite factor in the resultant minimal consumer engagement and wider support in Te Whatu Ora – West Coast.</w:t>
      </w:r>
    </w:p>
    <w:p w14:paraId="2BC231A2" w14:textId="77777777" w:rsidR="00911961" w:rsidRDefault="00911961" w:rsidP="00911961">
      <w:pPr>
        <w:spacing w:after="0"/>
        <w:jc w:val="both"/>
        <w:rPr>
          <w:b/>
          <w:i/>
          <w:iCs/>
        </w:rPr>
      </w:pPr>
    </w:p>
    <w:p w14:paraId="53F6EF7D" w14:textId="77777777" w:rsidR="00911961" w:rsidRDefault="00911961" w:rsidP="00911961">
      <w:pPr>
        <w:spacing w:after="0"/>
        <w:jc w:val="both"/>
        <w:rPr>
          <w:b/>
        </w:rPr>
      </w:pPr>
      <w:r w:rsidRPr="002D0802">
        <w:rPr>
          <w:b/>
        </w:rPr>
        <w:t xml:space="preserve">COVID-19 comments. </w:t>
      </w:r>
    </w:p>
    <w:p w14:paraId="434E6DDE" w14:textId="77777777" w:rsidR="00911961" w:rsidRPr="002D0802" w:rsidRDefault="00911961" w:rsidP="00911961">
      <w:pPr>
        <w:spacing w:after="0"/>
        <w:jc w:val="both"/>
        <w:rPr>
          <w:b/>
        </w:rPr>
      </w:pPr>
    </w:p>
    <w:p w14:paraId="32D9C739" w14:textId="77777777" w:rsidR="00911961" w:rsidRDefault="00911961" w:rsidP="00911961">
      <w:pPr>
        <w:widowControl w:val="0"/>
        <w:kinsoku w:val="0"/>
        <w:overflowPunct w:val="0"/>
        <w:spacing w:after="0"/>
        <w:ind w:right="249"/>
        <w:rPr>
          <w:rFonts w:eastAsiaTheme="minorEastAsia"/>
          <w:lang w:eastAsia="en-NZ"/>
          <w14:ligatures w14:val="standardContextual"/>
        </w:rPr>
      </w:pPr>
      <w:r w:rsidRPr="008A5B10">
        <w:rPr>
          <w:rFonts w:eastAsiaTheme="minorEastAsia"/>
          <w:lang w:eastAsia="en-NZ"/>
          <w14:ligatures w14:val="standardContextual"/>
        </w:rPr>
        <w:t xml:space="preserve">There are still COVID cases, as well as seasonal flu cases, coming in via unplanned care and to health centre maintaining the pressure on health of workforce. There are some </w:t>
      </w:r>
      <w:r w:rsidRPr="008A5B10">
        <w:rPr>
          <w:rFonts w:eastAsiaTheme="minorEastAsia"/>
          <w:lang w:eastAsia="en-NZ"/>
          <w14:ligatures w14:val="standardContextual"/>
        </w:rPr>
        <w:lastRenderedPageBreak/>
        <w:t>positive BAU programmes as such in the link here</w:t>
      </w:r>
      <w:r>
        <w:rPr>
          <w:rFonts w:eastAsiaTheme="minorEastAsia"/>
          <w:lang w:eastAsia="en-NZ"/>
          <w14:ligatures w14:val="standardContextual"/>
        </w:rPr>
        <w:t>:</w:t>
      </w:r>
    </w:p>
    <w:p w14:paraId="67BCACEC" w14:textId="77777777" w:rsidR="00911961" w:rsidRPr="008A5B10" w:rsidRDefault="00000000" w:rsidP="00911961">
      <w:pPr>
        <w:widowControl w:val="0"/>
        <w:kinsoku w:val="0"/>
        <w:overflowPunct w:val="0"/>
        <w:spacing w:after="0"/>
        <w:ind w:right="249"/>
        <w:rPr>
          <w:rFonts w:eastAsiaTheme="minorEastAsia"/>
          <w:color w:val="000000"/>
          <w:lang w:eastAsia="en-NZ"/>
          <w14:ligatures w14:val="standardContextual"/>
        </w:rPr>
      </w:pPr>
      <w:hyperlink r:id="rId24" w:history="1">
        <w:r w:rsidR="00911961" w:rsidRPr="008A5B10">
          <w:rPr>
            <w:rFonts w:eastAsiaTheme="minorEastAsia"/>
            <w:color w:val="0000FF"/>
            <w:u w:val="single"/>
            <w:lang w:eastAsia="en-NZ"/>
            <w14:ligatures w14:val="standardContextual"/>
          </w:rPr>
          <w:t>https://vaccinatecanterburywestcoast.nz/covid-19-vaccination-</w:t>
        </w:r>
      </w:hyperlink>
      <w:r w:rsidR="00911961" w:rsidRPr="008A5B10">
        <w:rPr>
          <w:rFonts w:eastAsiaTheme="minorEastAsia"/>
          <w:color w:val="0000FF"/>
          <w:lang w:eastAsia="en-NZ"/>
          <w14:ligatures w14:val="standardContextual"/>
        </w:rPr>
        <w:t xml:space="preserve"> </w:t>
      </w:r>
      <w:hyperlink r:id="rId25" w:history="1">
        <w:r w:rsidR="00911961" w:rsidRPr="008A5B10">
          <w:rPr>
            <w:rFonts w:eastAsiaTheme="minorEastAsia"/>
            <w:color w:val="0000FF"/>
            <w:u w:val="single"/>
            <w:lang w:eastAsia="en-NZ"/>
            <w14:ligatures w14:val="standardContextual"/>
          </w:rPr>
          <w:t>clinic-locations-on-the-west-coast/</w:t>
        </w:r>
      </w:hyperlink>
      <w:r w:rsidR="00911961" w:rsidRPr="008A5B10">
        <w:rPr>
          <w:rFonts w:eastAsiaTheme="minorEastAsia"/>
          <w:color w:val="0000FF"/>
          <w:spacing w:val="-5"/>
          <w:lang w:eastAsia="en-NZ"/>
          <w14:ligatures w14:val="standardContextual"/>
        </w:rPr>
        <w:t xml:space="preserve"> </w:t>
      </w:r>
      <w:r w:rsidR="00911961" w:rsidRPr="008A5B10">
        <w:rPr>
          <w:rFonts w:eastAsiaTheme="minorEastAsia"/>
          <w:color w:val="000000"/>
          <w:lang w:eastAsia="en-NZ"/>
          <w14:ligatures w14:val="standardContextual"/>
        </w:rPr>
        <w:t>which</w:t>
      </w:r>
      <w:r w:rsidR="00911961" w:rsidRPr="008A5B10">
        <w:rPr>
          <w:rFonts w:eastAsiaTheme="minorEastAsia"/>
          <w:color w:val="000000"/>
          <w:spacing w:val="-3"/>
          <w:lang w:eastAsia="en-NZ"/>
          <w14:ligatures w14:val="standardContextual"/>
        </w:rPr>
        <w:t xml:space="preserve"> </w:t>
      </w:r>
      <w:r w:rsidR="00911961" w:rsidRPr="008A5B10">
        <w:rPr>
          <w:rFonts w:eastAsiaTheme="minorEastAsia"/>
          <w:color w:val="000000"/>
          <w:lang w:eastAsia="en-NZ"/>
          <w14:ligatures w14:val="standardContextual"/>
        </w:rPr>
        <w:t>includes</w:t>
      </w:r>
      <w:r w:rsidR="00911961" w:rsidRPr="008A5B10">
        <w:rPr>
          <w:rFonts w:eastAsiaTheme="minorEastAsia"/>
          <w:color w:val="000000"/>
          <w:spacing w:val="-4"/>
          <w:lang w:eastAsia="en-NZ"/>
          <w14:ligatures w14:val="standardContextual"/>
        </w:rPr>
        <w:t xml:space="preserve"> </w:t>
      </w:r>
      <w:r w:rsidR="00911961" w:rsidRPr="008A5B10">
        <w:rPr>
          <w:rFonts w:eastAsiaTheme="minorEastAsia"/>
          <w:color w:val="000000"/>
          <w:lang w:eastAsia="en-NZ"/>
          <w14:ligatures w14:val="standardContextual"/>
        </w:rPr>
        <w:t>the</w:t>
      </w:r>
      <w:r w:rsidR="00911961" w:rsidRPr="008A5B10">
        <w:rPr>
          <w:rFonts w:eastAsiaTheme="minorEastAsia"/>
          <w:color w:val="000000"/>
          <w:spacing w:val="-3"/>
          <w:lang w:eastAsia="en-NZ"/>
          <w14:ligatures w14:val="standardContextual"/>
        </w:rPr>
        <w:t xml:space="preserve"> </w:t>
      </w:r>
      <w:r w:rsidR="00911961" w:rsidRPr="008A5B10">
        <w:rPr>
          <w:rFonts w:eastAsiaTheme="minorEastAsia"/>
          <w:color w:val="000000"/>
          <w:lang w:eastAsia="en-NZ"/>
          <w14:ligatures w14:val="standardContextual"/>
        </w:rPr>
        <w:t>flu</w:t>
      </w:r>
      <w:r w:rsidR="00911961" w:rsidRPr="008A5B10">
        <w:rPr>
          <w:rFonts w:eastAsiaTheme="minorEastAsia"/>
          <w:color w:val="000000"/>
          <w:spacing w:val="-5"/>
          <w:lang w:eastAsia="en-NZ"/>
          <w14:ligatures w14:val="standardContextual"/>
        </w:rPr>
        <w:t xml:space="preserve"> </w:t>
      </w:r>
      <w:r w:rsidR="00911961" w:rsidRPr="008A5B10">
        <w:rPr>
          <w:rFonts w:eastAsiaTheme="minorEastAsia"/>
          <w:color w:val="000000"/>
          <w:lang w:eastAsia="en-NZ"/>
          <w14:ligatures w14:val="standardContextual"/>
        </w:rPr>
        <w:t>jabs</w:t>
      </w:r>
      <w:r w:rsidR="00911961" w:rsidRPr="008A5B10">
        <w:rPr>
          <w:rFonts w:eastAsiaTheme="minorEastAsia"/>
          <w:color w:val="000000"/>
          <w:spacing w:val="-4"/>
          <w:lang w:eastAsia="en-NZ"/>
          <w14:ligatures w14:val="standardContextual"/>
        </w:rPr>
        <w:t xml:space="preserve"> </w:t>
      </w:r>
      <w:r w:rsidR="00911961" w:rsidRPr="008A5B10">
        <w:rPr>
          <w:rFonts w:eastAsiaTheme="minorEastAsia"/>
          <w:color w:val="000000"/>
          <w:lang w:eastAsia="en-NZ"/>
          <w14:ligatures w14:val="standardContextual"/>
        </w:rPr>
        <w:t>too,</w:t>
      </w:r>
      <w:r w:rsidR="00911961" w:rsidRPr="008A5B10">
        <w:rPr>
          <w:rFonts w:eastAsiaTheme="minorEastAsia"/>
          <w:color w:val="000000"/>
          <w:spacing w:val="-2"/>
          <w:lang w:eastAsia="en-NZ"/>
          <w14:ligatures w14:val="standardContextual"/>
        </w:rPr>
        <w:t xml:space="preserve"> </w:t>
      </w:r>
      <w:r w:rsidR="00911961" w:rsidRPr="008A5B10">
        <w:rPr>
          <w:rFonts w:eastAsiaTheme="minorEastAsia"/>
          <w:color w:val="000000"/>
          <w:lang w:eastAsia="en-NZ"/>
          <w14:ligatures w14:val="standardContextual"/>
        </w:rPr>
        <w:t>with</w:t>
      </w:r>
      <w:r w:rsidR="00911961" w:rsidRPr="008A5B10">
        <w:rPr>
          <w:rFonts w:eastAsiaTheme="minorEastAsia"/>
          <w:color w:val="000000"/>
          <w:spacing w:val="-6"/>
          <w:lang w:eastAsia="en-NZ"/>
          <w14:ligatures w14:val="standardContextual"/>
        </w:rPr>
        <w:t xml:space="preserve"> </w:t>
      </w:r>
      <w:r w:rsidR="00911961" w:rsidRPr="008A5B10">
        <w:rPr>
          <w:rFonts w:eastAsiaTheme="minorEastAsia"/>
          <w:color w:val="000000"/>
          <w:lang w:eastAsia="en-NZ"/>
          <w14:ligatures w14:val="standardContextual"/>
        </w:rPr>
        <w:t>particular</w:t>
      </w:r>
      <w:r w:rsidR="00911961" w:rsidRPr="008A5B10">
        <w:rPr>
          <w:rFonts w:eastAsiaTheme="minorEastAsia"/>
          <w:color w:val="000000"/>
          <w:spacing w:val="-5"/>
          <w:lang w:eastAsia="en-NZ"/>
          <w14:ligatures w14:val="standardContextual"/>
        </w:rPr>
        <w:t xml:space="preserve"> </w:t>
      </w:r>
      <w:r w:rsidR="00911961" w:rsidRPr="008A5B10">
        <w:rPr>
          <w:rFonts w:eastAsiaTheme="minorEastAsia"/>
          <w:color w:val="000000"/>
          <w:lang w:eastAsia="en-NZ"/>
          <w14:ligatures w14:val="standardContextual"/>
        </w:rPr>
        <w:t>focus</w:t>
      </w:r>
      <w:r w:rsidR="00911961" w:rsidRPr="008A5B10">
        <w:rPr>
          <w:rFonts w:eastAsiaTheme="minorEastAsia"/>
          <w:color w:val="000000"/>
          <w:spacing w:val="-4"/>
          <w:lang w:eastAsia="en-NZ"/>
          <w14:ligatures w14:val="standardContextual"/>
        </w:rPr>
        <w:t xml:space="preserve"> </w:t>
      </w:r>
      <w:r w:rsidR="00911961" w:rsidRPr="008A5B10">
        <w:rPr>
          <w:rFonts w:eastAsiaTheme="minorEastAsia"/>
          <w:color w:val="000000"/>
          <w:lang w:eastAsia="en-NZ"/>
          <w14:ligatures w14:val="standardContextual"/>
        </w:rPr>
        <w:t>on</w:t>
      </w:r>
      <w:r w:rsidR="00911961" w:rsidRPr="008A5B10">
        <w:rPr>
          <w:rFonts w:eastAsiaTheme="minorEastAsia"/>
          <w:color w:val="000000"/>
          <w:spacing w:val="-6"/>
          <w:lang w:eastAsia="en-NZ"/>
          <w14:ligatures w14:val="standardContextual"/>
        </w:rPr>
        <w:t xml:space="preserve"> </w:t>
      </w:r>
      <w:r w:rsidR="00911961" w:rsidRPr="008A5B10">
        <w:rPr>
          <w:rFonts w:eastAsiaTheme="minorEastAsia"/>
          <w:color w:val="000000"/>
          <w:lang w:eastAsia="en-NZ"/>
          <w14:ligatures w14:val="standardContextual"/>
        </w:rPr>
        <w:t>vulnerable populations here on the West Coast.</w:t>
      </w:r>
    </w:p>
    <w:p w14:paraId="4C42C40F" w14:textId="77777777" w:rsidR="00911961" w:rsidRDefault="00911961" w:rsidP="00911961">
      <w:pPr>
        <w:widowControl w:val="0"/>
        <w:kinsoku w:val="0"/>
        <w:overflowPunct w:val="0"/>
        <w:spacing w:after="0"/>
        <w:ind w:right="249"/>
        <w:rPr>
          <w:rFonts w:eastAsiaTheme="minorEastAsia"/>
          <w:color w:val="000000"/>
          <w:lang w:eastAsia="en-NZ"/>
          <w14:ligatures w14:val="standardContextual"/>
        </w:rPr>
      </w:pPr>
    </w:p>
    <w:p w14:paraId="386843A0" w14:textId="77777777" w:rsidR="00911961" w:rsidRPr="004D16A1" w:rsidRDefault="00911961" w:rsidP="00911961">
      <w:pPr>
        <w:widowControl w:val="0"/>
        <w:kinsoku w:val="0"/>
        <w:overflowPunct w:val="0"/>
        <w:spacing w:after="0" w:line="240" w:lineRule="auto"/>
        <w:outlineLvl w:val="0"/>
        <w:rPr>
          <w:rFonts w:eastAsiaTheme="minorEastAsia"/>
          <w:b/>
          <w:bCs/>
          <w:spacing w:val="-2"/>
          <w:lang w:eastAsia="en-NZ"/>
          <w14:ligatures w14:val="standardContextual"/>
        </w:rPr>
      </w:pPr>
      <w:r w:rsidRPr="004D16A1">
        <w:rPr>
          <w:rFonts w:eastAsiaTheme="minorEastAsia"/>
          <w:b/>
          <w:bCs/>
          <w:lang w:eastAsia="en-NZ"/>
          <w14:ligatures w14:val="standardContextual"/>
        </w:rPr>
        <w:t>National</w:t>
      </w:r>
      <w:r w:rsidRPr="004D16A1">
        <w:rPr>
          <w:rFonts w:eastAsiaTheme="minorEastAsia"/>
          <w:b/>
          <w:bCs/>
          <w:spacing w:val="-8"/>
          <w:lang w:eastAsia="en-NZ"/>
          <w14:ligatures w14:val="standardContextual"/>
        </w:rPr>
        <w:t xml:space="preserve"> </w:t>
      </w:r>
      <w:r w:rsidRPr="004D16A1">
        <w:rPr>
          <w:rFonts w:eastAsiaTheme="minorEastAsia"/>
          <w:b/>
          <w:bCs/>
          <w:lang w:eastAsia="en-NZ"/>
          <w14:ligatures w14:val="standardContextual"/>
        </w:rPr>
        <w:t>Consumer</w:t>
      </w:r>
      <w:r w:rsidRPr="004D16A1">
        <w:rPr>
          <w:rFonts w:eastAsiaTheme="minorEastAsia"/>
          <w:b/>
          <w:bCs/>
          <w:spacing w:val="-8"/>
          <w:lang w:eastAsia="en-NZ"/>
          <w14:ligatures w14:val="standardContextual"/>
        </w:rPr>
        <w:t xml:space="preserve"> </w:t>
      </w:r>
      <w:r w:rsidRPr="004D16A1">
        <w:rPr>
          <w:rFonts w:eastAsiaTheme="minorEastAsia"/>
          <w:b/>
          <w:bCs/>
          <w:lang w:eastAsia="en-NZ"/>
          <w14:ligatures w14:val="standardContextual"/>
        </w:rPr>
        <w:t>(Councils)</w:t>
      </w:r>
      <w:r w:rsidRPr="004D16A1">
        <w:rPr>
          <w:rFonts w:eastAsiaTheme="minorEastAsia"/>
          <w:b/>
          <w:bCs/>
          <w:spacing w:val="-8"/>
          <w:lang w:eastAsia="en-NZ"/>
          <w14:ligatures w14:val="standardContextual"/>
        </w:rPr>
        <w:t xml:space="preserve"> </w:t>
      </w:r>
      <w:r w:rsidRPr="004D16A1">
        <w:rPr>
          <w:rFonts w:eastAsiaTheme="minorEastAsia"/>
          <w:b/>
          <w:bCs/>
          <w:spacing w:val="-2"/>
          <w:lang w:eastAsia="en-NZ"/>
          <w14:ligatures w14:val="standardContextual"/>
        </w:rPr>
        <w:t>Group</w:t>
      </w:r>
    </w:p>
    <w:p w14:paraId="12F7123E" w14:textId="77777777" w:rsidR="00911961" w:rsidRPr="004D16A1" w:rsidRDefault="00911961" w:rsidP="00911961">
      <w:pPr>
        <w:widowControl w:val="0"/>
        <w:kinsoku w:val="0"/>
        <w:overflowPunct w:val="0"/>
        <w:spacing w:before="4" w:after="0" w:line="240" w:lineRule="auto"/>
        <w:rPr>
          <w:rFonts w:eastAsiaTheme="minorEastAsia"/>
          <w:b/>
          <w:bCs/>
          <w:sz w:val="20"/>
          <w:szCs w:val="20"/>
          <w:lang w:eastAsia="en-NZ"/>
          <w14:ligatures w14:val="standardContextual"/>
        </w:rPr>
      </w:pPr>
    </w:p>
    <w:p w14:paraId="2B838215" w14:textId="77777777" w:rsidR="00911961" w:rsidRPr="004D16A1" w:rsidRDefault="00911961" w:rsidP="00911961">
      <w:pPr>
        <w:widowControl w:val="0"/>
        <w:kinsoku w:val="0"/>
        <w:overflowPunct w:val="0"/>
        <w:spacing w:after="0"/>
        <w:ind w:right="147"/>
        <w:rPr>
          <w:rFonts w:eastAsiaTheme="minorEastAsia"/>
          <w:lang w:eastAsia="en-NZ"/>
          <w14:ligatures w14:val="standardContextual"/>
        </w:rPr>
      </w:pPr>
      <w:r w:rsidRPr="004D16A1">
        <w:rPr>
          <w:rFonts w:eastAsiaTheme="minorEastAsia"/>
          <w:lang w:eastAsia="en-NZ"/>
          <w14:ligatures w14:val="standardContextual"/>
        </w:rPr>
        <w:t>The group continues to establish focal points for national projects and advice is now being sought internally from Te Whatu Ora national group of what best practise could look like for consumer engagement,</w:t>
      </w:r>
      <w:r w:rsidRPr="004D16A1">
        <w:rPr>
          <w:rFonts w:eastAsiaTheme="minorEastAsia"/>
          <w:spacing w:val="-4"/>
          <w:lang w:eastAsia="en-NZ"/>
          <w14:ligatures w14:val="standardContextual"/>
        </w:rPr>
        <w:t xml:space="preserve"> </w:t>
      </w:r>
      <w:r w:rsidRPr="004D16A1">
        <w:rPr>
          <w:rFonts w:eastAsiaTheme="minorEastAsia"/>
          <w:lang w:eastAsia="en-NZ"/>
          <w14:ligatures w14:val="standardContextual"/>
        </w:rPr>
        <w:t>asking</w:t>
      </w:r>
      <w:r w:rsidRPr="004D16A1">
        <w:rPr>
          <w:rFonts w:eastAsiaTheme="minorEastAsia"/>
          <w:spacing w:val="-3"/>
          <w:lang w:eastAsia="en-NZ"/>
          <w14:ligatures w14:val="standardContextual"/>
        </w:rPr>
        <w:t xml:space="preserve"> </w:t>
      </w:r>
      <w:r w:rsidRPr="004D16A1">
        <w:rPr>
          <w:rFonts w:eastAsiaTheme="minorEastAsia"/>
          <w:lang w:eastAsia="en-NZ"/>
          <w14:ligatures w14:val="standardContextual"/>
        </w:rPr>
        <w:t>the</w:t>
      </w:r>
      <w:r w:rsidRPr="004D16A1">
        <w:rPr>
          <w:rFonts w:eastAsiaTheme="minorEastAsia"/>
          <w:spacing w:val="-4"/>
          <w:lang w:eastAsia="en-NZ"/>
          <w14:ligatures w14:val="standardContextual"/>
        </w:rPr>
        <w:t xml:space="preserve"> </w:t>
      </w:r>
      <w:r w:rsidRPr="004D16A1">
        <w:rPr>
          <w:rFonts w:eastAsiaTheme="minorEastAsia"/>
          <w:lang w:eastAsia="en-NZ"/>
          <w14:ligatures w14:val="standardContextual"/>
        </w:rPr>
        <w:t>“</w:t>
      </w:r>
      <w:r>
        <w:rPr>
          <w:rFonts w:eastAsiaTheme="minorEastAsia"/>
          <w:lang w:eastAsia="en-NZ"/>
          <w14:ligatures w14:val="standardContextual"/>
        </w:rPr>
        <w:t>h</w:t>
      </w:r>
      <w:r w:rsidRPr="004D16A1">
        <w:rPr>
          <w:rFonts w:eastAsiaTheme="minorEastAsia"/>
          <w:lang w:eastAsia="en-NZ"/>
          <w14:ligatures w14:val="standardContextual"/>
        </w:rPr>
        <w:t>ow”</w:t>
      </w:r>
      <w:r w:rsidRPr="004D16A1">
        <w:rPr>
          <w:rFonts w:eastAsiaTheme="minorEastAsia"/>
          <w:spacing w:val="-3"/>
          <w:lang w:eastAsia="en-NZ"/>
          <w14:ligatures w14:val="standardContextual"/>
        </w:rPr>
        <w:t xml:space="preserve"> </w:t>
      </w:r>
      <w:r w:rsidRPr="004D16A1">
        <w:rPr>
          <w:rFonts w:eastAsiaTheme="minorEastAsia"/>
          <w:lang w:eastAsia="en-NZ"/>
          <w14:ligatures w14:val="standardContextual"/>
        </w:rPr>
        <w:t>to</w:t>
      </w:r>
      <w:r w:rsidRPr="004D16A1">
        <w:rPr>
          <w:rFonts w:eastAsiaTheme="minorEastAsia"/>
          <w:spacing w:val="-5"/>
          <w:lang w:eastAsia="en-NZ"/>
          <w14:ligatures w14:val="standardContextual"/>
        </w:rPr>
        <w:t xml:space="preserve"> </w:t>
      </w:r>
      <w:r w:rsidRPr="004D16A1">
        <w:rPr>
          <w:rFonts w:eastAsiaTheme="minorEastAsia"/>
          <w:lang w:eastAsia="en-NZ"/>
          <w14:ligatures w14:val="standardContextual"/>
        </w:rPr>
        <w:t>proceed</w:t>
      </w:r>
      <w:r w:rsidRPr="004D16A1">
        <w:rPr>
          <w:rFonts w:eastAsiaTheme="minorEastAsia"/>
          <w:spacing w:val="-2"/>
          <w:lang w:eastAsia="en-NZ"/>
          <w14:ligatures w14:val="standardContextual"/>
        </w:rPr>
        <w:t xml:space="preserve"> </w:t>
      </w:r>
      <w:r w:rsidRPr="004D16A1">
        <w:rPr>
          <w:rFonts w:eastAsiaTheme="minorEastAsia"/>
          <w:lang w:eastAsia="en-NZ"/>
          <w14:ligatures w14:val="standardContextual"/>
        </w:rPr>
        <w:t>and</w:t>
      </w:r>
      <w:r w:rsidRPr="004D16A1">
        <w:rPr>
          <w:rFonts w:eastAsiaTheme="minorEastAsia"/>
          <w:spacing w:val="-1"/>
          <w:lang w:eastAsia="en-NZ"/>
          <w14:ligatures w14:val="standardContextual"/>
        </w:rPr>
        <w:t xml:space="preserve"> </w:t>
      </w:r>
      <w:r w:rsidRPr="004D16A1">
        <w:rPr>
          <w:rFonts w:eastAsiaTheme="minorEastAsia"/>
          <w:lang w:eastAsia="en-NZ"/>
          <w14:ligatures w14:val="standardContextual"/>
        </w:rPr>
        <w:t>“</w:t>
      </w:r>
      <w:r>
        <w:rPr>
          <w:rFonts w:eastAsiaTheme="minorEastAsia"/>
          <w:lang w:eastAsia="en-NZ"/>
          <w14:ligatures w14:val="standardContextual"/>
        </w:rPr>
        <w:t>w</w:t>
      </w:r>
      <w:r w:rsidRPr="004D16A1">
        <w:rPr>
          <w:rFonts w:eastAsiaTheme="minorEastAsia"/>
          <w:lang w:eastAsia="en-NZ"/>
          <w14:ligatures w14:val="standardContextual"/>
        </w:rPr>
        <w:t>hat” resources</w:t>
      </w:r>
      <w:r w:rsidRPr="004D16A1">
        <w:rPr>
          <w:rFonts w:eastAsiaTheme="minorEastAsia"/>
          <w:spacing w:val="-2"/>
          <w:lang w:eastAsia="en-NZ"/>
          <w14:ligatures w14:val="standardContextual"/>
        </w:rPr>
        <w:t xml:space="preserve"> </w:t>
      </w:r>
      <w:r w:rsidRPr="004D16A1">
        <w:rPr>
          <w:rFonts w:eastAsiaTheme="minorEastAsia"/>
          <w:lang w:eastAsia="en-NZ"/>
          <w14:ligatures w14:val="standardContextual"/>
        </w:rPr>
        <w:t>are</w:t>
      </w:r>
      <w:r w:rsidRPr="004D16A1">
        <w:rPr>
          <w:rFonts w:eastAsiaTheme="minorEastAsia"/>
          <w:spacing w:val="-4"/>
          <w:lang w:eastAsia="en-NZ"/>
          <w14:ligatures w14:val="standardContextual"/>
        </w:rPr>
        <w:t xml:space="preserve"> </w:t>
      </w:r>
      <w:r w:rsidRPr="004D16A1">
        <w:rPr>
          <w:rFonts w:eastAsiaTheme="minorEastAsia"/>
          <w:lang w:eastAsia="en-NZ"/>
          <w14:ligatures w14:val="standardContextual"/>
        </w:rPr>
        <w:t>available.</w:t>
      </w:r>
      <w:r w:rsidRPr="004D16A1">
        <w:rPr>
          <w:rFonts w:eastAsiaTheme="minorEastAsia"/>
          <w:spacing w:val="-2"/>
          <w:lang w:eastAsia="en-NZ"/>
          <w14:ligatures w14:val="standardContextual"/>
        </w:rPr>
        <w:t xml:space="preserve"> </w:t>
      </w:r>
      <w:r w:rsidRPr="004D16A1">
        <w:rPr>
          <w:rFonts w:eastAsiaTheme="minorEastAsia"/>
          <w:lang w:eastAsia="en-NZ"/>
          <w14:ligatures w14:val="standardContextual"/>
        </w:rPr>
        <w:t>We</w:t>
      </w:r>
      <w:r w:rsidRPr="004D16A1">
        <w:rPr>
          <w:rFonts w:eastAsiaTheme="minorEastAsia"/>
          <w:spacing w:val="-4"/>
          <w:lang w:eastAsia="en-NZ"/>
          <w14:ligatures w14:val="standardContextual"/>
        </w:rPr>
        <w:t xml:space="preserve"> </w:t>
      </w:r>
      <w:r w:rsidRPr="004D16A1">
        <w:rPr>
          <w:rFonts w:eastAsiaTheme="minorEastAsia"/>
          <w:lang w:eastAsia="en-NZ"/>
          <w14:ligatures w14:val="standardContextual"/>
        </w:rPr>
        <w:t>have</w:t>
      </w:r>
      <w:r w:rsidRPr="004D16A1">
        <w:rPr>
          <w:rFonts w:eastAsiaTheme="minorEastAsia"/>
          <w:spacing w:val="-1"/>
          <w:lang w:eastAsia="en-NZ"/>
          <w14:ligatures w14:val="standardContextual"/>
        </w:rPr>
        <w:t xml:space="preserve"> </w:t>
      </w:r>
      <w:r w:rsidRPr="004D16A1">
        <w:rPr>
          <w:rFonts w:eastAsiaTheme="minorEastAsia"/>
          <w:lang w:eastAsia="en-NZ"/>
          <w14:ligatures w14:val="standardContextual"/>
        </w:rPr>
        <w:t>been</w:t>
      </w:r>
      <w:r w:rsidRPr="004D16A1">
        <w:rPr>
          <w:rFonts w:eastAsiaTheme="minorEastAsia"/>
          <w:spacing w:val="-4"/>
          <w:lang w:eastAsia="en-NZ"/>
          <w14:ligatures w14:val="standardContextual"/>
        </w:rPr>
        <w:t xml:space="preserve"> </w:t>
      </w:r>
      <w:r w:rsidRPr="004D16A1">
        <w:rPr>
          <w:rFonts w:eastAsiaTheme="minorEastAsia"/>
          <w:lang w:eastAsia="en-NZ"/>
          <w14:ligatures w14:val="standardContextual"/>
        </w:rPr>
        <w:t xml:space="preserve">asked to provide support and input to the Rapid Review project by Te Whatu Ora ELT on the position and likely input Consumer Councils will have throughout the </w:t>
      </w:r>
      <w:r>
        <w:rPr>
          <w:rFonts w:eastAsiaTheme="minorEastAsia"/>
          <w:lang w:eastAsia="en-NZ"/>
          <w14:ligatures w14:val="standardContextual"/>
        </w:rPr>
        <w:t>m</w:t>
      </w:r>
      <w:r w:rsidRPr="004D16A1">
        <w:rPr>
          <w:rFonts w:eastAsiaTheme="minorEastAsia"/>
          <w:lang w:eastAsia="en-NZ"/>
          <w14:ligatures w14:val="standardContextual"/>
        </w:rPr>
        <w:t>otu. This forum continues its journey and opportunities in continuing to demonstrate value to both members as a supportive cohort as well as an emerging Governance group in the Consumer space.</w:t>
      </w:r>
    </w:p>
    <w:p w14:paraId="6F2223E3" w14:textId="77777777" w:rsidR="00911961" w:rsidRPr="004D16A1" w:rsidRDefault="00911961" w:rsidP="00911961">
      <w:pPr>
        <w:widowControl w:val="0"/>
        <w:kinsoku w:val="0"/>
        <w:overflowPunct w:val="0"/>
        <w:spacing w:before="5" w:after="0" w:line="240" w:lineRule="auto"/>
        <w:rPr>
          <w:rFonts w:eastAsiaTheme="minorEastAsia"/>
          <w:lang w:eastAsia="en-NZ"/>
          <w14:ligatures w14:val="standardContextual"/>
        </w:rPr>
      </w:pPr>
    </w:p>
    <w:p w14:paraId="057223BC" w14:textId="54AEDEEA" w:rsidR="00911961" w:rsidRPr="00C70C68" w:rsidRDefault="00911961" w:rsidP="00C70C68">
      <w:pPr>
        <w:widowControl w:val="0"/>
        <w:kinsoku w:val="0"/>
        <w:overflowPunct w:val="0"/>
        <w:spacing w:after="0"/>
        <w:rPr>
          <w:rFonts w:eastAsiaTheme="minorEastAsia"/>
          <w:lang w:eastAsia="en-NZ"/>
          <w14:ligatures w14:val="standardContextual"/>
        </w:rPr>
      </w:pPr>
      <w:r w:rsidRPr="004D16A1">
        <w:rPr>
          <w:rFonts w:eastAsiaTheme="minorEastAsia"/>
          <w:lang w:eastAsia="en-NZ"/>
          <w14:ligatures w14:val="standardContextual"/>
        </w:rPr>
        <w:t>However,</w:t>
      </w:r>
      <w:r w:rsidRPr="004D16A1">
        <w:rPr>
          <w:rFonts w:eastAsiaTheme="minorEastAsia"/>
          <w:spacing w:val="-2"/>
          <w:lang w:eastAsia="en-NZ"/>
          <w14:ligatures w14:val="standardContextual"/>
        </w:rPr>
        <w:t xml:space="preserve"> </w:t>
      </w:r>
      <w:r w:rsidRPr="004D16A1">
        <w:rPr>
          <w:rFonts w:eastAsiaTheme="minorEastAsia"/>
          <w:lang w:eastAsia="en-NZ"/>
          <w14:ligatures w14:val="standardContextual"/>
        </w:rPr>
        <w:t>I</w:t>
      </w:r>
      <w:r w:rsidRPr="004D16A1">
        <w:rPr>
          <w:rFonts w:eastAsiaTheme="minorEastAsia"/>
          <w:spacing w:val="-3"/>
          <w:lang w:eastAsia="en-NZ"/>
          <w14:ligatures w14:val="standardContextual"/>
        </w:rPr>
        <w:t xml:space="preserve"> </w:t>
      </w:r>
      <w:r w:rsidRPr="004D16A1">
        <w:rPr>
          <w:rFonts w:eastAsiaTheme="minorEastAsia"/>
          <w:lang w:eastAsia="en-NZ"/>
          <w14:ligatures w14:val="standardContextual"/>
        </w:rPr>
        <w:t>still</w:t>
      </w:r>
      <w:r w:rsidRPr="004D16A1">
        <w:rPr>
          <w:rFonts w:eastAsiaTheme="minorEastAsia"/>
          <w:spacing w:val="-4"/>
          <w:lang w:eastAsia="en-NZ"/>
          <w14:ligatures w14:val="standardContextual"/>
        </w:rPr>
        <w:t xml:space="preserve"> </w:t>
      </w:r>
      <w:r w:rsidRPr="004D16A1">
        <w:rPr>
          <w:rFonts w:eastAsiaTheme="minorEastAsia"/>
          <w:lang w:eastAsia="en-NZ"/>
          <w14:ligatures w14:val="standardContextual"/>
        </w:rPr>
        <w:t>comment</w:t>
      </w:r>
      <w:r w:rsidRPr="004D16A1">
        <w:rPr>
          <w:rFonts w:eastAsiaTheme="minorEastAsia"/>
          <w:spacing w:val="-3"/>
          <w:lang w:eastAsia="en-NZ"/>
          <w14:ligatures w14:val="standardContextual"/>
        </w:rPr>
        <w:t xml:space="preserve"> </w:t>
      </w:r>
      <w:r w:rsidRPr="004D16A1">
        <w:rPr>
          <w:rFonts w:eastAsiaTheme="minorEastAsia"/>
          <w:lang w:eastAsia="en-NZ"/>
          <w14:ligatures w14:val="standardContextual"/>
        </w:rPr>
        <w:t>on</w:t>
      </w:r>
      <w:r w:rsidRPr="004D16A1">
        <w:rPr>
          <w:rFonts w:eastAsiaTheme="minorEastAsia"/>
          <w:spacing w:val="-3"/>
          <w:lang w:eastAsia="en-NZ"/>
          <w14:ligatures w14:val="standardContextual"/>
        </w:rPr>
        <w:t xml:space="preserve"> </w:t>
      </w:r>
      <w:r w:rsidRPr="004D16A1">
        <w:rPr>
          <w:rFonts w:eastAsiaTheme="minorEastAsia"/>
          <w:lang w:eastAsia="en-NZ"/>
          <w14:ligatures w14:val="standardContextual"/>
        </w:rPr>
        <w:t>the</w:t>
      </w:r>
      <w:r w:rsidRPr="004D16A1">
        <w:rPr>
          <w:rFonts w:eastAsiaTheme="minorEastAsia"/>
          <w:spacing w:val="-1"/>
          <w:lang w:eastAsia="en-NZ"/>
          <w14:ligatures w14:val="standardContextual"/>
        </w:rPr>
        <w:t xml:space="preserve"> </w:t>
      </w:r>
      <w:r w:rsidRPr="004D16A1">
        <w:rPr>
          <w:rFonts w:eastAsiaTheme="minorEastAsia"/>
          <w:lang w:eastAsia="en-NZ"/>
          <w14:ligatures w14:val="standardContextual"/>
        </w:rPr>
        <w:t>fact</w:t>
      </w:r>
      <w:r w:rsidRPr="004D16A1">
        <w:rPr>
          <w:rFonts w:eastAsiaTheme="minorEastAsia"/>
          <w:spacing w:val="-3"/>
          <w:lang w:eastAsia="en-NZ"/>
          <w14:ligatures w14:val="standardContextual"/>
        </w:rPr>
        <w:t xml:space="preserve"> </w:t>
      </w:r>
      <w:r w:rsidRPr="004D16A1">
        <w:rPr>
          <w:rFonts w:eastAsiaTheme="minorEastAsia"/>
          <w:lang w:eastAsia="en-NZ"/>
          <w14:ligatures w14:val="standardContextual"/>
        </w:rPr>
        <w:t>that</w:t>
      </w:r>
      <w:r w:rsidRPr="004D16A1">
        <w:rPr>
          <w:rFonts w:eastAsiaTheme="minorEastAsia"/>
          <w:spacing w:val="-3"/>
          <w:lang w:eastAsia="en-NZ"/>
          <w14:ligatures w14:val="standardContextual"/>
        </w:rPr>
        <w:t xml:space="preserve"> </w:t>
      </w:r>
      <w:r w:rsidRPr="004D16A1">
        <w:rPr>
          <w:rFonts w:eastAsiaTheme="minorEastAsia"/>
          <w:lang w:eastAsia="en-NZ"/>
          <w14:ligatures w14:val="standardContextual"/>
        </w:rPr>
        <w:t>some</w:t>
      </w:r>
      <w:r w:rsidRPr="004D16A1">
        <w:rPr>
          <w:rFonts w:eastAsiaTheme="minorEastAsia"/>
          <w:spacing w:val="-3"/>
          <w:lang w:eastAsia="en-NZ"/>
          <w14:ligatures w14:val="standardContextual"/>
        </w:rPr>
        <w:t xml:space="preserve"> </w:t>
      </w:r>
      <w:r w:rsidRPr="004D16A1">
        <w:rPr>
          <w:rFonts w:eastAsiaTheme="minorEastAsia"/>
          <w:lang w:eastAsia="en-NZ"/>
          <w14:ligatures w14:val="standardContextual"/>
        </w:rPr>
        <w:t>regions</w:t>
      </w:r>
      <w:r w:rsidRPr="004D16A1">
        <w:rPr>
          <w:rFonts w:eastAsiaTheme="minorEastAsia"/>
          <w:spacing w:val="-2"/>
          <w:lang w:eastAsia="en-NZ"/>
          <w14:ligatures w14:val="standardContextual"/>
        </w:rPr>
        <w:t xml:space="preserve"> </w:t>
      </w:r>
      <w:r w:rsidRPr="004D16A1">
        <w:rPr>
          <w:rFonts w:eastAsiaTheme="minorEastAsia"/>
          <w:lang w:eastAsia="en-NZ"/>
          <w14:ligatures w14:val="standardContextual"/>
        </w:rPr>
        <w:t>(old</w:t>
      </w:r>
      <w:r w:rsidRPr="004D16A1">
        <w:rPr>
          <w:rFonts w:eastAsiaTheme="minorEastAsia"/>
          <w:spacing w:val="-3"/>
          <w:lang w:eastAsia="en-NZ"/>
          <w14:ligatures w14:val="standardContextual"/>
        </w:rPr>
        <w:t xml:space="preserve"> </w:t>
      </w:r>
      <w:r w:rsidRPr="004D16A1">
        <w:rPr>
          <w:rFonts w:eastAsiaTheme="minorEastAsia"/>
          <w:lang w:eastAsia="en-NZ"/>
          <w14:ligatures w14:val="standardContextual"/>
        </w:rPr>
        <w:t>DHB</w:t>
      </w:r>
      <w:r w:rsidRPr="004D16A1">
        <w:rPr>
          <w:rFonts w:eastAsiaTheme="minorEastAsia"/>
          <w:spacing w:val="-3"/>
          <w:lang w:eastAsia="en-NZ"/>
          <w14:ligatures w14:val="standardContextual"/>
        </w:rPr>
        <w:t xml:space="preserve"> </w:t>
      </w:r>
      <w:r w:rsidRPr="004D16A1">
        <w:rPr>
          <w:rFonts w:eastAsiaTheme="minorEastAsia"/>
          <w:lang w:eastAsia="en-NZ"/>
          <w14:ligatures w14:val="standardContextual"/>
        </w:rPr>
        <w:t>districts)</w:t>
      </w:r>
      <w:r w:rsidRPr="004D16A1">
        <w:rPr>
          <w:rFonts w:eastAsiaTheme="minorEastAsia"/>
          <w:spacing w:val="-2"/>
          <w:lang w:eastAsia="en-NZ"/>
          <w14:ligatures w14:val="standardContextual"/>
        </w:rPr>
        <w:t xml:space="preserve"> </w:t>
      </w:r>
      <w:r w:rsidRPr="004D16A1">
        <w:rPr>
          <w:rFonts w:eastAsiaTheme="minorEastAsia"/>
          <w:lang w:eastAsia="en-NZ"/>
          <w14:ligatures w14:val="standardContextual"/>
        </w:rPr>
        <w:t>are</w:t>
      </w:r>
      <w:r w:rsidRPr="004D16A1">
        <w:rPr>
          <w:rFonts w:eastAsiaTheme="minorEastAsia"/>
          <w:spacing w:val="-1"/>
          <w:lang w:eastAsia="en-NZ"/>
          <w14:ligatures w14:val="standardContextual"/>
        </w:rPr>
        <w:t xml:space="preserve"> </w:t>
      </w:r>
      <w:r w:rsidRPr="004D16A1">
        <w:rPr>
          <w:rFonts w:eastAsiaTheme="minorEastAsia"/>
          <w:lang w:eastAsia="en-NZ"/>
          <w14:ligatures w14:val="standardContextual"/>
        </w:rPr>
        <w:t>STILL</w:t>
      </w:r>
      <w:r w:rsidRPr="004D16A1">
        <w:rPr>
          <w:rFonts w:eastAsiaTheme="minorEastAsia"/>
          <w:spacing w:val="-3"/>
          <w:lang w:eastAsia="en-NZ"/>
          <w14:ligatures w14:val="standardContextual"/>
        </w:rPr>
        <w:t xml:space="preserve"> </w:t>
      </w:r>
      <w:r w:rsidRPr="004D16A1">
        <w:rPr>
          <w:rFonts w:eastAsiaTheme="minorEastAsia"/>
          <w:lang w:eastAsia="en-NZ"/>
          <w14:ligatures w14:val="standardContextual"/>
        </w:rPr>
        <w:t>without</w:t>
      </w:r>
      <w:r w:rsidRPr="004D16A1">
        <w:rPr>
          <w:rFonts w:eastAsiaTheme="minorEastAsia"/>
          <w:spacing w:val="-1"/>
          <w:lang w:eastAsia="en-NZ"/>
          <w14:ligatures w14:val="standardContextual"/>
        </w:rPr>
        <w:t xml:space="preserve"> </w:t>
      </w:r>
      <w:r w:rsidRPr="004D16A1">
        <w:rPr>
          <w:rFonts w:eastAsiaTheme="minorEastAsia"/>
          <w:lang w:eastAsia="en-NZ"/>
          <w14:ligatures w14:val="standardContextual"/>
        </w:rPr>
        <w:t>either consumer councils or are not supported as per the “BAU” emails sent out to the contrary. It is the responsibility and accountability of the incumbent ELTs to ensure support is given.</w:t>
      </w:r>
    </w:p>
    <w:p w14:paraId="36820595" w14:textId="77777777" w:rsidR="00CE53C1" w:rsidRDefault="00CE53C1" w:rsidP="00CE53C1">
      <w:pPr>
        <w:spacing w:after="0"/>
        <w:jc w:val="both"/>
        <w:rPr>
          <w:b/>
          <w:sz w:val="24"/>
          <w:szCs w:val="24"/>
        </w:rPr>
      </w:pPr>
    </w:p>
    <w:p w14:paraId="32FF0B2E" w14:textId="2AE1E103" w:rsidR="00911961" w:rsidRPr="000E6022" w:rsidRDefault="00911961" w:rsidP="000E6022">
      <w:pPr>
        <w:jc w:val="both"/>
        <w:rPr>
          <w:b/>
          <w:sz w:val="24"/>
          <w:szCs w:val="24"/>
        </w:rPr>
      </w:pPr>
      <w:r w:rsidRPr="000E6022">
        <w:rPr>
          <w:b/>
          <w:sz w:val="24"/>
          <w:szCs w:val="24"/>
        </w:rPr>
        <w:t>Mary Schnackenberg (Tāmaki Makaurau)</w:t>
      </w:r>
    </w:p>
    <w:p w14:paraId="661DA737" w14:textId="77777777" w:rsidR="00911961" w:rsidRPr="00DC1858" w:rsidRDefault="00911961" w:rsidP="00911961">
      <w:pPr>
        <w:jc w:val="both"/>
        <w:rPr>
          <w:i/>
        </w:rPr>
      </w:pPr>
      <w:r w:rsidRPr="00DC1858">
        <w:rPr>
          <w:b/>
        </w:rPr>
        <w:t>Environmental scan/real time monitoring</w:t>
      </w:r>
    </w:p>
    <w:p w14:paraId="1AA4E849" w14:textId="77777777" w:rsidR="00911961" w:rsidRPr="007A53B7" w:rsidRDefault="00911961" w:rsidP="00911961">
      <w:r w:rsidRPr="007A53B7">
        <w:t>Real difficulties continue in gaining access to GPs and specialists with serious delays being reported.</w:t>
      </w:r>
    </w:p>
    <w:p w14:paraId="4370034C" w14:textId="08ACE66E" w:rsidR="00911961" w:rsidRPr="007A53B7" w:rsidRDefault="00911961" w:rsidP="00911961">
      <w:r w:rsidRPr="007A53B7">
        <w:t xml:space="preserve">Ongoing concerns about the lack of accessible information about health conditions, </w:t>
      </w:r>
      <w:r w:rsidR="0068430E" w:rsidRPr="007A53B7">
        <w:t>medicines,</w:t>
      </w:r>
      <w:r w:rsidRPr="007A53B7">
        <w:t xml:space="preserve"> and devices.</w:t>
      </w:r>
    </w:p>
    <w:p w14:paraId="3B3B5F17" w14:textId="77777777" w:rsidR="00911961" w:rsidRPr="007A53B7" w:rsidRDefault="00911961" w:rsidP="00911961">
      <w:r w:rsidRPr="007A53B7">
        <w:t>Blind people can gain significant discounts on hearing aids because deafblindness is seen as a dual sensory disability. However, finding audiologists who understand the spatial awareness and echo location blind people need to retain independent mobility, let alone compatibility of hearing aids with devices such as smart phones remains a serious challenge.</w:t>
      </w:r>
    </w:p>
    <w:p w14:paraId="6FBBBF15" w14:textId="197191DE" w:rsidR="00911961" w:rsidRPr="007A53B7" w:rsidRDefault="00911961" w:rsidP="00911961">
      <w:pPr>
        <w:jc w:val="both"/>
        <w:rPr>
          <w:b/>
        </w:rPr>
      </w:pPr>
      <w:r w:rsidRPr="007A53B7">
        <w:rPr>
          <w:b/>
        </w:rPr>
        <w:t xml:space="preserve">Input / involvement in </w:t>
      </w:r>
      <w:proofErr w:type="spellStart"/>
      <w:r w:rsidR="00A20A7D">
        <w:rPr>
          <w:b/>
        </w:rPr>
        <w:t>Te</w:t>
      </w:r>
      <w:proofErr w:type="spellEnd"/>
      <w:r w:rsidR="00A20A7D">
        <w:rPr>
          <w:b/>
        </w:rPr>
        <w:t xml:space="preserve"> </w:t>
      </w:r>
      <w:proofErr w:type="spellStart"/>
      <w:r w:rsidR="00A20A7D">
        <w:rPr>
          <w:b/>
        </w:rPr>
        <w:t>Tāhū</w:t>
      </w:r>
      <w:proofErr w:type="spellEnd"/>
      <w:r w:rsidR="00A20A7D">
        <w:rPr>
          <w:b/>
        </w:rPr>
        <w:t xml:space="preserve"> Hauora</w:t>
      </w:r>
      <w:r w:rsidRPr="007A53B7">
        <w:rPr>
          <w:b/>
        </w:rPr>
        <w:t xml:space="preserve"> meetings/groups. </w:t>
      </w:r>
    </w:p>
    <w:p w14:paraId="109E7EA5" w14:textId="77777777" w:rsidR="00911961" w:rsidRPr="007668DA" w:rsidRDefault="00911961" w:rsidP="00911961">
      <w:pPr>
        <w:pStyle w:val="l1"/>
        <w:rPr>
          <w:sz w:val="22"/>
        </w:rPr>
      </w:pPr>
      <w:r w:rsidRPr="007668DA">
        <w:rPr>
          <w:sz w:val="22"/>
        </w:rPr>
        <w:t>25 May, Consumer Health Forum, Christchurch.</w:t>
      </w:r>
    </w:p>
    <w:p w14:paraId="2B6D36B7" w14:textId="60CB8C7C" w:rsidR="00911961" w:rsidRPr="007668DA" w:rsidRDefault="00911961" w:rsidP="00911961">
      <w:pPr>
        <w:pStyle w:val="l1"/>
        <w:rPr>
          <w:sz w:val="22"/>
        </w:rPr>
      </w:pPr>
      <w:r w:rsidRPr="007668DA">
        <w:rPr>
          <w:sz w:val="22"/>
        </w:rPr>
        <w:t xml:space="preserve">26 May, meeting with </w:t>
      </w:r>
      <w:proofErr w:type="spellStart"/>
      <w:r w:rsidR="00A20A7D">
        <w:rPr>
          <w:sz w:val="22"/>
        </w:rPr>
        <w:t>Te</w:t>
      </w:r>
      <w:proofErr w:type="spellEnd"/>
      <w:r w:rsidR="00A20A7D">
        <w:rPr>
          <w:sz w:val="22"/>
        </w:rPr>
        <w:t xml:space="preserve"> </w:t>
      </w:r>
      <w:proofErr w:type="spellStart"/>
      <w:r w:rsidR="00A20A7D">
        <w:rPr>
          <w:sz w:val="22"/>
        </w:rPr>
        <w:t>Tāhū</w:t>
      </w:r>
      <w:proofErr w:type="spellEnd"/>
      <w:r w:rsidR="00A20A7D">
        <w:rPr>
          <w:sz w:val="22"/>
        </w:rPr>
        <w:t xml:space="preserve"> Hauora</w:t>
      </w:r>
      <w:r w:rsidRPr="007668DA">
        <w:rPr>
          <w:sz w:val="22"/>
        </w:rPr>
        <w:t xml:space="preserve"> consumer advisors.</w:t>
      </w:r>
    </w:p>
    <w:p w14:paraId="17D8DBDB" w14:textId="77777777" w:rsidR="00911961" w:rsidRPr="007668DA" w:rsidRDefault="00911961" w:rsidP="00911961">
      <w:pPr>
        <w:pStyle w:val="l1"/>
        <w:rPr>
          <w:sz w:val="22"/>
        </w:rPr>
      </w:pPr>
      <w:r w:rsidRPr="007668DA">
        <w:rPr>
          <w:sz w:val="22"/>
        </w:rPr>
        <w:t>29 May, Consumer Advisory Group meeting.</w:t>
      </w:r>
    </w:p>
    <w:p w14:paraId="75771E12" w14:textId="77777777" w:rsidR="00911961" w:rsidRPr="007668DA" w:rsidRDefault="00911961" w:rsidP="00911961">
      <w:pPr>
        <w:pStyle w:val="l1"/>
        <w:rPr>
          <w:sz w:val="22"/>
        </w:rPr>
      </w:pPr>
      <w:r w:rsidRPr="007668DA">
        <w:rPr>
          <w:sz w:val="22"/>
        </w:rPr>
        <w:t>13 July, zoom of Consumer Advisory Group.</w:t>
      </w:r>
    </w:p>
    <w:p w14:paraId="75C99D9C" w14:textId="5109C4D4" w:rsidR="00911961" w:rsidRPr="007668DA" w:rsidRDefault="00911961" w:rsidP="00911961">
      <w:pPr>
        <w:pStyle w:val="l1"/>
        <w:rPr>
          <w:sz w:val="22"/>
        </w:rPr>
      </w:pPr>
      <w:r w:rsidRPr="007668DA">
        <w:rPr>
          <w:sz w:val="22"/>
        </w:rPr>
        <w:t xml:space="preserve">9 August, </w:t>
      </w:r>
      <w:r w:rsidR="00EC0C4E" w:rsidRPr="007668DA">
        <w:rPr>
          <w:sz w:val="22"/>
        </w:rPr>
        <w:t>zoom</w:t>
      </w:r>
      <w:r w:rsidRPr="007668DA">
        <w:rPr>
          <w:sz w:val="22"/>
        </w:rPr>
        <w:t xml:space="preserve"> with available network members to raise suggestions about the programme for 15 May 2024 Consumer Health Forum.</w:t>
      </w:r>
    </w:p>
    <w:p w14:paraId="52B05A4A" w14:textId="77777777" w:rsidR="00911961" w:rsidRPr="004A1ECD" w:rsidRDefault="00911961" w:rsidP="00911961">
      <w:pPr>
        <w:pStyle w:val="l1"/>
        <w:jc w:val="both"/>
        <w:rPr>
          <w:i/>
          <w:iCs/>
          <w:sz w:val="22"/>
        </w:rPr>
      </w:pPr>
    </w:p>
    <w:p w14:paraId="5284A305" w14:textId="77777777" w:rsidR="00911961" w:rsidRPr="002A6F62" w:rsidRDefault="00911961" w:rsidP="00911961">
      <w:pPr>
        <w:jc w:val="both"/>
        <w:rPr>
          <w:b/>
        </w:rPr>
      </w:pPr>
      <w:r w:rsidRPr="002A6F62">
        <w:rPr>
          <w:b/>
        </w:rPr>
        <w:t>Activity (since last report)</w:t>
      </w:r>
    </w:p>
    <w:p w14:paraId="456EE45D" w14:textId="77777777" w:rsidR="00911961" w:rsidRPr="002A6F62" w:rsidRDefault="00911961" w:rsidP="00911961">
      <w:pPr>
        <w:pStyle w:val="l1"/>
        <w:rPr>
          <w:sz w:val="22"/>
        </w:rPr>
      </w:pPr>
      <w:r w:rsidRPr="002A6F62">
        <w:rPr>
          <w:sz w:val="22"/>
        </w:rPr>
        <w:t>13 June, Ombudsman Disability Advisory Panel.</w:t>
      </w:r>
    </w:p>
    <w:p w14:paraId="4A3B8CB1" w14:textId="77777777" w:rsidR="00911961" w:rsidRPr="002A6F62" w:rsidRDefault="00911961" w:rsidP="00911961">
      <w:pPr>
        <w:pStyle w:val="l1"/>
        <w:rPr>
          <w:sz w:val="22"/>
        </w:rPr>
      </w:pPr>
      <w:r w:rsidRPr="002A6F62">
        <w:rPr>
          <w:sz w:val="22"/>
        </w:rPr>
        <w:t>14 June, attended the Wallwalk with colleagues from the Pharmac Consumer Advisory Committee.</w:t>
      </w:r>
    </w:p>
    <w:p w14:paraId="69913206" w14:textId="77777777" w:rsidR="00911961" w:rsidRPr="002A6F62" w:rsidRDefault="00911961" w:rsidP="00911961">
      <w:pPr>
        <w:pStyle w:val="l1"/>
        <w:rPr>
          <w:sz w:val="22"/>
        </w:rPr>
      </w:pPr>
      <w:r w:rsidRPr="002A6F62">
        <w:rPr>
          <w:sz w:val="22"/>
        </w:rPr>
        <w:t>15 June, Pharmac Consumer Advisory Committee.</w:t>
      </w:r>
    </w:p>
    <w:p w14:paraId="0238F437" w14:textId="77777777" w:rsidR="00911961" w:rsidRPr="002A6F62" w:rsidRDefault="00911961" w:rsidP="00911961">
      <w:pPr>
        <w:pStyle w:val="l1"/>
        <w:rPr>
          <w:sz w:val="22"/>
        </w:rPr>
      </w:pPr>
      <w:r w:rsidRPr="002A6F62">
        <w:rPr>
          <w:sz w:val="22"/>
        </w:rPr>
        <w:t>19 June, Consumer Experiences Council, Auckland Health New Zealand.</w:t>
      </w:r>
    </w:p>
    <w:p w14:paraId="5DFD81E6" w14:textId="77777777" w:rsidR="00911961" w:rsidRPr="002A6F62" w:rsidRDefault="00911961" w:rsidP="00911961">
      <w:pPr>
        <w:pStyle w:val="l1"/>
        <w:rPr>
          <w:sz w:val="22"/>
        </w:rPr>
      </w:pPr>
      <w:r w:rsidRPr="002A6F62">
        <w:rPr>
          <w:sz w:val="22"/>
        </w:rPr>
        <w:t>19 July, Pharmac Consumer Advisory Committee.</w:t>
      </w:r>
    </w:p>
    <w:p w14:paraId="616D3CEE" w14:textId="77777777" w:rsidR="00911961" w:rsidRPr="002A6F62" w:rsidRDefault="00911961" w:rsidP="00911961">
      <w:pPr>
        <w:pStyle w:val="l1"/>
        <w:rPr>
          <w:sz w:val="22"/>
        </w:rPr>
      </w:pPr>
      <w:r w:rsidRPr="002A6F62">
        <w:rPr>
          <w:sz w:val="22"/>
        </w:rPr>
        <w:t>16 August, Pharmac Consumer Advisory Committee.</w:t>
      </w:r>
    </w:p>
    <w:p w14:paraId="7F5E3FBE" w14:textId="77777777" w:rsidR="0003036A" w:rsidRDefault="0003036A" w:rsidP="00911961">
      <w:pPr>
        <w:jc w:val="both"/>
        <w:rPr>
          <w:b/>
        </w:rPr>
      </w:pPr>
    </w:p>
    <w:p w14:paraId="1AF84243" w14:textId="0A15BF72" w:rsidR="00911961" w:rsidRPr="00C0399A" w:rsidRDefault="00911961" w:rsidP="00911961">
      <w:pPr>
        <w:jc w:val="both"/>
        <w:rPr>
          <w:b/>
        </w:rPr>
      </w:pPr>
      <w:r w:rsidRPr="00C0399A">
        <w:rPr>
          <w:b/>
        </w:rPr>
        <w:lastRenderedPageBreak/>
        <w:t>Services</w:t>
      </w:r>
    </w:p>
    <w:p w14:paraId="4112CF58" w14:textId="0D723C98" w:rsidR="00911961" w:rsidRPr="00C0399A" w:rsidRDefault="00911961" w:rsidP="00911961">
      <w:r w:rsidRPr="00C0399A">
        <w:t xml:space="preserve">In March this year, a blind friend was fitted with a pacemaker. Auckland City Hospital gave her a print book about her Pacemaker. She had to attend Middlemore </w:t>
      </w:r>
      <w:r w:rsidR="00D67F5F" w:rsidRPr="00C0399A">
        <w:t>Hospital,</w:t>
      </w:r>
      <w:r w:rsidRPr="00C0399A">
        <w:t xml:space="preserve"> or a heart checkup and they gave her a different smaller print booklet about her pacemaker. Auckland Hospital has given her a PDF of the book. However, she has received no accessible information about the medication warfarin which she now has to take.</w:t>
      </w:r>
    </w:p>
    <w:p w14:paraId="09A935FE" w14:textId="77777777" w:rsidR="00911961" w:rsidRPr="00C0399A" w:rsidRDefault="00911961" w:rsidP="00911961">
      <w:r w:rsidRPr="00C0399A">
        <w:t>Two years ago, I protested about the inaccessibility of the National Bowel Screening package I received. Again, I have received another inaccessible bowel screening package a couple of months ago.</w:t>
      </w:r>
    </w:p>
    <w:p w14:paraId="3B890EA4" w14:textId="77777777" w:rsidR="00911961" w:rsidRPr="00C0399A" w:rsidRDefault="00911961" w:rsidP="00911961">
      <w:r w:rsidRPr="00C0399A">
        <w:t>Another blind friend is frustrated by the lack of accessibility of the national breast screening information she has received in the post.</w:t>
      </w:r>
    </w:p>
    <w:p w14:paraId="14037A5B" w14:textId="77777777" w:rsidR="00911961" w:rsidRPr="00C0399A" w:rsidRDefault="00911961" w:rsidP="00911961">
      <w:r w:rsidRPr="00C0399A">
        <w:t>The health system must move quickly to permit individuals to request their preferred formats be listed against their NHI numbers if they wish to do this. The health system must ensure it has an accessible electronic version of each print pamphlet it hands to sighted people.</w:t>
      </w:r>
    </w:p>
    <w:p w14:paraId="6479A131" w14:textId="77777777" w:rsidR="00911961" w:rsidRPr="00CB50E6" w:rsidRDefault="00911961" w:rsidP="00911961">
      <w:pPr>
        <w:jc w:val="both"/>
        <w:rPr>
          <w:b/>
        </w:rPr>
      </w:pPr>
      <w:r w:rsidRPr="00CB50E6">
        <w:rPr>
          <w:b/>
        </w:rPr>
        <w:t>Positive stories and exemplars</w:t>
      </w:r>
    </w:p>
    <w:p w14:paraId="3F097C28" w14:textId="0C7FE085" w:rsidR="00911961" w:rsidRDefault="00911961" w:rsidP="00A20A7D">
      <w:r w:rsidRPr="000F66BC">
        <w:t>A couple, both of whom are blind, were delighted to let me know this week that the most recent cough medicine prescribed for their 4-year-old daughter has a braille label on it.</w:t>
      </w:r>
    </w:p>
    <w:p w14:paraId="2944DCCE" w14:textId="77777777" w:rsidR="00A20A7D" w:rsidRPr="00A20A7D" w:rsidRDefault="00A20A7D" w:rsidP="00A20A7D"/>
    <w:p w14:paraId="69ECDA67" w14:textId="77777777" w:rsidR="00911961" w:rsidRPr="00EF5DAA" w:rsidRDefault="00911961" w:rsidP="00911961">
      <w:pPr>
        <w:jc w:val="both"/>
      </w:pPr>
      <w:r w:rsidRPr="00893035">
        <w:rPr>
          <w:b/>
          <w:sz w:val="24"/>
          <w:szCs w:val="24"/>
        </w:rPr>
        <w:t>Jodie Bennett</w:t>
      </w:r>
      <w:r w:rsidRPr="009C4156">
        <w:rPr>
          <w:b/>
        </w:rPr>
        <w:t xml:space="preserve">, </w:t>
      </w:r>
      <w:r w:rsidRPr="00EF5DAA">
        <w:t>(Tāmaki Makaurau) Changing Minds (Mental Health and Addiction Sector – Northland &amp; Auckland)</w:t>
      </w:r>
    </w:p>
    <w:p w14:paraId="3E839362" w14:textId="77777777" w:rsidR="00911961" w:rsidRPr="00893035" w:rsidRDefault="00911961" w:rsidP="00911961">
      <w:pPr>
        <w:jc w:val="both"/>
      </w:pPr>
      <w:r w:rsidRPr="00893035">
        <w:rPr>
          <w:b/>
        </w:rPr>
        <w:t>Environmental scan/real time monitoring</w:t>
      </w:r>
    </w:p>
    <w:p w14:paraId="58B9FB01" w14:textId="77777777" w:rsidR="00911961" w:rsidRPr="004B707B" w:rsidRDefault="00911961" w:rsidP="00911961">
      <w:pPr>
        <w:spacing w:after="160" w:line="259" w:lineRule="auto"/>
        <w:rPr>
          <w:b/>
          <w:bCs/>
          <w14:ligatures w14:val="standardContextual"/>
        </w:rPr>
      </w:pPr>
      <w:r w:rsidRPr="004B707B">
        <w:rPr>
          <w:b/>
          <w:bCs/>
          <w14:ligatures w14:val="standardContextual"/>
        </w:rPr>
        <w:t>National Māori Lived Experience Hui</w:t>
      </w:r>
    </w:p>
    <w:p w14:paraId="71DF3E7C" w14:textId="77777777" w:rsidR="00911961" w:rsidRPr="004B707B" w:rsidRDefault="00911961" w:rsidP="00911961">
      <w:pPr>
        <w:spacing w:after="160" w:line="259" w:lineRule="auto"/>
        <w:rPr>
          <w14:ligatures w14:val="standardContextual"/>
        </w:rPr>
      </w:pPr>
      <w:r w:rsidRPr="004B707B">
        <w:rPr>
          <w14:ligatures w14:val="standardContextual"/>
        </w:rPr>
        <w:t>Lived experience kaimahi Māori working across the mental health and addiction sector gathered in Te Whanganui-a-tara Wellington at the first Te Aka Whai Ora National Māori Lived Experience Hui on 22-23 June 2023. The purpose of the hui was to share their aspirations in the future direction of lived experience peer led workforces.</w:t>
      </w:r>
    </w:p>
    <w:p w14:paraId="1C6D152F" w14:textId="77777777" w:rsidR="00911961" w:rsidRPr="004B707B" w:rsidRDefault="00911961" w:rsidP="00911961">
      <w:pPr>
        <w:spacing w:after="160" w:line="259" w:lineRule="auto"/>
        <w:rPr>
          <w14:ligatures w14:val="standardContextual"/>
        </w:rPr>
      </w:pPr>
      <w:r w:rsidRPr="004B707B">
        <w:rPr>
          <w14:ligatures w14:val="standardContextual"/>
        </w:rPr>
        <w:t>Tāngata Whaiora, whānau and people employed in peer and/or Lived Experience roles have continuously voiced the need for national and regional strategies that embed all the diverse voices of Tāngata Whaiora and whānau Māori in the Mental Health and Addiction Sector.</w:t>
      </w:r>
    </w:p>
    <w:p w14:paraId="1FD2628D" w14:textId="77777777" w:rsidR="00911961" w:rsidRPr="004B707B" w:rsidRDefault="00911961" w:rsidP="00911961">
      <w:pPr>
        <w:spacing w:after="160" w:line="259" w:lineRule="auto"/>
        <w:rPr>
          <w:color w:val="000000"/>
          <w14:ligatures w14:val="standardContextual"/>
        </w:rPr>
      </w:pPr>
      <w:r w:rsidRPr="004B707B">
        <w:rPr>
          <w:color w:val="000000"/>
          <w14:ligatures w14:val="standardContextual"/>
        </w:rPr>
        <w:t>This hui was the first objective of Oranga Hinengaro to hear the voices of the communities they serve and to inform the work that is needed to make positive change, noting that He Ara Oranga recommendations 20, 21 and 22 provided clear expectations that engagement with lived experience was required to transform the health system.</w:t>
      </w:r>
    </w:p>
    <w:p w14:paraId="651B70B8" w14:textId="77777777" w:rsidR="00911961" w:rsidRPr="004B707B" w:rsidRDefault="00911961" w:rsidP="00EF5DAA">
      <w:pPr>
        <w:spacing w:after="0" w:line="259" w:lineRule="auto"/>
        <w:rPr>
          <w:color w:val="000000"/>
          <w14:ligatures w14:val="standardContextual"/>
        </w:rPr>
      </w:pPr>
      <w:r w:rsidRPr="004B707B">
        <w:rPr>
          <w:color w:val="000000"/>
          <w14:ligatures w14:val="standardContextual"/>
        </w:rPr>
        <w:t>Feedback for the Northern region included:</w:t>
      </w:r>
    </w:p>
    <w:p w14:paraId="68C03735" w14:textId="278A2BCC" w:rsidR="00911961" w:rsidRPr="004B707B" w:rsidRDefault="00911961" w:rsidP="00911961">
      <w:pPr>
        <w:numPr>
          <w:ilvl w:val="0"/>
          <w:numId w:val="32"/>
        </w:numPr>
        <w:autoSpaceDE/>
        <w:autoSpaceDN/>
        <w:adjustRightInd/>
        <w:spacing w:after="0" w:line="240" w:lineRule="auto"/>
        <w:contextualSpacing/>
        <w:rPr>
          <w:color w:val="000000"/>
          <w14:ligatures w14:val="standardContextual"/>
        </w:rPr>
      </w:pPr>
      <w:r w:rsidRPr="004B707B">
        <w:rPr>
          <w:color w:val="000000"/>
          <w14:ligatures w14:val="standardContextual"/>
        </w:rPr>
        <w:t xml:space="preserve">Housing remains an issue particularly safe emergency housing provisions for whānau </w:t>
      </w:r>
      <w:r w:rsidR="00D67F5F" w:rsidRPr="004B707B">
        <w:rPr>
          <w:color w:val="000000"/>
          <w14:ligatures w14:val="standardContextual"/>
        </w:rPr>
        <w:t>Māori.</w:t>
      </w:r>
    </w:p>
    <w:p w14:paraId="3112C977" w14:textId="7CB75F75" w:rsidR="00911961" w:rsidRPr="004B707B" w:rsidRDefault="00911961" w:rsidP="00911961">
      <w:pPr>
        <w:numPr>
          <w:ilvl w:val="0"/>
          <w:numId w:val="32"/>
        </w:numPr>
        <w:autoSpaceDE/>
        <w:autoSpaceDN/>
        <w:adjustRightInd/>
        <w:spacing w:after="0" w:line="240" w:lineRule="auto"/>
        <w:contextualSpacing/>
        <w:rPr>
          <w:color w:val="000000"/>
          <w14:ligatures w14:val="standardContextual"/>
        </w:rPr>
      </w:pPr>
      <w:r w:rsidRPr="004B707B">
        <w:rPr>
          <w:color w:val="000000"/>
          <w14:ligatures w14:val="standardContextual"/>
        </w:rPr>
        <w:t xml:space="preserve">Systemic discrimination against Māori remains a key </w:t>
      </w:r>
      <w:r w:rsidR="00D67F5F" w:rsidRPr="004B707B">
        <w:rPr>
          <w:color w:val="000000"/>
          <w14:ligatures w14:val="standardContextual"/>
        </w:rPr>
        <w:t>issue.</w:t>
      </w:r>
    </w:p>
    <w:p w14:paraId="38C7B292" w14:textId="4858F770" w:rsidR="00911961" w:rsidRPr="004B707B" w:rsidRDefault="00911961" w:rsidP="00911961">
      <w:pPr>
        <w:numPr>
          <w:ilvl w:val="0"/>
          <w:numId w:val="32"/>
        </w:numPr>
        <w:autoSpaceDE/>
        <w:autoSpaceDN/>
        <w:adjustRightInd/>
        <w:spacing w:after="0" w:line="240" w:lineRule="auto"/>
        <w:contextualSpacing/>
        <w:rPr>
          <w:color w:val="000000"/>
          <w14:ligatures w14:val="standardContextual"/>
        </w:rPr>
      </w:pPr>
      <w:r w:rsidRPr="004B707B">
        <w:rPr>
          <w:color w:val="000000"/>
          <w14:ligatures w14:val="standardContextual"/>
        </w:rPr>
        <w:t xml:space="preserve">Mana-enhancing and tikanga-based solutions are </w:t>
      </w:r>
      <w:r w:rsidR="00D67F5F" w:rsidRPr="004B707B">
        <w:rPr>
          <w:color w:val="000000"/>
          <w14:ligatures w14:val="standardContextual"/>
        </w:rPr>
        <w:t>needed.</w:t>
      </w:r>
    </w:p>
    <w:p w14:paraId="601A6ACC" w14:textId="1B924C18" w:rsidR="00911961" w:rsidRPr="004B707B" w:rsidRDefault="00911961" w:rsidP="00911961">
      <w:pPr>
        <w:numPr>
          <w:ilvl w:val="0"/>
          <w:numId w:val="32"/>
        </w:numPr>
        <w:autoSpaceDE/>
        <w:autoSpaceDN/>
        <w:adjustRightInd/>
        <w:spacing w:after="0" w:line="240" w:lineRule="auto"/>
        <w:contextualSpacing/>
        <w:rPr>
          <w:color w:val="000000"/>
          <w14:ligatures w14:val="standardContextual"/>
        </w:rPr>
      </w:pPr>
      <w:r w:rsidRPr="004B707B">
        <w:rPr>
          <w:color w:val="000000"/>
          <w14:ligatures w14:val="standardContextual"/>
        </w:rPr>
        <w:t xml:space="preserve">Addiction is not being treated as a mental health </w:t>
      </w:r>
      <w:r w:rsidR="00D67F5F" w:rsidRPr="004B707B">
        <w:rPr>
          <w:color w:val="000000"/>
          <w14:ligatures w14:val="standardContextual"/>
        </w:rPr>
        <w:t>issue.</w:t>
      </w:r>
    </w:p>
    <w:p w14:paraId="707FF331" w14:textId="2F0CE330" w:rsidR="00911961" w:rsidRPr="004B707B" w:rsidRDefault="00911961" w:rsidP="00911961">
      <w:pPr>
        <w:numPr>
          <w:ilvl w:val="0"/>
          <w:numId w:val="32"/>
        </w:numPr>
        <w:autoSpaceDE/>
        <w:autoSpaceDN/>
        <w:adjustRightInd/>
        <w:spacing w:after="0" w:line="240" w:lineRule="auto"/>
        <w:contextualSpacing/>
        <w:rPr>
          <w:color w:val="000000"/>
          <w14:ligatures w14:val="standardContextual"/>
        </w:rPr>
      </w:pPr>
      <w:r w:rsidRPr="004B707B">
        <w:rPr>
          <w:color w:val="000000"/>
          <w14:ligatures w14:val="standardContextual"/>
        </w:rPr>
        <w:t xml:space="preserve">Access to culturally competent practitioners is essential to support whai </w:t>
      </w:r>
      <w:r w:rsidR="00D67F5F" w:rsidRPr="004B707B">
        <w:rPr>
          <w:color w:val="000000"/>
          <w14:ligatures w14:val="standardContextual"/>
        </w:rPr>
        <w:t>ora.</w:t>
      </w:r>
    </w:p>
    <w:p w14:paraId="77A18BE5" w14:textId="493C91C6" w:rsidR="00911961" w:rsidRPr="004B707B" w:rsidRDefault="00911961" w:rsidP="00911961">
      <w:pPr>
        <w:numPr>
          <w:ilvl w:val="0"/>
          <w:numId w:val="32"/>
        </w:numPr>
        <w:autoSpaceDE/>
        <w:autoSpaceDN/>
        <w:adjustRightInd/>
        <w:spacing w:after="0" w:line="240" w:lineRule="auto"/>
        <w:contextualSpacing/>
        <w:rPr>
          <w:color w:val="000000"/>
          <w14:ligatures w14:val="standardContextual"/>
        </w:rPr>
      </w:pPr>
      <w:r w:rsidRPr="004B707B">
        <w:rPr>
          <w:color w:val="000000"/>
          <w14:ligatures w14:val="standardContextual"/>
        </w:rPr>
        <w:t xml:space="preserve">More funding is needed to support matauraunga solutions and should be based on a </w:t>
      </w:r>
      <w:r w:rsidR="00D67F5F" w:rsidRPr="004B707B">
        <w:rPr>
          <w:color w:val="000000"/>
          <w14:ligatures w14:val="standardContextual"/>
        </w:rPr>
        <w:t>high trust</w:t>
      </w:r>
      <w:r w:rsidRPr="004B707B">
        <w:rPr>
          <w:color w:val="000000"/>
          <w14:ligatures w14:val="standardContextual"/>
        </w:rPr>
        <w:t xml:space="preserve"> </w:t>
      </w:r>
      <w:r w:rsidR="0094715A" w:rsidRPr="004B707B">
        <w:rPr>
          <w:color w:val="000000"/>
          <w14:ligatures w14:val="standardContextual"/>
        </w:rPr>
        <w:t>model.</w:t>
      </w:r>
    </w:p>
    <w:p w14:paraId="0B80BC04" w14:textId="4F9EDFE5" w:rsidR="00911961" w:rsidRPr="004B707B" w:rsidRDefault="00911961" w:rsidP="00911961">
      <w:pPr>
        <w:numPr>
          <w:ilvl w:val="0"/>
          <w:numId w:val="32"/>
        </w:numPr>
        <w:autoSpaceDE/>
        <w:autoSpaceDN/>
        <w:adjustRightInd/>
        <w:spacing w:after="0" w:line="240" w:lineRule="auto"/>
        <w:contextualSpacing/>
        <w:rPr>
          <w:color w:val="000000"/>
          <w14:ligatures w14:val="standardContextual"/>
        </w:rPr>
      </w:pPr>
      <w:r w:rsidRPr="004B707B">
        <w:rPr>
          <w:color w:val="000000"/>
          <w14:ligatures w14:val="standardContextual"/>
        </w:rPr>
        <w:t xml:space="preserve">Tohunga continue to be underfunded and not recognised as part of the </w:t>
      </w:r>
      <w:r w:rsidR="00E17677" w:rsidRPr="004B707B">
        <w:rPr>
          <w:color w:val="000000"/>
          <w14:ligatures w14:val="standardContextual"/>
        </w:rPr>
        <w:t>solution.</w:t>
      </w:r>
    </w:p>
    <w:p w14:paraId="64B9A79D" w14:textId="77777777" w:rsidR="00911961" w:rsidRPr="004B707B" w:rsidRDefault="00911961" w:rsidP="00911961">
      <w:pPr>
        <w:numPr>
          <w:ilvl w:val="0"/>
          <w:numId w:val="32"/>
        </w:numPr>
        <w:autoSpaceDE/>
        <w:autoSpaceDN/>
        <w:adjustRightInd/>
        <w:spacing w:after="0" w:line="240" w:lineRule="auto"/>
        <w:contextualSpacing/>
        <w:rPr>
          <w:color w:val="000000"/>
          <w14:ligatures w14:val="standardContextual"/>
        </w:rPr>
      </w:pPr>
      <w:r w:rsidRPr="004B707B">
        <w:rPr>
          <w:color w:val="000000"/>
          <w14:ligatures w14:val="standardContextual"/>
        </w:rPr>
        <w:t xml:space="preserve">Continued breaches of Te Tiriti </w:t>
      </w:r>
    </w:p>
    <w:p w14:paraId="41601AC9" w14:textId="4CFD856A" w:rsidR="00911961" w:rsidRPr="004B707B" w:rsidRDefault="00911961" w:rsidP="00911961">
      <w:pPr>
        <w:numPr>
          <w:ilvl w:val="0"/>
          <w:numId w:val="32"/>
        </w:numPr>
        <w:autoSpaceDE/>
        <w:autoSpaceDN/>
        <w:adjustRightInd/>
        <w:spacing w:after="0" w:line="240" w:lineRule="auto"/>
        <w:contextualSpacing/>
        <w:rPr>
          <w:color w:val="000000"/>
          <w14:ligatures w14:val="standardContextual"/>
        </w:rPr>
      </w:pPr>
      <w:r w:rsidRPr="004B707B">
        <w:rPr>
          <w:color w:val="000000"/>
          <w14:ligatures w14:val="standardContextual"/>
        </w:rPr>
        <w:t xml:space="preserve">More Māori needed at a leadership level across the </w:t>
      </w:r>
      <w:r w:rsidR="00E17677" w:rsidRPr="004B707B">
        <w:rPr>
          <w:color w:val="000000"/>
          <w14:ligatures w14:val="standardContextual"/>
        </w:rPr>
        <w:t>system.</w:t>
      </w:r>
    </w:p>
    <w:p w14:paraId="5EBEC82A" w14:textId="77777777" w:rsidR="00A20A7D" w:rsidRDefault="00A20A7D" w:rsidP="00911961">
      <w:pPr>
        <w:spacing w:after="160" w:line="259" w:lineRule="auto"/>
        <w:rPr>
          <w:b/>
          <w:bCs/>
          <w:color w:val="000000" w:themeColor="text1"/>
          <w14:ligatures w14:val="standardContextual"/>
        </w:rPr>
      </w:pPr>
    </w:p>
    <w:p w14:paraId="07DE8FFF" w14:textId="7BBEB8A7" w:rsidR="00911961" w:rsidRPr="004B707B" w:rsidRDefault="00911961" w:rsidP="00911961">
      <w:pPr>
        <w:spacing w:after="160" w:line="259" w:lineRule="auto"/>
        <w:rPr>
          <w:b/>
          <w:bCs/>
          <w:color w:val="000000" w:themeColor="text1"/>
          <w14:ligatures w14:val="standardContextual"/>
        </w:rPr>
      </w:pPr>
      <w:r w:rsidRPr="004B707B">
        <w:rPr>
          <w:b/>
          <w:bCs/>
          <w:color w:val="000000" w:themeColor="text1"/>
          <w14:ligatures w14:val="standardContextual"/>
        </w:rPr>
        <w:t>PEPI Model of Care Project</w:t>
      </w:r>
    </w:p>
    <w:p w14:paraId="0046CF54" w14:textId="6CC033F8" w:rsidR="00911961" w:rsidRPr="004B707B" w:rsidRDefault="00911961" w:rsidP="00911961">
      <w:pPr>
        <w:spacing w:after="160" w:line="259" w:lineRule="auto"/>
        <w:rPr>
          <w:color w:val="000000" w:themeColor="text1"/>
          <w14:ligatures w14:val="standardContextual"/>
        </w:rPr>
      </w:pPr>
      <w:r w:rsidRPr="004B707B">
        <w:rPr>
          <w:color w:val="000000" w:themeColor="text1"/>
          <w14:ligatures w14:val="standardContextual"/>
        </w:rPr>
        <w:t xml:space="preserve">The purpose of this project is to address barriers to Pregnancy, Early </w:t>
      </w:r>
      <w:r w:rsidR="00711458" w:rsidRPr="004B707B">
        <w:rPr>
          <w:color w:val="000000" w:themeColor="text1"/>
          <w14:ligatures w14:val="standardContextual"/>
        </w:rPr>
        <w:t>Parenthood,</w:t>
      </w:r>
      <w:r w:rsidRPr="004B707B">
        <w:rPr>
          <w:color w:val="000000" w:themeColor="text1"/>
          <w14:ligatures w14:val="standardContextual"/>
        </w:rPr>
        <w:t xml:space="preserve"> and Infant (PEPI) Mental Health services.</w:t>
      </w:r>
    </w:p>
    <w:p w14:paraId="378C8B01" w14:textId="77777777" w:rsidR="00911961" w:rsidRPr="004B707B" w:rsidRDefault="00911961" w:rsidP="00911961">
      <w:pPr>
        <w:spacing w:after="160" w:line="259" w:lineRule="auto"/>
        <w:rPr>
          <w:rFonts w:eastAsia="Times New Roman"/>
          <w:b/>
          <w:bCs/>
          <w:color w:val="000000"/>
          <w:lang w:eastAsia="en-NZ"/>
          <w14:ligatures w14:val="standardContextual"/>
        </w:rPr>
      </w:pPr>
      <w:r w:rsidRPr="004B707B">
        <w:rPr>
          <w:rFonts w:eastAsia="Times New Roman"/>
          <w:b/>
          <w:bCs/>
          <w:color w:val="000000" w:themeColor="text1"/>
          <w:lang w:eastAsia="en-NZ"/>
          <w14:ligatures w14:val="standardContextual"/>
        </w:rPr>
        <w:t>Progress:</w:t>
      </w:r>
    </w:p>
    <w:p w14:paraId="25BD75C4" w14:textId="77777777" w:rsidR="00911961" w:rsidRPr="004B707B" w:rsidRDefault="00911961" w:rsidP="00911961">
      <w:pPr>
        <w:numPr>
          <w:ilvl w:val="0"/>
          <w:numId w:val="33"/>
        </w:numPr>
        <w:autoSpaceDE/>
        <w:autoSpaceDN/>
        <w:adjustRightInd/>
        <w:spacing w:after="0" w:line="240" w:lineRule="auto"/>
        <w:contextualSpacing/>
        <w:rPr>
          <w:color w:val="000000" w:themeColor="text1"/>
          <w14:ligatures w14:val="standardContextual"/>
        </w:rPr>
      </w:pPr>
      <w:r w:rsidRPr="004B707B">
        <w:rPr>
          <w:color w:val="000000" w:themeColor="text1"/>
          <w14:ligatures w14:val="standardContextual"/>
        </w:rPr>
        <w:t>A serie</w:t>
      </w:r>
      <w:r w:rsidRPr="004B707B">
        <w:rPr>
          <w:rFonts w:eastAsiaTheme="minorEastAsia"/>
          <w:color w:val="000000" w:themeColor="text1"/>
          <w14:ligatures w14:val="standardContextual"/>
        </w:rPr>
        <w:t>s of three kanohi ki te kanohi (face to face) hui have been completed. A draft workplan is in development in partnership with clin</w:t>
      </w:r>
      <w:r w:rsidRPr="004B707B">
        <w:rPr>
          <w:color w:val="000000" w:themeColor="text1"/>
          <w14:ligatures w14:val="standardContextual"/>
        </w:rPr>
        <w:t xml:space="preserve">ical leaders. </w:t>
      </w:r>
    </w:p>
    <w:p w14:paraId="705B9E3E" w14:textId="73B1E9B0" w:rsidR="00911961" w:rsidRPr="004B707B" w:rsidRDefault="00911961" w:rsidP="00911961">
      <w:pPr>
        <w:numPr>
          <w:ilvl w:val="0"/>
          <w:numId w:val="33"/>
        </w:numPr>
        <w:autoSpaceDE/>
        <w:autoSpaceDN/>
        <w:adjustRightInd/>
        <w:spacing w:after="0" w:line="240" w:lineRule="auto"/>
        <w:contextualSpacing/>
        <w:rPr>
          <w:rFonts w:eastAsiaTheme="minorEastAsia"/>
          <w:color w:val="000000" w:themeColor="text1"/>
          <w14:ligatures w14:val="standardContextual"/>
        </w:rPr>
      </w:pPr>
      <w:r w:rsidRPr="004B707B">
        <w:rPr>
          <w:rFonts w:eastAsiaTheme="minorEastAsia"/>
          <w:color w:val="000000" w:themeColor="text1"/>
          <w14:ligatures w14:val="standardContextual"/>
        </w:rPr>
        <w:t xml:space="preserve">A hui with consumer leaders was held in July to theme feedback collected through a series of interviews with mama who have used district PEPI services. The outcomes of this will inform, </w:t>
      </w:r>
      <w:r w:rsidR="00711458" w:rsidRPr="004B707B">
        <w:rPr>
          <w:rFonts w:eastAsiaTheme="minorEastAsia"/>
          <w:color w:val="000000" w:themeColor="text1"/>
          <w14:ligatures w14:val="standardContextual"/>
        </w:rPr>
        <w:t>shape,</w:t>
      </w:r>
      <w:r w:rsidRPr="004B707B">
        <w:rPr>
          <w:rFonts w:eastAsiaTheme="minorEastAsia"/>
          <w:color w:val="000000" w:themeColor="text1"/>
          <w14:ligatures w14:val="standardContextual"/>
        </w:rPr>
        <w:t xml:space="preserve"> and provide depth to the workplan.</w:t>
      </w:r>
    </w:p>
    <w:p w14:paraId="05D299A7" w14:textId="77777777" w:rsidR="00911961" w:rsidRPr="004B707B" w:rsidRDefault="00911961" w:rsidP="00911961">
      <w:pPr>
        <w:numPr>
          <w:ilvl w:val="0"/>
          <w:numId w:val="33"/>
        </w:numPr>
        <w:autoSpaceDE/>
        <w:autoSpaceDN/>
        <w:adjustRightInd/>
        <w:spacing w:after="0" w:line="240" w:lineRule="auto"/>
        <w:contextualSpacing/>
        <w:rPr>
          <w:rFonts w:eastAsiaTheme="minorEastAsia"/>
          <w:color w:val="000000" w:themeColor="text1"/>
          <w14:ligatures w14:val="standardContextual"/>
        </w:rPr>
      </w:pPr>
      <w:r w:rsidRPr="004B707B">
        <w:rPr>
          <w:rFonts w:eastAsiaTheme="minorEastAsia"/>
          <w:color w:val="000000" w:themeColor="text1"/>
          <w14:ligatures w14:val="standardContextual"/>
        </w:rPr>
        <w:t>Jodie will be providing consumer leadership to the rōpu now that Aaryn Niuapu has begun his new role at Oranga Hinengaro.</w:t>
      </w:r>
    </w:p>
    <w:p w14:paraId="7B5D4925" w14:textId="77777777" w:rsidR="00911961" w:rsidRPr="004B707B" w:rsidRDefault="00911961" w:rsidP="00911961">
      <w:pPr>
        <w:numPr>
          <w:ilvl w:val="0"/>
          <w:numId w:val="33"/>
        </w:numPr>
        <w:autoSpaceDE/>
        <w:autoSpaceDN/>
        <w:adjustRightInd/>
        <w:spacing w:after="0" w:line="240" w:lineRule="auto"/>
        <w:contextualSpacing/>
        <w:rPr>
          <w:rFonts w:eastAsiaTheme="minorEastAsia"/>
          <w:color w:val="000000" w:themeColor="text1"/>
          <w14:ligatures w14:val="standardContextual"/>
        </w:rPr>
      </w:pPr>
      <w:r w:rsidRPr="004B707B">
        <w:rPr>
          <w:rFonts w:eastAsiaTheme="minorEastAsia"/>
          <w:color w:val="000000" w:themeColor="text1"/>
          <w14:ligatures w14:val="standardContextual"/>
        </w:rPr>
        <w:t xml:space="preserve">Jodie has submitted a proposal suggesting a co-governance structure for the Steering Group to the Regional Governance group – referencing bringing the Code of Expectations and various other policy documents to life by prioritising the voice of consumers, whānau and Lived Experience by having ‘a seat at the leadership table’. This would include a shared Terms of Reference and an equal number of Lived Experience to Clinician representation.  </w:t>
      </w:r>
    </w:p>
    <w:p w14:paraId="44CC1A76" w14:textId="77777777" w:rsidR="00911961" w:rsidRDefault="00911961" w:rsidP="00911961">
      <w:pPr>
        <w:spacing w:after="0"/>
        <w:jc w:val="both"/>
        <w:rPr>
          <w:b/>
          <w:iCs/>
        </w:rPr>
      </w:pPr>
    </w:p>
    <w:p w14:paraId="651FEAD2" w14:textId="77777777" w:rsidR="00911961" w:rsidRPr="00095B25" w:rsidRDefault="00911961" w:rsidP="00911961">
      <w:pPr>
        <w:jc w:val="both"/>
        <w:rPr>
          <w:b/>
          <w:iCs/>
        </w:rPr>
      </w:pPr>
      <w:r w:rsidRPr="00095B25">
        <w:rPr>
          <w:b/>
          <w:iCs/>
        </w:rPr>
        <w:t>Services</w:t>
      </w:r>
    </w:p>
    <w:p w14:paraId="14805ED9" w14:textId="77777777" w:rsidR="00911961" w:rsidRPr="00C80765" w:rsidRDefault="00911961" w:rsidP="00911961">
      <w:pPr>
        <w:tabs>
          <w:tab w:val="left" w:pos="7371"/>
        </w:tabs>
        <w:spacing w:after="160" w:line="259" w:lineRule="auto"/>
        <w:rPr>
          <w:b/>
          <w:bCs/>
          <w14:ligatures w14:val="standardContextual"/>
        </w:rPr>
      </w:pPr>
      <w:r w:rsidRPr="00C80765">
        <w:rPr>
          <w:b/>
          <w:bCs/>
          <w14:ligatures w14:val="standardContextual"/>
        </w:rPr>
        <w:t xml:space="preserve">Te Whatu Ora Northern Update </w:t>
      </w:r>
    </w:p>
    <w:p w14:paraId="1BC3552B" w14:textId="77777777" w:rsidR="00911961" w:rsidRPr="00C80765" w:rsidRDefault="00911961" w:rsidP="00911961">
      <w:pPr>
        <w:tabs>
          <w:tab w:val="left" w:pos="7371"/>
        </w:tabs>
        <w:spacing w:line="259" w:lineRule="auto"/>
        <w:rPr>
          <w14:ligatures w14:val="standardContextual"/>
        </w:rPr>
      </w:pPr>
      <w:r w:rsidRPr="00C80765">
        <w:rPr>
          <w14:ligatures w14:val="standardContextual"/>
        </w:rPr>
        <w:t>Te Whatu Ora have reported an overview of Mental Health and Addiction services across the Northern region (Northland and Tāmaki Makaurau). These include:</w:t>
      </w:r>
    </w:p>
    <w:p w14:paraId="2FA71E26" w14:textId="77777777" w:rsidR="00911961" w:rsidRPr="00C80765" w:rsidRDefault="00911961" w:rsidP="00911961">
      <w:pPr>
        <w:numPr>
          <w:ilvl w:val="0"/>
          <w:numId w:val="34"/>
        </w:numPr>
        <w:tabs>
          <w:tab w:val="left" w:pos="7371"/>
        </w:tabs>
        <w:autoSpaceDE/>
        <w:autoSpaceDN/>
        <w:adjustRightInd/>
        <w:spacing w:after="0" w:line="240" w:lineRule="auto"/>
        <w:contextualSpacing/>
        <w:rPr>
          <w14:ligatures w14:val="standardContextual"/>
        </w:rPr>
      </w:pPr>
      <w:r w:rsidRPr="00C80765">
        <w:rPr>
          <w14:ligatures w14:val="standardContextual"/>
        </w:rPr>
        <w:t xml:space="preserve">Across the Northern Region, 62,009 people (across the life span) accessed Hospital and Specialist (HSS) from 1 July 2021 to 30 June 2022. (Community-based service data has not been included) </w:t>
      </w:r>
    </w:p>
    <w:p w14:paraId="393C753E" w14:textId="77777777" w:rsidR="00911961" w:rsidRPr="00C80765" w:rsidRDefault="00911961" w:rsidP="00911961">
      <w:pPr>
        <w:numPr>
          <w:ilvl w:val="0"/>
          <w:numId w:val="34"/>
        </w:numPr>
        <w:autoSpaceDE/>
        <w:autoSpaceDN/>
        <w:adjustRightInd/>
        <w:spacing w:after="0" w:line="240" w:lineRule="auto"/>
        <w:contextualSpacing/>
        <w:rPr>
          <w14:ligatures w14:val="standardContextual"/>
        </w:rPr>
      </w:pPr>
      <w:r w:rsidRPr="00C80765">
        <w:rPr>
          <w14:ligatures w14:val="standardContextual"/>
        </w:rPr>
        <w:t xml:space="preserve">Of the total 62,009 people seen, 16,516 identified as Māori, 7,033 as Pacific, 6,708 as Asian and 31,752 as other ethnicities. </w:t>
      </w:r>
    </w:p>
    <w:p w14:paraId="5F6A9267" w14:textId="77777777" w:rsidR="00911961" w:rsidRPr="00C80765" w:rsidRDefault="00911961" w:rsidP="00911961">
      <w:pPr>
        <w:numPr>
          <w:ilvl w:val="0"/>
          <w:numId w:val="34"/>
        </w:numPr>
        <w:autoSpaceDE/>
        <w:autoSpaceDN/>
        <w:adjustRightInd/>
        <w:spacing w:after="0" w:line="240" w:lineRule="auto"/>
        <w:contextualSpacing/>
        <w:rPr>
          <w14:ligatures w14:val="standardContextual"/>
        </w:rPr>
      </w:pPr>
      <w:r w:rsidRPr="00C80765">
        <w:rPr>
          <w14:ligatures w14:val="standardContextual"/>
        </w:rPr>
        <w:t xml:space="preserve">Of the total 62,009 people seen,16,462 were 0-19 years, 39,965 were 20-64 years and 6,133 were 65 years or older. </w:t>
      </w:r>
    </w:p>
    <w:p w14:paraId="167F732E" w14:textId="77777777" w:rsidR="00911961" w:rsidRPr="00C80765" w:rsidRDefault="00911961" w:rsidP="00911961">
      <w:pPr>
        <w:numPr>
          <w:ilvl w:val="0"/>
          <w:numId w:val="34"/>
        </w:numPr>
        <w:autoSpaceDE/>
        <w:autoSpaceDN/>
        <w:adjustRightInd/>
        <w:spacing w:after="0" w:line="240" w:lineRule="auto"/>
        <w:contextualSpacing/>
        <w:rPr>
          <w14:ligatures w14:val="standardContextual"/>
        </w:rPr>
      </w:pPr>
      <w:r w:rsidRPr="00C80765">
        <w:rPr>
          <w14:ligatures w14:val="standardContextual"/>
        </w:rPr>
        <w:t xml:space="preserve">There were 3,504 seclusion events. </w:t>
      </w:r>
    </w:p>
    <w:p w14:paraId="3272658F" w14:textId="77777777" w:rsidR="00911961" w:rsidRPr="00C80765" w:rsidRDefault="00911961" w:rsidP="00911961">
      <w:pPr>
        <w:spacing w:after="0" w:line="240" w:lineRule="auto"/>
        <w:ind w:left="720"/>
        <w:contextualSpacing/>
        <w:rPr>
          <w14:ligatures w14:val="standardContextual"/>
        </w:rPr>
      </w:pPr>
    </w:p>
    <w:p w14:paraId="69AEDB1D" w14:textId="77777777" w:rsidR="00911961" w:rsidRPr="00C80765" w:rsidRDefault="00911961" w:rsidP="00911961">
      <w:pPr>
        <w:spacing w:after="160" w:line="259" w:lineRule="auto"/>
        <w:rPr>
          <w14:ligatures w14:val="standardContextual"/>
        </w:rPr>
      </w:pPr>
      <w:r w:rsidRPr="00C80765">
        <w:rPr>
          <w14:ligatures w14:val="standardContextual"/>
        </w:rPr>
        <w:t xml:space="preserve">Currently, demand has outstripped supply for acute inpatient services and uncommissioned beds cannot be opened due to workforce shortages. Senior Medical Officer (SMO) shortages in some districts are leading to delays in assessment and discharge. </w:t>
      </w:r>
    </w:p>
    <w:p w14:paraId="7418E244" w14:textId="77777777" w:rsidR="00911961" w:rsidRPr="00C80765" w:rsidRDefault="00911961" w:rsidP="00911961">
      <w:pPr>
        <w:spacing w:after="160" w:line="259" w:lineRule="auto"/>
        <w:rPr>
          <w14:ligatures w14:val="standardContextual"/>
        </w:rPr>
      </w:pPr>
      <w:r w:rsidRPr="00C80765">
        <w:rPr>
          <w14:ligatures w14:val="standardContextual"/>
        </w:rPr>
        <w:t>The workforce shortages are now critical, and this is heavily impacting whai ora and whānau.</w:t>
      </w:r>
    </w:p>
    <w:p w14:paraId="79AD38C5" w14:textId="77777777" w:rsidR="00911961" w:rsidRPr="00C80765" w:rsidRDefault="00911961" w:rsidP="002B3C08">
      <w:pPr>
        <w:spacing w:before="240"/>
        <w:jc w:val="both"/>
        <w:rPr>
          <w:b/>
          <w:iCs/>
        </w:rPr>
      </w:pPr>
      <w:r w:rsidRPr="00C80765">
        <w:rPr>
          <w:b/>
          <w:iCs/>
        </w:rPr>
        <w:t>Positive stories and exemplars</w:t>
      </w:r>
    </w:p>
    <w:p w14:paraId="0567D754" w14:textId="77777777" w:rsidR="00911961" w:rsidRPr="001B4C5D" w:rsidRDefault="00911961" w:rsidP="00911961">
      <w:pPr>
        <w:spacing w:after="160" w:line="259" w:lineRule="auto"/>
        <w:rPr>
          <w:rFonts w:eastAsiaTheme="minorEastAsia"/>
          <w:b/>
          <w:bCs/>
          <w:color w:val="000000" w:themeColor="text1"/>
          <w:sz w:val="20"/>
          <w:szCs w:val="20"/>
          <w14:ligatures w14:val="standardContextual"/>
        </w:rPr>
      </w:pPr>
      <w:r w:rsidRPr="001B4C5D">
        <w:rPr>
          <w:rFonts w:eastAsiaTheme="minorEastAsia"/>
          <w:b/>
          <w:bCs/>
          <w:color w:val="000000" w:themeColor="text1"/>
          <w:sz w:val="20"/>
          <w:szCs w:val="20"/>
          <w14:ligatures w14:val="standardContextual"/>
        </w:rPr>
        <w:t>Code of Expectations – Implementation at Changing Minds</w:t>
      </w:r>
    </w:p>
    <w:p w14:paraId="7BBC6B6F" w14:textId="77777777" w:rsidR="00911961" w:rsidRPr="001A2707" w:rsidRDefault="00911961" w:rsidP="00911961">
      <w:pPr>
        <w:spacing w:after="160" w:line="259" w:lineRule="auto"/>
        <w:rPr>
          <w:rFonts w:eastAsiaTheme="minorEastAsia"/>
          <w:color w:val="000000" w:themeColor="text1"/>
          <w14:ligatures w14:val="standardContextual"/>
        </w:rPr>
      </w:pPr>
      <w:r w:rsidRPr="001A2707">
        <w:rPr>
          <w:rFonts w:eastAsiaTheme="minorEastAsia"/>
          <w:color w:val="000000" w:themeColor="text1"/>
          <w14:ligatures w14:val="standardContextual"/>
        </w:rPr>
        <w:t xml:space="preserve">Changing Minds will voluntarily hold ourselves accountable to meeting the Code of Expectations and this begins with being transparent about how we currently meet it in our present position. A ‘stocktake’ measuring ourselves against the Code of Expectations shows we are performing strongly in some areas and others provide opportunity for improvement. </w:t>
      </w:r>
    </w:p>
    <w:p w14:paraId="06726AD4" w14:textId="77777777" w:rsidR="00911961" w:rsidRPr="001A2707" w:rsidRDefault="00911961" w:rsidP="00911961">
      <w:pPr>
        <w:spacing w:after="160" w:line="259" w:lineRule="auto"/>
        <w:rPr>
          <w:rFonts w:eastAsiaTheme="minorEastAsia"/>
          <w:color w:val="000000" w:themeColor="text1"/>
          <w14:ligatures w14:val="standardContextual"/>
        </w:rPr>
      </w:pPr>
      <w:r w:rsidRPr="001A2707">
        <w:rPr>
          <w:rFonts w:eastAsiaTheme="minorEastAsia"/>
          <w:color w:val="000000" w:themeColor="text1"/>
          <w14:ligatures w14:val="standardContextual"/>
        </w:rPr>
        <w:t xml:space="preserve">We intend to implement our obligations to the Code of Expectations by telling our community how we are meeting the code, and how we are seeking to improve in other areas. This will include a working document uploaded to a dedicated page on our website that will regularly update on our performance and work we are committing to completing. </w:t>
      </w:r>
    </w:p>
    <w:p w14:paraId="6E78F0E6" w14:textId="77777777" w:rsidR="00911961" w:rsidRPr="001A2707" w:rsidRDefault="00911961" w:rsidP="00911961">
      <w:pPr>
        <w:spacing w:after="160" w:line="259" w:lineRule="auto"/>
        <w:rPr>
          <w:rFonts w:eastAsiaTheme="minorEastAsia"/>
          <w:color w:val="000000" w:themeColor="text1"/>
          <w14:ligatures w14:val="standardContextual"/>
        </w:rPr>
      </w:pPr>
      <w:r w:rsidRPr="001A2707">
        <w:rPr>
          <w:rFonts w:eastAsiaTheme="minorEastAsia"/>
          <w:color w:val="000000" w:themeColor="text1"/>
          <w14:ligatures w14:val="standardContextual"/>
        </w:rPr>
        <w:lastRenderedPageBreak/>
        <w:t xml:space="preserve">Frank and I have also had interim conversations with the Lived Experience Advisor at the Ministry of Health regarding implementation of the code, with a formal conversation planned for late September. </w:t>
      </w:r>
    </w:p>
    <w:p w14:paraId="30BE9600" w14:textId="77777777" w:rsidR="00911961" w:rsidRPr="00F72438" w:rsidRDefault="00911961" w:rsidP="00911961">
      <w:pPr>
        <w:jc w:val="both"/>
        <w:rPr>
          <w:b/>
          <w:i/>
          <w:sz w:val="24"/>
          <w:szCs w:val="24"/>
        </w:rPr>
      </w:pPr>
    </w:p>
    <w:p w14:paraId="1A8D4DF3" w14:textId="77777777" w:rsidR="00911961" w:rsidRPr="007A6ED8" w:rsidRDefault="00911961" w:rsidP="00911961">
      <w:pPr>
        <w:jc w:val="both"/>
        <w:rPr>
          <w:b/>
        </w:rPr>
      </w:pPr>
      <w:r w:rsidRPr="00893035">
        <w:rPr>
          <w:b/>
          <w:sz w:val="24"/>
          <w:szCs w:val="24"/>
        </w:rPr>
        <w:t>Frank Bristol</w:t>
      </w:r>
      <w:r w:rsidRPr="007A6ED8">
        <w:rPr>
          <w:b/>
        </w:rPr>
        <w:t xml:space="preserve"> </w:t>
      </w:r>
      <w:r w:rsidRPr="007A6ED8">
        <w:rPr>
          <w:bCs/>
        </w:rPr>
        <w:t>(Whanganui)</w:t>
      </w:r>
    </w:p>
    <w:p w14:paraId="39F435D9" w14:textId="77777777" w:rsidR="00911961" w:rsidRPr="0009317E" w:rsidRDefault="00911961" w:rsidP="00911961">
      <w:pPr>
        <w:rPr>
          <w:iCs/>
        </w:rPr>
      </w:pPr>
      <w:r w:rsidRPr="0009317E">
        <w:rPr>
          <w:iCs/>
        </w:rPr>
        <w:t>Food and fuel inflation continues to cause very tight budgets for wh</w:t>
      </w:r>
      <w:r>
        <w:rPr>
          <w:iCs/>
        </w:rPr>
        <w:t>ā</w:t>
      </w:r>
      <w:r w:rsidRPr="0009317E">
        <w:rPr>
          <w:iCs/>
        </w:rPr>
        <w:t>nau</w:t>
      </w:r>
      <w:r>
        <w:rPr>
          <w:iCs/>
        </w:rPr>
        <w:t xml:space="preserve"> which impacts on the drivers for poorer health. </w:t>
      </w:r>
    </w:p>
    <w:p w14:paraId="68C2A61D" w14:textId="6F0ECD08" w:rsidR="00911961" w:rsidRDefault="00911961" w:rsidP="00911961">
      <w:pPr>
        <w:rPr>
          <w:iCs/>
        </w:rPr>
      </w:pPr>
      <w:r>
        <w:rPr>
          <w:iCs/>
        </w:rPr>
        <w:t xml:space="preserve">The health reforms are still causing uncertainty including the lack of specific structural support for Consumer Councils. The recent Te Whatu Ora re-consultation document has clarified that MH &amp; A Lived Experience advisors has reversed the previous </w:t>
      </w:r>
      <w:r w:rsidR="00E17677">
        <w:rPr>
          <w:iCs/>
        </w:rPr>
        <w:t>decision,</w:t>
      </w:r>
      <w:r>
        <w:rPr>
          <w:iCs/>
        </w:rPr>
        <w:t xml:space="preserve"> which was to have, and the LE advisors shift the Innovation and Services Improvement. So, MH &amp; A Lived Experience advisors will remain as part of the Hospital &amp; Specialist Services. </w:t>
      </w:r>
    </w:p>
    <w:p w14:paraId="0E6B900A" w14:textId="77777777" w:rsidR="00911961" w:rsidRPr="006D4958" w:rsidRDefault="00911961" w:rsidP="00911961">
      <w:pPr>
        <w:rPr>
          <w:iCs/>
        </w:rPr>
      </w:pPr>
      <w:r>
        <w:rPr>
          <w:iCs/>
        </w:rPr>
        <w:t>Despite the muddy and murky waters of the health reforms restructuring health staff are working hard and delivering care in a kind and compassionate way. I had recent experience supporting family during an ED admission that required urgent surgery. The surgeon and theatre staff came back in the evening to provide the operation required.</w:t>
      </w:r>
    </w:p>
    <w:p w14:paraId="4F817984" w14:textId="77777777" w:rsidR="00911961" w:rsidRDefault="00911961" w:rsidP="00911961">
      <w:pPr>
        <w:rPr>
          <w:iCs/>
        </w:rPr>
      </w:pPr>
      <w:r w:rsidRPr="00531923">
        <w:rPr>
          <w:iCs/>
        </w:rPr>
        <w:t>Covid</w:t>
      </w:r>
      <w:r>
        <w:rPr>
          <w:iCs/>
        </w:rPr>
        <w:t xml:space="preserve"> 19 continues to be infecting many in our community and whilst lower than last year, we are nervous that we are not taking infection risk seriously given the serious risk to vulnerable and older people.</w:t>
      </w:r>
    </w:p>
    <w:p w14:paraId="351FAB66" w14:textId="77777777" w:rsidR="00911961" w:rsidRPr="006D253F" w:rsidRDefault="00911961" w:rsidP="00911961">
      <w:pPr>
        <w:rPr>
          <w:iCs/>
        </w:rPr>
      </w:pPr>
      <w:r>
        <w:rPr>
          <w:iCs/>
        </w:rPr>
        <w:t>Our Whanganui hospital wards continues to be at capacity which results in ED becoming congested and ED wait times continue to increase.</w:t>
      </w:r>
    </w:p>
    <w:p w14:paraId="1AFF37DB" w14:textId="77777777" w:rsidR="00911961" w:rsidRPr="00B63F2D" w:rsidRDefault="00911961" w:rsidP="00911961">
      <w:pPr>
        <w:rPr>
          <w:b/>
          <w:iCs/>
        </w:rPr>
      </w:pPr>
      <w:r w:rsidRPr="00B63F2D">
        <w:rPr>
          <w:b/>
          <w:iCs/>
        </w:rPr>
        <w:t>Services</w:t>
      </w:r>
    </w:p>
    <w:p w14:paraId="4C0E9131" w14:textId="77777777" w:rsidR="00911961" w:rsidRDefault="00911961" w:rsidP="00911961">
      <w:pPr>
        <w:rPr>
          <w:iCs/>
        </w:rPr>
      </w:pPr>
      <w:r>
        <w:rPr>
          <w:iCs/>
        </w:rPr>
        <w:t xml:space="preserve">The Whanganui </w:t>
      </w:r>
      <w:r w:rsidRPr="006D4958">
        <w:rPr>
          <w:iCs/>
        </w:rPr>
        <w:t>Mental Health &amp; Addiction services</w:t>
      </w:r>
      <w:r>
        <w:rPr>
          <w:iCs/>
        </w:rPr>
        <w:t xml:space="preserve"> are experiencing difficulties discharging people from the Acute Inpatient Unit because of no accommodation being available. A project has been started to bring stakeholders and whanau together to identify solutions to what is a longstanding issue. </w:t>
      </w:r>
    </w:p>
    <w:p w14:paraId="65E4ED53" w14:textId="1DEE9E0E" w:rsidR="00911961" w:rsidRPr="00B42055" w:rsidRDefault="00911961" w:rsidP="00911961">
      <w:pPr>
        <w:rPr>
          <w:iCs/>
        </w:rPr>
      </w:pPr>
      <w:r>
        <w:rPr>
          <w:iCs/>
        </w:rPr>
        <w:t xml:space="preserve">There is a lack of Occupational Therapists across all </w:t>
      </w:r>
      <w:r w:rsidR="00E17677">
        <w:rPr>
          <w:iCs/>
        </w:rPr>
        <w:t>hospital-based</w:t>
      </w:r>
      <w:r>
        <w:rPr>
          <w:iCs/>
        </w:rPr>
        <w:t xml:space="preserve"> health services so assessments in the community have increased beyond reasonable expectations. </w:t>
      </w:r>
    </w:p>
    <w:p w14:paraId="1A7171E8" w14:textId="77777777" w:rsidR="00911961" w:rsidRPr="000747E8" w:rsidRDefault="00911961" w:rsidP="00911961">
      <w:pPr>
        <w:rPr>
          <w:b/>
          <w:iCs/>
        </w:rPr>
      </w:pPr>
      <w:r w:rsidRPr="000747E8">
        <w:rPr>
          <w:b/>
          <w:iCs/>
        </w:rPr>
        <w:t>Positive stories and exemplars</w:t>
      </w:r>
    </w:p>
    <w:p w14:paraId="0D2B8236" w14:textId="330BFEF9" w:rsidR="00911961" w:rsidRDefault="00911961" w:rsidP="00911961">
      <w:pPr>
        <w:rPr>
          <w:bCs/>
        </w:rPr>
      </w:pPr>
      <w:r w:rsidRPr="00677536">
        <w:rPr>
          <w:bCs/>
        </w:rPr>
        <w:t>Te Pukae</w:t>
      </w:r>
      <w:r>
        <w:rPr>
          <w:bCs/>
        </w:rPr>
        <w:t>a</w:t>
      </w:r>
      <w:r w:rsidRPr="00677536">
        <w:rPr>
          <w:bCs/>
        </w:rPr>
        <w:t xml:space="preserve"> </w:t>
      </w:r>
      <w:r>
        <w:rPr>
          <w:bCs/>
        </w:rPr>
        <w:t xml:space="preserve">(Whanganui Consumer </w:t>
      </w:r>
      <w:r w:rsidR="00E17677">
        <w:rPr>
          <w:bCs/>
        </w:rPr>
        <w:t>Council)</w:t>
      </w:r>
      <w:r>
        <w:rPr>
          <w:bCs/>
        </w:rPr>
        <w:t xml:space="preserve"> appointed last month 6 members to a Consumer Network with specific health service experience that will be able to take part in specific co-design and service improvement projects.</w:t>
      </w:r>
    </w:p>
    <w:p w14:paraId="592F1C8B" w14:textId="77777777" w:rsidR="00911961" w:rsidRPr="00677536" w:rsidRDefault="00911961" w:rsidP="00911961">
      <w:pPr>
        <w:rPr>
          <w:bCs/>
        </w:rPr>
      </w:pPr>
      <w:r>
        <w:rPr>
          <w:bCs/>
        </w:rPr>
        <w:t xml:space="preserve">The Local Clinical Board and Central Region Clinical board now take it as a given that consumer engagement is part of all activities. Having the Code of Expectations has assisted with this and as Terms of References are developed or reviewed, we are taking the opportunity to ensure the Code of is referenced. </w:t>
      </w:r>
    </w:p>
    <w:p w14:paraId="7F66F2E8" w14:textId="77777777" w:rsidR="00911961" w:rsidRPr="008B590C" w:rsidRDefault="00911961" w:rsidP="00760412">
      <w:pPr>
        <w:spacing w:after="160"/>
        <w:jc w:val="both"/>
        <w:rPr>
          <w:b/>
          <w:i/>
          <w:iCs/>
        </w:rPr>
      </w:pPr>
    </w:p>
    <w:p w14:paraId="2B81BC7F" w14:textId="77777777" w:rsidR="00911961" w:rsidRPr="001041F3" w:rsidRDefault="00911961" w:rsidP="00911961">
      <w:pPr>
        <w:jc w:val="both"/>
        <w:rPr>
          <w:bCs/>
        </w:rPr>
      </w:pPr>
      <w:r w:rsidRPr="00893035">
        <w:rPr>
          <w:b/>
          <w:sz w:val="24"/>
          <w:szCs w:val="24"/>
        </w:rPr>
        <w:t>Delphina Soti</w:t>
      </w:r>
      <w:r>
        <w:rPr>
          <w:b/>
        </w:rPr>
        <w:t xml:space="preserve"> </w:t>
      </w:r>
      <w:r w:rsidRPr="003E7A42">
        <w:rPr>
          <w:sz w:val="24"/>
          <w:szCs w:val="24"/>
        </w:rPr>
        <w:t>(Tāmaki Makaurau</w:t>
      </w:r>
      <w:r w:rsidRPr="003E7A42">
        <w:rPr>
          <w:bCs/>
          <w:sz w:val="24"/>
          <w:szCs w:val="24"/>
        </w:rPr>
        <w:t>)</w:t>
      </w:r>
      <w:r>
        <w:rPr>
          <w:bCs/>
          <w:sz w:val="24"/>
          <w:szCs w:val="24"/>
        </w:rPr>
        <w:t xml:space="preserve"> (St Vincent de Paul- General Manager)</w:t>
      </w:r>
    </w:p>
    <w:p w14:paraId="2B2924B0" w14:textId="77777777" w:rsidR="00911961" w:rsidRPr="000A495B" w:rsidRDefault="00911961" w:rsidP="00911961">
      <w:pPr>
        <w:pStyle w:val="NormalWeb"/>
        <w:spacing w:before="0" w:beforeAutospacing="0" w:after="0" w:afterAutospacing="0"/>
        <w:rPr>
          <w:rFonts w:ascii="Arial" w:hAnsi="Arial" w:cs="Arial"/>
          <w:b/>
          <w:bCs/>
          <w:color w:val="000000"/>
        </w:rPr>
      </w:pPr>
      <w:r w:rsidRPr="000A495B">
        <w:rPr>
          <w:rFonts w:ascii="Arial" w:hAnsi="Arial" w:cs="Arial"/>
          <w:b/>
          <w:bCs/>
          <w:color w:val="000000"/>
        </w:rPr>
        <w:t xml:space="preserve">Social Services </w:t>
      </w:r>
    </w:p>
    <w:p w14:paraId="64713187" w14:textId="77777777" w:rsidR="00911961" w:rsidRPr="00760412" w:rsidRDefault="00911961" w:rsidP="00911961">
      <w:pPr>
        <w:pStyle w:val="NormalWeb"/>
        <w:spacing w:before="0" w:beforeAutospacing="0" w:after="120" w:afterAutospacing="0"/>
        <w:rPr>
          <w:rFonts w:ascii="Arial" w:hAnsi="Arial" w:cs="Arial"/>
          <w:color w:val="000000"/>
          <w:sz w:val="22"/>
        </w:rPr>
      </w:pPr>
      <w:r w:rsidRPr="00760412">
        <w:rPr>
          <w:rFonts w:ascii="Arial" w:hAnsi="Arial" w:cs="Arial"/>
          <w:color w:val="000000"/>
          <w:sz w:val="22"/>
        </w:rPr>
        <w:t xml:space="preserve">The increase in cost of living has a growing negative impact on our Pacific communities and strain on food hubs and Budgeter services. </w:t>
      </w:r>
    </w:p>
    <w:p w14:paraId="38E365B2" w14:textId="77777777" w:rsidR="002B3C08" w:rsidRDefault="002B3C08" w:rsidP="00760412">
      <w:pPr>
        <w:pStyle w:val="NormalWeb"/>
        <w:spacing w:before="0" w:beforeAutospacing="0" w:after="160" w:afterAutospacing="0"/>
        <w:rPr>
          <w:rFonts w:ascii="Arial" w:hAnsi="Arial" w:cs="Arial"/>
          <w:color w:val="000000"/>
          <w:sz w:val="22"/>
        </w:rPr>
      </w:pPr>
    </w:p>
    <w:p w14:paraId="6585EDB8" w14:textId="266CD991" w:rsidR="00911961" w:rsidRPr="00760412" w:rsidRDefault="00911961" w:rsidP="00760412">
      <w:pPr>
        <w:pStyle w:val="NormalWeb"/>
        <w:spacing w:before="0" w:beforeAutospacing="0" w:after="160" w:afterAutospacing="0"/>
        <w:rPr>
          <w:rFonts w:ascii="Arial" w:hAnsi="Arial" w:cs="Arial"/>
          <w:color w:val="000000"/>
          <w:sz w:val="22"/>
        </w:rPr>
      </w:pPr>
      <w:r w:rsidRPr="00760412">
        <w:rPr>
          <w:rFonts w:ascii="Arial" w:hAnsi="Arial" w:cs="Arial"/>
          <w:color w:val="000000"/>
          <w:sz w:val="22"/>
        </w:rPr>
        <w:lastRenderedPageBreak/>
        <w:t xml:space="preserve">July 2022 – July 2023 </w:t>
      </w:r>
    </w:p>
    <w:p w14:paraId="5DFD9857" w14:textId="77777777" w:rsidR="00911961" w:rsidRPr="00760412" w:rsidRDefault="00911961" w:rsidP="00911961">
      <w:pPr>
        <w:pStyle w:val="NormalWeb"/>
        <w:spacing w:before="0" w:beforeAutospacing="0" w:after="0" w:afterAutospacing="0"/>
        <w:rPr>
          <w:rFonts w:ascii="Arial" w:hAnsi="Arial" w:cs="Arial"/>
          <w:color w:val="000000"/>
          <w:sz w:val="22"/>
        </w:rPr>
      </w:pPr>
      <w:r w:rsidRPr="00760412">
        <w:rPr>
          <w:rFonts w:ascii="Arial" w:hAnsi="Arial" w:cs="Arial"/>
          <w:color w:val="000000"/>
          <w:sz w:val="22"/>
        </w:rPr>
        <w:t>•</w:t>
      </w:r>
      <w:r w:rsidRPr="00760412">
        <w:rPr>
          <w:rFonts w:ascii="Arial" w:hAnsi="Arial" w:cs="Arial"/>
          <w:color w:val="000000"/>
          <w:sz w:val="22"/>
        </w:rPr>
        <w:tab/>
        <w:t>fruit and vegetables prices increased 6.2 percent</w:t>
      </w:r>
    </w:p>
    <w:p w14:paraId="64CA1C0B" w14:textId="77777777" w:rsidR="00911961" w:rsidRPr="00760412" w:rsidRDefault="00911961" w:rsidP="00911961">
      <w:pPr>
        <w:pStyle w:val="NormalWeb"/>
        <w:spacing w:before="0" w:beforeAutospacing="0" w:after="0" w:afterAutospacing="0"/>
        <w:rPr>
          <w:rFonts w:ascii="Arial" w:hAnsi="Arial" w:cs="Arial"/>
          <w:color w:val="000000"/>
          <w:sz w:val="22"/>
        </w:rPr>
      </w:pPr>
      <w:r w:rsidRPr="00760412">
        <w:rPr>
          <w:rFonts w:ascii="Arial" w:hAnsi="Arial" w:cs="Arial"/>
          <w:color w:val="000000"/>
          <w:sz w:val="22"/>
        </w:rPr>
        <w:t>•</w:t>
      </w:r>
      <w:r w:rsidRPr="00760412">
        <w:rPr>
          <w:rFonts w:ascii="Arial" w:hAnsi="Arial" w:cs="Arial"/>
          <w:color w:val="000000"/>
          <w:sz w:val="22"/>
        </w:rPr>
        <w:tab/>
        <w:t>meat, poultry, and fish prices increased 9.3 percent</w:t>
      </w:r>
    </w:p>
    <w:p w14:paraId="38A2B50D" w14:textId="77777777" w:rsidR="00911961" w:rsidRPr="00760412" w:rsidRDefault="00911961" w:rsidP="00911961">
      <w:pPr>
        <w:pStyle w:val="NormalWeb"/>
        <w:spacing w:before="0" w:beforeAutospacing="0" w:after="0" w:afterAutospacing="0"/>
        <w:rPr>
          <w:rFonts w:ascii="Arial" w:hAnsi="Arial" w:cs="Arial"/>
          <w:color w:val="000000"/>
          <w:sz w:val="22"/>
        </w:rPr>
      </w:pPr>
      <w:r w:rsidRPr="00760412">
        <w:rPr>
          <w:rFonts w:ascii="Arial" w:hAnsi="Arial" w:cs="Arial"/>
          <w:color w:val="000000"/>
          <w:sz w:val="22"/>
        </w:rPr>
        <w:t>•</w:t>
      </w:r>
      <w:r w:rsidRPr="00760412">
        <w:rPr>
          <w:rFonts w:ascii="Arial" w:hAnsi="Arial" w:cs="Arial"/>
          <w:color w:val="000000"/>
          <w:sz w:val="22"/>
        </w:rPr>
        <w:tab/>
        <w:t>grocery food prices increased 11.9 percent</w:t>
      </w:r>
    </w:p>
    <w:p w14:paraId="55089282" w14:textId="77777777" w:rsidR="00911961" w:rsidRPr="00760412" w:rsidRDefault="00911961" w:rsidP="00911961">
      <w:pPr>
        <w:pStyle w:val="NormalWeb"/>
        <w:numPr>
          <w:ilvl w:val="0"/>
          <w:numId w:val="35"/>
        </w:numPr>
        <w:autoSpaceDE/>
        <w:autoSpaceDN/>
        <w:adjustRightInd/>
        <w:spacing w:before="240" w:beforeAutospacing="0" w:line="240" w:lineRule="auto"/>
        <w:rPr>
          <w:rFonts w:ascii="Arial" w:hAnsi="Arial" w:cs="Arial"/>
          <w:color w:val="000000"/>
          <w:sz w:val="22"/>
        </w:rPr>
      </w:pPr>
      <w:r w:rsidRPr="00760412">
        <w:rPr>
          <w:rFonts w:ascii="Arial" w:hAnsi="Arial" w:cs="Arial"/>
          <w:color w:val="000000"/>
          <w:sz w:val="22"/>
        </w:rPr>
        <w:t xml:space="preserve">There has been an increase of benefit for families with children receiving an extra $40.86 however increasing numbers of families are struggling.  </w:t>
      </w:r>
    </w:p>
    <w:p w14:paraId="44E95673" w14:textId="77777777" w:rsidR="00911961" w:rsidRPr="00760412" w:rsidRDefault="00911961" w:rsidP="00911961">
      <w:pPr>
        <w:pStyle w:val="NormalWeb"/>
        <w:numPr>
          <w:ilvl w:val="0"/>
          <w:numId w:val="35"/>
        </w:numPr>
        <w:autoSpaceDE/>
        <w:autoSpaceDN/>
        <w:adjustRightInd/>
        <w:spacing w:line="240" w:lineRule="auto"/>
        <w:rPr>
          <w:rFonts w:ascii="Arial" w:hAnsi="Arial" w:cs="Arial"/>
          <w:color w:val="000000"/>
          <w:sz w:val="22"/>
        </w:rPr>
      </w:pPr>
      <w:r w:rsidRPr="00760412">
        <w:rPr>
          <w:rFonts w:ascii="Arial" w:hAnsi="Arial" w:cs="Arial"/>
          <w:color w:val="000000"/>
          <w:sz w:val="22"/>
        </w:rPr>
        <w:t>Increasing of families seeking support have combined households to combat the increase in rental costs. This has social, health and psychological implications.</w:t>
      </w:r>
    </w:p>
    <w:p w14:paraId="46A64FB8" w14:textId="77777777" w:rsidR="00911961" w:rsidRPr="00760412" w:rsidRDefault="00911961" w:rsidP="00911961">
      <w:pPr>
        <w:pStyle w:val="NormalWeb"/>
        <w:numPr>
          <w:ilvl w:val="0"/>
          <w:numId w:val="35"/>
        </w:numPr>
        <w:autoSpaceDE/>
        <w:autoSpaceDN/>
        <w:adjustRightInd/>
        <w:spacing w:line="240" w:lineRule="auto"/>
        <w:rPr>
          <w:rFonts w:ascii="Arial" w:hAnsi="Arial" w:cs="Arial"/>
          <w:color w:val="000000"/>
          <w:sz w:val="22"/>
        </w:rPr>
      </w:pPr>
      <w:r w:rsidRPr="00760412">
        <w:rPr>
          <w:rFonts w:ascii="Arial" w:hAnsi="Arial" w:cs="Arial"/>
          <w:color w:val="000000"/>
          <w:sz w:val="22"/>
        </w:rPr>
        <w:t>Several main food hubs have been pushed to cap the number of emergency food parcels due to cost cutting.</w:t>
      </w:r>
    </w:p>
    <w:p w14:paraId="754D2CCB" w14:textId="77777777" w:rsidR="00911961" w:rsidRPr="00760412" w:rsidRDefault="00911961" w:rsidP="00911961">
      <w:pPr>
        <w:pStyle w:val="NormalWeb"/>
        <w:numPr>
          <w:ilvl w:val="0"/>
          <w:numId w:val="35"/>
        </w:numPr>
        <w:autoSpaceDE/>
        <w:autoSpaceDN/>
        <w:adjustRightInd/>
        <w:spacing w:line="240" w:lineRule="auto"/>
        <w:rPr>
          <w:rFonts w:ascii="Arial" w:hAnsi="Arial" w:cs="Arial"/>
          <w:color w:val="000000"/>
          <w:sz w:val="22"/>
        </w:rPr>
      </w:pPr>
      <w:r w:rsidRPr="00760412">
        <w:rPr>
          <w:rFonts w:ascii="Arial" w:hAnsi="Arial" w:cs="Arial"/>
          <w:color w:val="000000"/>
          <w:sz w:val="22"/>
        </w:rPr>
        <w:t xml:space="preserve">Frontline staff of community services and food hubs are experiencing an increase in escalated distressful and confrontational behaviour from whānau needing support.  We envision this will only increase over time. </w:t>
      </w:r>
    </w:p>
    <w:p w14:paraId="2CBC579E" w14:textId="77777777" w:rsidR="00911961" w:rsidRPr="00760412" w:rsidRDefault="00911961" w:rsidP="00911961">
      <w:pPr>
        <w:pStyle w:val="NormalWeb"/>
        <w:numPr>
          <w:ilvl w:val="0"/>
          <w:numId w:val="35"/>
        </w:numPr>
        <w:autoSpaceDE/>
        <w:autoSpaceDN/>
        <w:adjustRightInd/>
        <w:spacing w:line="240" w:lineRule="auto"/>
        <w:rPr>
          <w:rFonts w:ascii="Arial" w:hAnsi="Arial" w:cs="Arial"/>
          <w:color w:val="000000"/>
          <w:sz w:val="22"/>
        </w:rPr>
      </w:pPr>
      <w:r w:rsidRPr="00760412">
        <w:rPr>
          <w:rFonts w:ascii="Arial" w:hAnsi="Arial" w:cs="Arial"/>
          <w:color w:val="000000"/>
          <w:sz w:val="22"/>
        </w:rPr>
        <w:t>Noticeable increase absenteeism 20 - 35% in workforce in July- August due to sickness, funerals, mental health, needing a break.</w:t>
      </w:r>
    </w:p>
    <w:p w14:paraId="507A0337" w14:textId="77777777" w:rsidR="00911961" w:rsidRPr="00760412" w:rsidRDefault="00911961" w:rsidP="00911961">
      <w:pPr>
        <w:pStyle w:val="NormalWeb"/>
        <w:numPr>
          <w:ilvl w:val="0"/>
          <w:numId w:val="35"/>
        </w:numPr>
        <w:autoSpaceDE/>
        <w:autoSpaceDN/>
        <w:adjustRightInd/>
        <w:spacing w:line="240" w:lineRule="auto"/>
        <w:rPr>
          <w:rFonts w:ascii="Arial" w:hAnsi="Arial" w:cs="Arial"/>
          <w:color w:val="000000"/>
          <w:sz w:val="22"/>
        </w:rPr>
      </w:pPr>
      <w:r w:rsidRPr="00760412">
        <w:rPr>
          <w:rFonts w:ascii="Arial" w:hAnsi="Arial" w:cs="Arial"/>
          <w:color w:val="000000"/>
          <w:sz w:val="22"/>
        </w:rPr>
        <w:t>An increase of 17% working families seeking services of local foodbanks, financial services support and to draw down KiwiSaver.</w:t>
      </w:r>
    </w:p>
    <w:p w14:paraId="73DA455F" w14:textId="77777777" w:rsidR="00911961" w:rsidRPr="00760412" w:rsidRDefault="00911961" w:rsidP="00911961">
      <w:pPr>
        <w:pStyle w:val="NormalWeb"/>
        <w:numPr>
          <w:ilvl w:val="0"/>
          <w:numId w:val="35"/>
        </w:numPr>
        <w:autoSpaceDE/>
        <w:autoSpaceDN/>
        <w:adjustRightInd/>
        <w:spacing w:line="240" w:lineRule="auto"/>
        <w:rPr>
          <w:rFonts w:ascii="Arial" w:hAnsi="Arial" w:cs="Arial"/>
          <w:color w:val="000000"/>
          <w:sz w:val="22"/>
        </w:rPr>
      </w:pPr>
      <w:r w:rsidRPr="00760412">
        <w:rPr>
          <w:rFonts w:ascii="Arial" w:hAnsi="Arial" w:cs="Arial"/>
          <w:color w:val="000000"/>
          <w:sz w:val="22"/>
        </w:rPr>
        <w:t>More families using After pay facility to purchase essentials. Predicting this will become a growing issue.</w:t>
      </w:r>
    </w:p>
    <w:p w14:paraId="17A43909" w14:textId="77777777" w:rsidR="00911961" w:rsidRPr="00760412" w:rsidRDefault="00911961" w:rsidP="00861EE9">
      <w:pPr>
        <w:pStyle w:val="NormalWeb"/>
        <w:numPr>
          <w:ilvl w:val="0"/>
          <w:numId w:val="35"/>
        </w:numPr>
        <w:autoSpaceDE/>
        <w:autoSpaceDN/>
        <w:adjustRightInd/>
        <w:spacing w:line="240" w:lineRule="auto"/>
        <w:rPr>
          <w:rFonts w:ascii="Arial" w:hAnsi="Arial" w:cs="Arial"/>
          <w:color w:val="000000"/>
          <w:sz w:val="22"/>
        </w:rPr>
      </w:pPr>
      <w:r w:rsidRPr="00760412">
        <w:rPr>
          <w:rFonts w:ascii="Arial" w:hAnsi="Arial" w:cs="Arial"/>
          <w:color w:val="000000"/>
          <w:sz w:val="22"/>
        </w:rPr>
        <w:t>Workforces having to pivot from business as usual to provide assistance i.e. More advocacy work navigating the MSD referral system, 65 mins waiting times on WINZ phones, need for food grants, entitlements, health grants, furniture and so forth.</w:t>
      </w:r>
    </w:p>
    <w:p w14:paraId="122CDAED" w14:textId="77777777" w:rsidR="00911961" w:rsidRPr="00760412" w:rsidRDefault="00911961" w:rsidP="00911961">
      <w:pPr>
        <w:pStyle w:val="NormalWeb"/>
        <w:numPr>
          <w:ilvl w:val="0"/>
          <w:numId w:val="35"/>
        </w:numPr>
        <w:autoSpaceDE/>
        <w:autoSpaceDN/>
        <w:adjustRightInd/>
        <w:spacing w:line="240" w:lineRule="auto"/>
        <w:rPr>
          <w:rFonts w:ascii="Arial" w:hAnsi="Arial" w:cs="Arial"/>
          <w:color w:val="000000"/>
          <w:sz w:val="22"/>
        </w:rPr>
      </w:pPr>
      <w:r w:rsidRPr="00760412">
        <w:rPr>
          <w:rFonts w:ascii="Arial" w:hAnsi="Arial" w:cs="Arial"/>
          <w:color w:val="000000"/>
          <w:sz w:val="22"/>
        </w:rPr>
        <w:t xml:space="preserve">Workforces pivoting resources to create social enterprise to enable sustainability.   </w:t>
      </w:r>
    </w:p>
    <w:p w14:paraId="5DD7629B" w14:textId="77777777" w:rsidR="00911961" w:rsidRPr="00760412" w:rsidRDefault="00911961" w:rsidP="00911961">
      <w:pPr>
        <w:pStyle w:val="NormalWeb"/>
        <w:rPr>
          <w:rFonts w:ascii="Arial" w:hAnsi="Arial" w:cs="Arial"/>
          <w:b/>
          <w:bCs/>
          <w:color w:val="000000"/>
          <w:sz w:val="22"/>
        </w:rPr>
      </w:pPr>
      <w:r w:rsidRPr="00760412">
        <w:rPr>
          <w:rFonts w:ascii="Arial" w:hAnsi="Arial" w:cs="Arial"/>
          <w:b/>
          <w:bCs/>
          <w:color w:val="000000"/>
          <w:sz w:val="22"/>
        </w:rPr>
        <w:t xml:space="preserve">Health and Mental Health </w:t>
      </w:r>
    </w:p>
    <w:p w14:paraId="2AEEAA1A" w14:textId="77777777" w:rsidR="00911961" w:rsidRPr="00760412" w:rsidRDefault="00911961" w:rsidP="00911961">
      <w:pPr>
        <w:pStyle w:val="NormalWeb"/>
        <w:rPr>
          <w:rFonts w:ascii="Arial" w:hAnsi="Arial" w:cs="Arial"/>
          <w:color w:val="000000"/>
          <w:sz w:val="22"/>
        </w:rPr>
      </w:pPr>
      <w:r w:rsidRPr="00760412">
        <w:rPr>
          <w:rFonts w:ascii="Arial" w:hAnsi="Arial" w:cs="Arial"/>
          <w:color w:val="000000"/>
          <w:sz w:val="22"/>
        </w:rPr>
        <w:t>The wait times at Primary health care and ED continue to be long. There is still pressure on ED which continues with waiting times increasing month by month. Waiting time still extending out to 2-4 days for several practices.</w:t>
      </w:r>
    </w:p>
    <w:p w14:paraId="21008076" w14:textId="77777777" w:rsidR="00911961" w:rsidRPr="00760412" w:rsidRDefault="00911961" w:rsidP="00911961">
      <w:pPr>
        <w:pStyle w:val="NormalWeb"/>
        <w:spacing w:after="120" w:afterAutospacing="0"/>
        <w:rPr>
          <w:rFonts w:ascii="Arial" w:hAnsi="Arial" w:cs="Arial"/>
          <w:color w:val="000000"/>
          <w:sz w:val="22"/>
        </w:rPr>
      </w:pPr>
      <w:r w:rsidRPr="00760412">
        <w:rPr>
          <w:rFonts w:ascii="Arial" w:hAnsi="Arial" w:cs="Arial"/>
          <w:color w:val="000000"/>
          <w:sz w:val="22"/>
        </w:rPr>
        <w:t>There is still uncertainty about Te Whatu Ora and the implication that this re-structure will have on the Consumer Council. The two have merged again for funding.</w:t>
      </w:r>
    </w:p>
    <w:p w14:paraId="2B4D009E" w14:textId="77777777" w:rsidR="00911961" w:rsidRPr="00760412" w:rsidRDefault="00911961" w:rsidP="00911961">
      <w:pPr>
        <w:pStyle w:val="NormalWeb"/>
        <w:spacing w:before="0" w:beforeAutospacing="0" w:after="0" w:afterAutospacing="0"/>
        <w:rPr>
          <w:rFonts w:ascii="Arial" w:hAnsi="Arial" w:cs="Arial"/>
          <w:color w:val="000000"/>
          <w:sz w:val="22"/>
        </w:rPr>
      </w:pPr>
      <w:r w:rsidRPr="00760412">
        <w:rPr>
          <w:rFonts w:ascii="Arial" w:hAnsi="Arial" w:cs="Arial"/>
          <w:color w:val="000000"/>
          <w:sz w:val="22"/>
        </w:rPr>
        <w:t xml:space="preserve">Growing concern from a collective of patient advocate organisations that there is an issue of timely access to new and breakthrough medicines. There are also an increasing number of families struggling to privately fund the medicines they need. </w:t>
      </w:r>
    </w:p>
    <w:p w14:paraId="441D6765" w14:textId="77777777" w:rsidR="00911961" w:rsidRPr="00760412" w:rsidRDefault="00911961" w:rsidP="00911961">
      <w:pPr>
        <w:pStyle w:val="NormalWeb"/>
        <w:spacing w:before="120" w:beforeAutospacing="0" w:after="120" w:afterAutospacing="0"/>
        <w:rPr>
          <w:rFonts w:ascii="Arial" w:hAnsi="Arial" w:cs="Arial"/>
          <w:color w:val="000000"/>
          <w:sz w:val="22"/>
        </w:rPr>
      </w:pPr>
      <w:r w:rsidRPr="00760412">
        <w:rPr>
          <w:rFonts w:ascii="Arial" w:hAnsi="Arial" w:cs="Arial"/>
          <w:color w:val="000000"/>
          <w:sz w:val="22"/>
        </w:rPr>
        <w:t xml:space="preserve">Community nurses and health workers in South Auckland report on how “raw” what they are witnessing in the community regarding diabetes and rheumatic fever. Cases where primary care is sought too late and patients not attending clinics.  </w:t>
      </w:r>
    </w:p>
    <w:p w14:paraId="371457CC" w14:textId="72AF9A5F" w:rsidR="00911961" w:rsidRPr="00760412" w:rsidRDefault="00911961" w:rsidP="00911961">
      <w:pPr>
        <w:pStyle w:val="NormalWeb"/>
        <w:spacing w:before="120" w:beforeAutospacing="0" w:after="120" w:afterAutospacing="0"/>
        <w:rPr>
          <w:rFonts w:ascii="Arial" w:hAnsi="Arial" w:cs="Arial"/>
          <w:color w:val="000000"/>
          <w:sz w:val="22"/>
        </w:rPr>
      </w:pPr>
      <w:r w:rsidRPr="00760412">
        <w:rPr>
          <w:rFonts w:ascii="Arial" w:hAnsi="Arial" w:cs="Arial"/>
          <w:color w:val="000000"/>
          <w:sz w:val="22"/>
        </w:rPr>
        <w:t xml:space="preserve">There is an increase in Rheumatic fever cases post Covid as the prevention and hygiene practices have lapsed in schools, </w:t>
      </w:r>
      <w:r w:rsidR="00711458" w:rsidRPr="00760412">
        <w:rPr>
          <w:rFonts w:ascii="Arial" w:hAnsi="Arial" w:cs="Arial"/>
          <w:color w:val="000000"/>
          <w:sz w:val="22"/>
        </w:rPr>
        <w:t>homes,</w:t>
      </w:r>
      <w:r w:rsidRPr="00760412">
        <w:rPr>
          <w:rFonts w:ascii="Arial" w:hAnsi="Arial" w:cs="Arial"/>
          <w:color w:val="000000"/>
          <w:sz w:val="22"/>
        </w:rPr>
        <w:t xml:space="preserve"> and public spaces. </w:t>
      </w:r>
    </w:p>
    <w:p w14:paraId="2278F93D" w14:textId="77777777" w:rsidR="00911961" w:rsidRPr="00760412" w:rsidRDefault="00911961" w:rsidP="00911961">
      <w:pPr>
        <w:pStyle w:val="NormalWeb"/>
        <w:spacing w:before="0" w:beforeAutospacing="0"/>
        <w:rPr>
          <w:rFonts w:ascii="Arial" w:hAnsi="Arial" w:cs="Arial"/>
          <w:color w:val="000000"/>
          <w:sz w:val="22"/>
        </w:rPr>
      </w:pPr>
      <w:r w:rsidRPr="00760412">
        <w:rPr>
          <w:rFonts w:ascii="Arial" w:hAnsi="Arial" w:cs="Arial"/>
          <w:color w:val="000000"/>
          <w:sz w:val="22"/>
        </w:rPr>
        <w:t xml:space="preserve">Suicide and family violence is still significantly high. Two suicide cases over the last fortnight connected to our community and a slight increase in referrals for domestic violence. </w:t>
      </w:r>
    </w:p>
    <w:p w14:paraId="15FE619E" w14:textId="77777777" w:rsidR="00911961" w:rsidRPr="00760412" w:rsidRDefault="00911961" w:rsidP="00911961">
      <w:pPr>
        <w:pStyle w:val="NormalWeb"/>
        <w:spacing w:after="0" w:afterAutospacing="0"/>
        <w:rPr>
          <w:rFonts w:ascii="Arial" w:hAnsi="Arial" w:cs="Arial"/>
          <w:b/>
          <w:bCs/>
          <w:color w:val="000000"/>
          <w:sz w:val="22"/>
        </w:rPr>
      </w:pPr>
      <w:r w:rsidRPr="00760412">
        <w:rPr>
          <w:rFonts w:ascii="Arial" w:hAnsi="Arial" w:cs="Arial"/>
          <w:b/>
          <w:bCs/>
          <w:color w:val="000000"/>
          <w:sz w:val="22"/>
        </w:rPr>
        <w:t>Activity</w:t>
      </w:r>
    </w:p>
    <w:p w14:paraId="5AF3B6AD" w14:textId="77777777" w:rsidR="00911961" w:rsidRPr="00760412" w:rsidRDefault="00911961" w:rsidP="00911961">
      <w:pPr>
        <w:pStyle w:val="NormalWeb"/>
        <w:numPr>
          <w:ilvl w:val="0"/>
          <w:numId w:val="36"/>
        </w:numPr>
        <w:autoSpaceDE/>
        <w:autoSpaceDN/>
        <w:adjustRightInd/>
        <w:spacing w:after="0" w:afterAutospacing="0" w:line="240" w:lineRule="auto"/>
        <w:rPr>
          <w:rFonts w:ascii="Arial" w:hAnsi="Arial" w:cs="Arial"/>
          <w:color w:val="000000"/>
          <w:sz w:val="22"/>
        </w:rPr>
      </w:pPr>
      <w:r w:rsidRPr="00760412">
        <w:rPr>
          <w:rFonts w:ascii="Arial" w:hAnsi="Arial" w:cs="Arial"/>
          <w:color w:val="000000"/>
          <w:sz w:val="22"/>
        </w:rPr>
        <w:t>Auckland Social Services Providers Meeting with Commissioner</w:t>
      </w:r>
    </w:p>
    <w:p w14:paraId="52B3E13D" w14:textId="77777777" w:rsidR="00911961" w:rsidRPr="00760412" w:rsidRDefault="00911961" w:rsidP="00911961">
      <w:pPr>
        <w:pStyle w:val="NormalWeb"/>
        <w:numPr>
          <w:ilvl w:val="0"/>
          <w:numId w:val="36"/>
        </w:numPr>
        <w:autoSpaceDE/>
        <w:autoSpaceDN/>
        <w:adjustRightInd/>
        <w:spacing w:before="0" w:beforeAutospacing="0" w:after="0" w:afterAutospacing="0" w:line="240" w:lineRule="auto"/>
        <w:rPr>
          <w:rFonts w:ascii="Arial" w:hAnsi="Arial" w:cs="Arial"/>
          <w:color w:val="000000"/>
          <w:sz w:val="22"/>
        </w:rPr>
      </w:pPr>
      <w:r w:rsidRPr="00760412">
        <w:rPr>
          <w:rFonts w:ascii="Arial" w:hAnsi="Arial" w:cs="Arial"/>
          <w:color w:val="000000"/>
          <w:sz w:val="22"/>
        </w:rPr>
        <w:t xml:space="preserve">National Kore Hiakai Meeting </w:t>
      </w:r>
    </w:p>
    <w:p w14:paraId="59D4CB8F" w14:textId="77777777" w:rsidR="00911961" w:rsidRPr="00760412" w:rsidRDefault="00911961" w:rsidP="00911961">
      <w:pPr>
        <w:pStyle w:val="NormalWeb"/>
        <w:numPr>
          <w:ilvl w:val="0"/>
          <w:numId w:val="36"/>
        </w:numPr>
        <w:autoSpaceDE/>
        <w:autoSpaceDN/>
        <w:adjustRightInd/>
        <w:spacing w:before="0" w:beforeAutospacing="0" w:after="0" w:afterAutospacing="0" w:line="240" w:lineRule="auto"/>
        <w:rPr>
          <w:rFonts w:ascii="Arial" w:hAnsi="Arial" w:cs="Arial"/>
          <w:color w:val="000000"/>
          <w:sz w:val="22"/>
        </w:rPr>
      </w:pPr>
      <w:r w:rsidRPr="00760412">
        <w:rPr>
          <w:rFonts w:ascii="Arial" w:hAnsi="Arial" w:cs="Arial"/>
          <w:color w:val="000000"/>
          <w:sz w:val="22"/>
        </w:rPr>
        <w:t>CAG Meeting Zoom Meeting</w:t>
      </w:r>
    </w:p>
    <w:p w14:paraId="53920417" w14:textId="77777777" w:rsidR="00911961" w:rsidRPr="00760412" w:rsidRDefault="00911961" w:rsidP="00911961">
      <w:pPr>
        <w:pStyle w:val="NormalWeb"/>
        <w:rPr>
          <w:rFonts w:ascii="Arial" w:hAnsi="Arial" w:cs="Arial"/>
          <w:color w:val="000000"/>
          <w:sz w:val="22"/>
        </w:rPr>
      </w:pPr>
      <w:r w:rsidRPr="00760412">
        <w:rPr>
          <w:rFonts w:ascii="Arial" w:hAnsi="Arial" w:cs="Arial"/>
          <w:color w:val="000000"/>
          <w:sz w:val="22"/>
        </w:rPr>
        <w:lastRenderedPageBreak/>
        <w:t>Increased collaboration with Secondary Schools, D.I.N.E Academy, Blue Light, Ministry of Justice - Counties and PACIFICA – Vaiola Branch about creating spaces to create safe whānau spaces that encourage positive socialisation, social cohesion, mentoring, grow cultural awareness and build resilience. This programme also links in employment pathways.</w:t>
      </w:r>
    </w:p>
    <w:p w14:paraId="23B3C9B6" w14:textId="77777777" w:rsidR="00911961" w:rsidRPr="00760412" w:rsidRDefault="00911961" w:rsidP="00911961">
      <w:pPr>
        <w:pStyle w:val="NormalWeb"/>
        <w:spacing w:before="0" w:beforeAutospacing="0" w:after="120" w:afterAutospacing="0"/>
        <w:rPr>
          <w:rFonts w:ascii="Arial" w:hAnsi="Arial" w:cs="Arial"/>
          <w:color w:val="000000"/>
          <w:sz w:val="22"/>
        </w:rPr>
      </w:pPr>
      <w:r w:rsidRPr="00760412">
        <w:rPr>
          <w:rFonts w:ascii="Arial" w:hAnsi="Arial" w:cs="Arial"/>
          <w:color w:val="000000"/>
          <w:sz w:val="22"/>
        </w:rPr>
        <w:t>Partnerships with Pacific Pride to launch inter-generational Family wellbeing and Violence Prevention 12-month Programme. - Lauolaola</w:t>
      </w:r>
    </w:p>
    <w:p w14:paraId="434E1F69" w14:textId="77777777" w:rsidR="00911961" w:rsidRPr="00760412" w:rsidRDefault="00911961" w:rsidP="00911961">
      <w:pPr>
        <w:pStyle w:val="NormalWeb"/>
        <w:spacing w:before="0" w:beforeAutospacing="0" w:after="0" w:afterAutospacing="0"/>
        <w:rPr>
          <w:rFonts w:ascii="Arial" w:hAnsi="Arial" w:cs="Arial"/>
          <w:color w:val="000000"/>
          <w:sz w:val="22"/>
        </w:rPr>
      </w:pPr>
      <w:r w:rsidRPr="00760412">
        <w:rPr>
          <w:rFonts w:ascii="Arial" w:hAnsi="Arial" w:cs="Arial"/>
          <w:color w:val="000000"/>
          <w:sz w:val="22"/>
        </w:rPr>
        <w:t>Pasifika Psychotherapists prototype for community therapeutic Talanoa spaces for women.</w:t>
      </w:r>
    </w:p>
    <w:p w14:paraId="2717E63F" w14:textId="77777777" w:rsidR="00911961" w:rsidRPr="00760412" w:rsidRDefault="00911961" w:rsidP="00911961">
      <w:pPr>
        <w:pStyle w:val="NormalWeb"/>
        <w:spacing w:before="120" w:beforeAutospacing="0"/>
        <w:rPr>
          <w:rFonts w:ascii="Arial" w:hAnsi="Arial" w:cs="Arial"/>
          <w:color w:val="000000"/>
          <w:sz w:val="22"/>
        </w:rPr>
      </w:pPr>
      <w:r w:rsidRPr="00760412">
        <w:rPr>
          <w:rFonts w:ascii="Arial" w:hAnsi="Arial" w:cs="Arial"/>
          <w:color w:val="000000"/>
          <w:sz w:val="22"/>
        </w:rPr>
        <w:t>Collaboration and engagement with Kainga Ora, Lotofale Pasifika Mental Health, Starship, PARRS, Corrections to support whanau vulnerable whanau.</w:t>
      </w:r>
    </w:p>
    <w:p w14:paraId="5AE8D654" w14:textId="77777777" w:rsidR="00911961" w:rsidRPr="00760412" w:rsidRDefault="00911961" w:rsidP="00861EE9">
      <w:pPr>
        <w:pStyle w:val="NormalWeb"/>
        <w:rPr>
          <w:rFonts w:ascii="Arial" w:hAnsi="Arial" w:cs="Arial"/>
          <w:b/>
          <w:bCs/>
          <w:color w:val="000000"/>
          <w:sz w:val="22"/>
        </w:rPr>
      </w:pPr>
      <w:r w:rsidRPr="00760412">
        <w:rPr>
          <w:rFonts w:ascii="Arial" w:hAnsi="Arial" w:cs="Arial"/>
          <w:b/>
          <w:bCs/>
          <w:color w:val="000000"/>
          <w:sz w:val="22"/>
        </w:rPr>
        <w:t>Positive and Good Feel Stories.</w:t>
      </w:r>
    </w:p>
    <w:p w14:paraId="31732D62" w14:textId="5B537543" w:rsidR="00911961" w:rsidRPr="00760412" w:rsidRDefault="00911961" w:rsidP="00911961">
      <w:pPr>
        <w:pStyle w:val="NormalWeb"/>
        <w:rPr>
          <w:rFonts w:ascii="Arial" w:hAnsi="Arial" w:cs="Arial"/>
          <w:color w:val="000000"/>
          <w:sz w:val="22"/>
        </w:rPr>
      </w:pPr>
      <w:r w:rsidRPr="00760412">
        <w:rPr>
          <w:rFonts w:ascii="Arial" w:hAnsi="Arial" w:cs="Arial"/>
          <w:color w:val="000000"/>
          <w:sz w:val="22"/>
        </w:rPr>
        <w:t xml:space="preserve">There is noticeably more networking with local </w:t>
      </w:r>
      <w:r w:rsidR="00E17677" w:rsidRPr="00760412">
        <w:rPr>
          <w:rFonts w:ascii="Arial" w:hAnsi="Arial" w:cs="Arial"/>
          <w:color w:val="000000"/>
          <w:sz w:val="22"/>
        </w:rPr>
        <w:t>social</w:t>
      </w:r>
      <w:r w:rsidRPr="00760412">
        <w:rPr>
          <w:rFonts w:ascii="Arial" w:hAnsi="Arial" w:cs="Arial"/>
          <w:color w:val="000000"/>
          <w:sz w:val="22"/>
        </w:rPr>
        <w:t xml:space="preserve"> services and health providers to try and provide more understanding of what the different entities provide and how to provide a better wrap around service for whanau.</w:t>
      </w:r>
    </w:p>
    <w:p w14:paraId="2AA0CC6A" w14:textId="77777777" w:rsidR="00911961" w:rsidRDefault="00911961" w:rsidP="00911961">
      <w:pPr>
        <w:spacing w:after="0"/>
        <w:rPr>
          <w:b/>
          <w:sz w:val="24"/>
          <w:szCs w:val="24"/>
        </w:rPr>
      </w:pPr>
    </w:p>
    <w:p w14:paraId="17C528BF" w14:textId="77777777" w:rsidR="00911961" w:rsidRPr="001041F3" w:rsidRDefault="00911961" w:rsidP="00911961">
      <w:pPr>
        <w:rPr>
          <w:bCs/>
        </w:rPr>
      </w:pPr>
      <w:r>
        <w:rPr>
          <w:b/>
          <w:sz w:val="24"/>
          <w:szCs w:val="24"/>
        </w:rPr>
        <w:t xml:space="preserve">Maine Mareko-Johnson </w:t>
      </w:r>
      <w:r w:rsidRPr="001041F3">
        <w:rPr>
          <w:bCs/>
        </w:rPr>
        <w:t>(Ōtepoti)</w:t>
      </w:r>
    </w:p>
    <w:p w14:paraId="01B8D446" w14:textId="77777777" w:rsidR="00911961" w:rsidRDefault="00911961" w:rsidP="00911961">
      <w:pPr>
        <w:jc w:val="both"/>
        <w:rPr>
          <w:b/>
        </w:rPr>
      </w:pPr>
      <w:r>
        <w:rPr>
          <w:b/>
        </w:rPr>
        <w:t>Environmental scan/real time monitoring</w:t>
      </w:r>
    </w:p>
    <w:p w14:paraId="2AB42D57" w14:textId="4B5EE90B" w:rsidR="00911961" w:rsidRDefault="00911961" w:rsidP="00911961">
      <w:pPr>
        <w:pStyle w:val="ListParagraph"/>
        <w:numPr>
          <w:ilvl w:val="0"/>
          <w:numId w:val="24"/>
        </w:numPr>
        <w:autoSpaceDE/>
        <w:autoSpaceDN/>
        <w:adjustRightInd/>
        <w:spacing w:after="200"/>
        <w:rPr>
          <w:bCs/>
        </w:rPr>
      </w:pPr>
      <w:r w:rsidRPr="00F60E47">
        <w:rPr>
          <w:bCs/>
        </w:rPr>
        <w:t>Southland hospital is having issues. P</w:t>
      </w:r>
      <w:r>
        <w:rPr>
          <w:bCs/>
        </w:rPr>
        <w:t>a</w:t>
      </w:r>
      <w:r w:rsidRPr="00F60E47">
        <w:rPr>
          <w:bCs/>
        </w:rPr>
        <w:t>t</w:t>
      </w:r>
      <w:r>
        <w:rPr>
          <w:bCs/>
        </w:rPr>
        <w:t>ients</w:t>
      </w:r>
      <w:r w:rsidRPr="00F60E47">
        <w:rPr>
          <w:bCs/>
        </w:rPr>
        <w:t xml:space="preserve"> from Te Anau are being discharged in </w:t>
      </w:r>
      <w:r>
        <w:rPr>
          <w:bCs/>
        </w:rPr>
        <w:t xml:space="preserve">the evening. If they are taken to Southland Hospital from Te Anau, and get dis-charged, there is no support for transport, for them to get home again that night. There has been a hui with </w:t>
      </w:r>
      <w:r w:rsidR="0068430E">
        <w:rPr>
          <w:bCs/>
        </w:rPr>
        <w:t>all</w:t>
      </w:r>
      <w:r>
        <w:rPr>
          <w:bCs/>
        </w:rPr>
        <w:t xml:space="preserve"> the </w:t>
      </w:r>
      <w:r w:rsidR="00E17677">
        <w:rPr>
          <w:bCs/>
        </w:rPr>
        <w:t>GPs</w:t>
      </w:r>
      <w:r>
        <w:rPr>
          <w:bCs/>
        </w:rPr>
        <w:t xml:space="preserve"> in Te Anau, the over-all outcome of that hui was positive. </w:t>
      </w:r>
    </w:p>
    <w:p w14:paraId="5D3C2704" w14:textId="77777777" w:rsidR="00911961" w:rsidRDefault="00911961" w:rsidP="00911961">
      <w:pPr>
        <w:pStyle w:val="ListParagraph"/>
        <w:numPr>
          <w:ilvl w:val="0"/>
          <w:numId w:val="24"/>
        </w:numPr>
        <w:autoSpaceDE/>
        <w:autoSpaceDN/>
        <w:adjustRightInd/>
        <w:spacing w:after="200"/>
        <w:rPr>
          <w:bCs/>
        </w:rPr>
      </w:pPr>
      <w:r>
        <w:rPr>
          <w:bCs/>
        </w:rPr>
        <w:t xml:space="preserve">Midwives in rohe are stretched at best. The smaller cities are struggling, especially in central Otago. </w:t>
      </w:r>
    </w:p>
    <w:p w14:paraId="67B1AF13" w14:textId="77777777" w:rsidR="00911961" w:rsidRDefault="00911961" w:rsidP="00911961">
      <w:pPr>
        <w:pStyle w:val="ListParagraph"/>
        <w:numPr>
          <w:ilvl w:val="0"/>
          <w:numId w:val="24"/>
        </w:numPr>
        <w:autoSpaceDE/>
        <w:autoSpaceDN/>
        <w:adjustRightInd/>
        <w:spacing w:after="200"/>
        <w:rPr>
          <w:bCs/>
        </w:rPr>
      </w:pPr>
      <w:r>
        <w:rPr>
          <w:bCs/>
        </w:rPr>
        <w:t xml:space="preserve">Covid-19 continues to be an issue in Dunedin, and with Students coming and going, and the boarders being open now, there are more bugs moving around. </w:t>
      </w:r>
    </w:p>
    <w:p w14:paraId="269657F3" w14:textId="77777777" w:rsidR="00911961" w:rsidRDefault="00911961" w:rsidP="00911961">
      <w:pPr>
        <w:pStyle w:val="ListParagraph"/>
        <w:numPr>
          <w:ilvl w:val="0"/>
          <w:numId w:val="24"/>
        </w:numPr>
        <w:autoSpaceDE/>
        <w:autoSpaceDN/>
        <w:adjustRightInd/>
        <w:spacing w:after="200"/>
        <w:rPr>
          <w:bCs/>
        </w:rPr>
      </w:pPr>
      <w:r>
        <w:rPr>
          <w:bCs/>
        </w:rPr>
        <w:t xml:space="preserve">There are large numbers of cold and flu bugs making their way around the community. </w:t>
      </w:r>
    </w:p>
    <w:p w14:paraId="70B8DC44" w14:textId="77777777" w:rsidR="00911961" w:rsidRDefault="00911961" w:rsidP="00911961">
      <w:pPr>
        <w:pStyle w:val="ListParagraph"/>
        <w:numPr>
          <w:ilvl w:val="0"/>
          <w:numId w:val="24"/>
        </w:numPr>
        <w:autoSpaceDE/>
        <w:autoSpaceDN/>
        <w:adjustRightInd/>
        <w:spacing w:after="200"/>
        <w:rPr>
          <w:bCs/>
        </w:rPr>
      </w:pPr>
      <w:r>
        <w:rPr>
          <w:bCs/>
        </w:rPr>
        <w:t xml:space="preserve">Illness in the community is having an impact on hospital services. There are increasing numbers of staff shortages, because they are falling ill themselves and having to take time off work. This is increasing the delays on an already struggling system. Many departments have large waitlists and are not seeing much improvement in their wait times now. </w:t>
      </w:r>
    </w:p>
    <w:p w14:paraId="7EE7187B" w14:textId="77777777" w:rsidR="00911961" w:rsidRPr="005E137A" w:rsidRDefault="00911961" w:rsidP="00911961">
      <w:pPr>
        <w:pStyle w:val="ListParagraph"/>
        <w:numPr>
          <w:ilvl w:val="0"/>
          <w:numId w:val="24"/>
        </w:numPr>
        <w:autoSpaceDE/>
        <w:autoSpaceDN/>
        <w:adjustRightInd/>
        <w:spacing w:after="200"/>
        <w:rPr>
          <w:bCs/>
        </w:rPr>
      </w:pPr>
      <w:r>
        <w:rPr>
          <w:bCs/>
        </w:rPr>
        <w:t>Mental Health Services have a waitlist for youth currently. There is a 4-6 week wait and this is having an impact on the community, as EPS are not able to cope with the increased uptake of their services. Often hours of waiting at ED, then going to EPS, and being sent home, is a common occurrence. (Recently, there has been a young person present at ED, and were told that they would be seen by EPS in 20 minutes. They were not seen for 2 hours) This is impacting the support services working with young people, as none of them are funded for 24/7 care as an NGO Provider</w:t>
      </w:r>
    </w:p>
    <w:p w14:paraId="02A32996" w14:textId="77777777" w:rsidR="00911961" w:rsidRPr="00C56A64" w:rsidRDefault="00911961" w:rsidP="00911961">
      <w:pPr>
        <w:jc w:val="both"/>
        <w:rPr>
          <w:b/>
        </w:rPr>
      </w:pPr>
      <w:r w:rsidRPr="00C56A64">
        <w:rPr>
          <w:b/>
        </w:rPr>
        <w:t>Services</w:t>
      </w:r>
    </w:p>
    <w:p w14:paraId="487F1F8E" w14:textId="77777777" w:rsidR="00911961" w:rsidRPr="005E137A" w:rsidRDefault="00911961" w:rsidP="00911961">
      <w:pPr>
        <w:pStyle w:val="ListParagraph"/>
        <w:numPr>
          <w:ilvl w:val="0"/>
          <w:numId w:val="31"/>
        </w:numPr>
        <w:autoSpaceDE/>
        <w:autoSpaceDN/>
        <w:adjustRightInd/>
        <w:spacing w:after="200"/>
        <w:rPr>
          <w:b/>
        </w:rPr>
      </w:pPr>
      <w:r>
        <w:rPr>
          <w:bCs/>
        </w:rPr>
        <w:t xml:space="preserve">Lack of access to support services. </w:t>
      </w:r>
    </w:p>
    <w:p w14:paraId="4FEA700A" w14:textId="3BC2A513" w:rsidR="00911961" w:rsidRPr="005E137A" w:rsidRDefault="00911961" w:rsidP="00911961">
      <w:pPr>
        <w:pStyle w:val="ListParagraph"/>
        <w:numPr>
          <w:ilvl w:val="0"/>
          <w:numId w:val="31"/>
        </w:numPr>
        <w:autoSpaceDE/>
        <w:autoSpaceDN/>
        <w:adjustRightInd/>
        <w:spacing w:after="200"/>
        <w:rPr>
          <w:b/>
        </w:rPr>
      </w:pPr>
      <w:r>
        <w:rPr>
          <w:bCs/>
        </w:rPr>
        <w:t xml:space="preserve">Cost of living is </w:t>
      </w:r>
      <w:r w:rsidR="00E17677">
        <w:rPr>
          <w:bCs/>
        </w:rPr>
        <w:t>continuing</w:t>
      </w:r>
      <w:r>
        <w:rPr>
          <w:bCs/>
        </w:rPr>
        <w:t xml:space="preserve"> to be a recurring </w:t>
      </w:r>
      <w:r w:rsidR="0094715A">
        <w:rPr>
          <w:bCs/>
        </w:rPr>
        <w:t>theme.</w:t>
      </w:r>
    </w:p>
    <w:p w14:paraId="6FD91E39" w14:textId="77777777" w:rsidR="00911961" w:rsidRPr="005E137A" w:rsidRDefault="00911961" w:rsidP="00911961">
      <w:pPr>
        <w:pStyle w:val="ListParagraph"/>
        <w:numPr>
          <w:ilvl w:val="0"/>
          <w:numId w:val="31"/>
        </w:numPr>
        <w:autoSpaceDE/>
        <w:autoSpaceDN/>
        <w:adjustRightInd/>
        <w:spacing w:after="200"/>
        <w:rPr>
          <w:b/>
        </w:rPr>
      </w:pPr>
      <w:r>
        <w:rPr>
          <w:bCs/>
        </w:rPr>
        <w:lastRenderedPageBreak/>
        <w:t>There is not adequate housing for the needs that are out there in the community. People are struggling, living in over-crowded arrangements, because they are not able to afford a better living situation.</w:t>
      </w:r>
    </w:p>
    <w:p w14:paraId="776974CD" w14:textId="77777777" w:rsidR="00911961" w:rsidRDefault="00911961" w:rsidP="00911961">
      <w:pPr>
        <w:rPr>
          <w:b/>
        </w:rPr>
      </w:pPr>
      <w:r w:rsidRPr="00DF05B2">
        <w:rPr>
          <w:b/>
        </w:rPr>
        <w:t>Positive stories and exemplars</w:t>
      </w:r>
    </w:p>
    <w:p w14:paraId="23B2E5AB" w14:textId="77777777" w:rsidR="00911961" w:rsidRPr="00935FC3" w:rsidRDefault="00000000" w:rsidP="00911961">
      <w:pPr>
        <w:pStyle w:val="ListParagraph"/>
        <w:numPr>
          <w:ilvl w:val="0"/>
          <w:numId w:val="37"/>
        </w:numPr>
        <w:autoSpaceDE/>
        <w:autoSpaceDN/>
        <w:adjustRightInd/>
        <w:spacing w:after="200"/>
        <w:rPr>
          <w:b/>
        </w:rPr>
      </w:pPr>
      <w:hyperlink r:id="rId26" w:history="1">
        <w:r w:rsidR="00911961" w:rsidRPr="00453ED4">
          <w:rPr>
            <w:rStyle w:val="Hyperlink"/>
            <w:b/>
          </w:rPr>
          <w:t>Otago Pasifika secondary students visited Dunedin Hospital to explore health career options</w:t>
        </w:r>
      </w:hyperlink>
    </w:p>
    <w:p w14:paraId="3DB5B534" w14:textId="77777777" w:rsidR="00911961" w:rsidRDefault="00911961" w:rsidP="00911961">
      <w:pPr>
        <w:jc w:val="both"/>
        <w:rPr>
          <w:b/>
          <w:sz w:val="24"/>
          <w:szCs w:val="24"/>
        </w:rPr>
      </w:pPr>
    </w:p>
    <w:p w14:paraId="7EF5576A" w14:textId="77777777" w:rsidR="00911961" w:rsidRPr="00105570" w:rsidRDefault="00911961" w:rsidP="00911961">
      <w:pPr>
        <w:spacing w:after="0"/>
        <w:jc w:val="both"/>
        <w:rPr>
          <w:bCs/>
        </w:rPr>
      </w:pPr>
      <w:r w:rsidRPr="00893035">
        <w:rPr>
          <w:b/>
          <w:sz w:val="24"/>
          <w:szCs w:val="24"/>
        </w:rPr>
        <w:t>Angie Smith</w:t>
      </w:r>
      <w:r>
        <w:rPr>
          <w:b/>
        </w:rPr>
        <w:t xml:space="preserve"> </w:t>
      </w:r>
      <w:r w:rsidRPr="00105570">
        <w:rPr>
          <w:bCs/>
        </w:rPr>
        <w:t xml:space="preserve">(Ngāti Kahungunu, Ngāti Ruapani ki Waikaremoana, Ngāi Tūhoe) </w:t>
      </w:r>
    </w:p>
    <w:p w14:paraId="2527814F" w14:textId="77777777" w:rsidR="00911961" w:rsidRPr="00105570" w:rsidRDefault="00911961" w:rsidP="00911961">
      <w:pPr>
        <w:jc w:val="both"/>
        <w:rPr>
          <w:bCs/>
        </w:rPr>
      </w:pPr>
      <w:r w:rsidRPr="00105570">
        <w:rPr>
          <w:bCs/>
        </w:rPr>
        <w:t>Te Matau a Māui Hawke’s Bay Region</w:t>
      </w:r>
    </w:p>
    <w:p w14:paraId="77987AA7" w14:textId="77777777" w:rsidR="00911961" w:rsidRDefault="00911961" w:rsidP="00911961">
      <w:pPr>
        <w:spacing w:after="0"/>
        <w:jc w:val="both"/>
      </w:pPr>
      <w:r>
        <w:t>Kaiwhakarite Māori – mahi kiritaki I Consumer representative, Māori</w:t>
      </w:r>
    </w:p>
    <w:p w14:paraId="2FA65965" w14:textId="77777777" w:rsidR="00911961" w:rsidRDefault="00911961" w:rsidP="00911961">
      <w:pPr>
        <w:spacing w:after="0" w:line="240" w:lineRule="auto"/>
        <w:jc w:val="both"/>
      </w:pPr>
      <w:r>
        <w:t>Co-chair, Te Kāhui Mahi Ngātahi I Consumer advisory group</w:t>
      </w:r>
    </w:p>
    <w:p w14:paraId="1BC053EE" w14:textId="77777777" w:rsidR="00911961" w:rsidRDefault="00911961" w:rsidP="00911961">
      <w:pPr>
        <w:spacing w:after="0" w:line="240" w:lineRule="auto"/>
        <w:jc w:val="both"/>
      </w:pPr>
      <w:r>
        <w:t>Member I Consumer and whānau voice framework reference group</w:t>
      </w:r>
    </w:p>
    <w:p w14:paraId="3C609BF1" w14:textId="77777777" w:rsidR="00911961" w:rsidRPr="001F67F1" w:rsidRDefault="00911961" w:rsidP="00911961">
      <w:pPr>
        <w:jc w:val="both"/>
      </w:pPr>
      <w:r w:rsidRPr="001F67F1">
        <w:t>Co-chair, National Quality Forum</w:t>
      </w:r>
    </w:p>
    <w:p w14:paraId="614B3528" w14:textId="77777777" w:rsidR="00911961" w:rsidRPr="001F67F1" w:rsidRDefault="00911961" w:rsidP="00911961">
      <w:pPr>
        <w:shd w:val="clear" w:color="auto" w:fill="FFFFFF"/>
        <w:jc w:val="both"/>
        <w:rPr>
          <w:color w:val="222222"/>
        </w:rPr>
      </w:pPr>
      <w:r w:rsidRPr="001F67F1">
        <w:rPr>
          <w:color w:val="222222"/>
        </w:rPr>
        <w:t xml:space="preserve">Ngā mihi ki a tātou i roto i te āhuatanga o te wā, me ngā mihi ki a koe Boyd. </w:t>
      </w:r>
    </w:p>
    <w:p w14:paraId="1D4319BF" w14:textId="77777777" w:rsidR="00911961" w:rsidRPr="001F67F1" w:rsidRDefault="00911961" w:rsidP="00911961">
      <w:pPr>
        <w:shd w:val="clear" w:color="auto" w:fill="FFFFFF"/>
        <w:jc w:val="both"/>
        <w:rPr>
          <w:color w:val="222222"/>
        </w:rPr>
      </w:pPr>
      <w:r w:rsidRPr="001F67F1">
        <w:rPr>
          <w:color w:val="222222"/>
        </w:rPr>
        <w:t xml:space="preserve">Boyd, I wish to acknowledge your apology for a previous CAG hui, and the reason for your apology as noted in your email, for the passing of a friend and whānau member.  </w:t>
      </w:r>
    </w:p>
    <w:p w14:paraId="323F828A" w14:textId="312A79B4" w:rsidR="00911961" w:rsidRDefault="00911961" w:rsidP="00911961">
      <w:pPr>
        <w:shd w:val="clear" w:color="auto" w:fill="FFFFFF"/>
        <w:spacing w:before="200"/>
        <w:jc w:val="both"/>
        <w:rPr>
          <w:color w:val="222222"/>
        </w:rPr>
      </w:pPr>
      <w:r>
        <w:rPr>
          <w:color w:val="222222"/>
        </w:rPr>
        <w:t xml:space="preserve">In the same vein, I wish to pay respect to any of </w:t>
      </w:r>
      <w:r w:rsidRPr="001F67F1">
        <w:rPr>
          <w:color w:val="222222"/>
        </w:rPr>
        <w:t>our colleagues</w:t>
      </w:r>
      <w:r>
        <w:rPr>
          <w:color w:val="222222"/>
        </w:rPr>
        <w:t xml:space="preserve"> on the CAG group and our Te Tāhū Hauora staff</w:t>
      </w:r>
      <w:r w:rsidRPr="001F67F1">
        <w:rPr>
          <w:color w:val="222222"/>
        </w:rPr>
        <w:t xml:space="preserve"> who may</w:t>
      </w:r>
      <w:r>
        <w:rPr>
          <w:color w:val="222222"/>
        </w:rPr>
        <w:t xml:space="preserve"> also</w:t>
      </w:r>
      <w:r w:rsidRPr="001F67F1">
        <w:rPr>
          <w:color w:val="222222"/>
        </w:rPr>
        <w:t xml:space="preserve"> have lost a dear friend, a loved one</w:t>
      </w:r>
      <w:r>
        <w:rPr>
          <w:color w:val="222222"/>
        </w:rPr>
        <w:t xml:space="preserve"> since our last meeting. My sincere condolences. </w:t>
      </w:r>
      <w:r w:rsidRPr="001F67F1">
        <w:rPr>
          <w:color w:val="222222"/>
        </w:rPr>
        <w:t>As CAG member</w:t>
      </w:r>
      <w:r>
        <w:rPr>
          <w:color w:val="222222"/>
        </w:rPr>
        <w:t xml:space="preserve">s we are fully supported by our Te Tāhū Hauora </w:t>
      </w:r>
      <w:r w:rsidR="00E17677">
        <w:rPr>
          <w:color w:val="222222"/>
        </w:rPr>
        <w:t>staff,</w:t>
      </w:r>
      <w:r>
        <w:rPr>
          <w:color w:val="222222"/>
        </w:rPr>
        <w:t xml:space="preserve"> and</w:t>
      </w:r>
      <w:r w:rsidRPr="001F67F1">
        <w:rPr>
          <w:color w:val="222222"/>
        </w:rPr>
        <w:t xml:space="preserve"> I </w:t>
      </w:r>
      <w:r>
        <w:rPr>
          <w:color w:val="222222"/>
        </w:rPr>
        <w:t xml:space="preserve">note </w:t>
      </w:r>
      <w:r w:rsidRPr="001F67F1">
        <w:rPr>
          <w:color w:val="222222"/>
        </w:rPr>
        <w:t>how beautifully and seamlessly karakia</w:t>
      </w:r>
      <w:r>
        <w:rPr>
          <w:color w:val="222222"/>
        </w:rPr>
        <w:t xml:space="preserve"> is</w:t>
      </w:r>
      <w:r w:rsidRPr="001F67F1">
        <w:rPr>
          <w:color w:val="222222"/>
        </w:rPr>
        <w:t xml:space="preserve"> in</w:t>
      </w:r>
      <w:r>
        <w:rPr>
          <w:color w:val="222222"/>
        </w:rPr>
        <w:t>cluded in</w:t>
      </w:r>
      <w:r w:rsidRPr="001F67F1">
        <w:rPr>
          <w:color w:val="222222"/>
        </w:rPr>
        <w:t xml:space="preserve"> all our meetings</w:t>
      </w:r>
      <w:r>
        <w:rPr>
          <w:color w:val="222222"/>
        </w:rPr>
        <w:t>. Tēnā koutou, tēnā tātou katoa.</w:t>
      </w:r>
    </w:p>
    <w:p w14:paraId="497FACEB" w14:textId="77777777" w:rsidR="00911961" w:rsidRPr="001F67F1" w:rsidRDefault="00911961" w:rsidP="00911961">
      <w:pPr>
        <w:spacing w:before="240"/>
        <w:jc w:val="both"/>
        <w:rPr>
          <w:b/>
        </w:rPr>
      </w:pPr>
      <w:r w:rsidRPr="001F67F1">
        <w:rPr>
          <w:b/>
        </w:rPr>
        <w:t>Environmental scan/real time monitoring</w:t>
      </w:r>
    </w:p>
    <w:p w14:paraId="42198378" w14:textId="77777777" w:rsidR="00911961" w:rsidRPr="001F67F1" w:rsidRDefault="00911961" w:rsidP="00911961">
      <w:pPr>
        <w:jc w:val="both"/>
        <w:rPr>
          <w:b/>
          <w:bCs/>
        </w:rPr>
      </w:pPr>
      <w:r w:rsidRPr="001F67F1">
        <w:rPr>
          <w:b/>
          <w:bCs/>
        </w:rPr>
        <w:t>Localities:</w:t>
      </w:r>
    </w:p>
    <w:p w14:paraId="67D57319" w14:textId="77777777" w:rsidR="00911961" w:rsidRPr="001F67F1" w:rsidRDefault="00911961" w:rsidP="00911961">
      <w:pPr>
        <w:jc w:val="both"/>
        <w:rPr>
          <w:color w:val="548DD4" w:themeColor="text2" w:themeTint="99"/>
        </w:rPr>
      </w:pPr>
      <w:r w:rsidRPr="001F67F1">
        <w:t xml:space="preserve">The focus and the recommendation is that Te Whatu Ora National Commissioning ensures consumer and whānau voice be at the core of the localities planning as per legislation, the Pae Ora (Healthy Futures) Act 2022 Section 59 - </w:t>
      </w:r>
      <w:hyperlink r:id="rId27" w:anchor="LMS575547" w:history="1">
        <w:r w:rsidRPr="001F67F1">
          <w:rPr>
            <w:rStyle w:val="Hyperlink"/>
            <w:i/>
            <w:iCs/>
          </w:rPr>
          <w:t>Consumer and whānau engagement</w:t>
        </w:r>
      </w:hyperlink>
      <w:r w:rsidRPr="001F67F1">
        <w:t>, Section 6</w:t>
      </w:r>
      <w:r>
        <w:t xml:space="preserve">0 </w:t>
      </w:r>
      <w:r w:rsidRPr="001F67F1">
        <w:t xml:space="preserve">- </w:t>
      </w:r>
      <w:hyperlink r:id="rId28" w:anchor="LMS575549" w:history="1">
        <w:r w:rsidRPr="001F67F1">
          <w:rPr>
            <w:rStyle w:val="Hyperlink"/>
            <w:color w:val="0070C0"/>
            <w:bdr w:val="none" w:sz="0" w:space="0" w:color="auto" w:frame="1"/>
          </w:rPr>
          <w:t>Health entities must act in accordance with code</w:t>
        </w:r>
      </w:hyperlink>
      <w:r w:rsidRPr="001F67F1">
        <w:rPr>
          <w:color w:val="548DD4" w:themeColor="text2" w:themeTint="99"/>
        </w:rPr>
        <w:t xml:space="preserve">, </w:t>
      </w:r>
      <w:r w:rsidRPr="001F67F1">
        <w:t>the Code of Expectations.</w:t>
      </w:r>
    </w:p>
    <w:p w14:paraId="02AD847D" w14:textId="652DBDD3" w:rsidR="00911961" w:rsidRPr="001F67F1" w:rsidRDefault="00911961" w:rsidP="00911961">
      <w:pPr>
        <w:spacing w:after="160" w:line="256" w:lineRule="auto"/>
        <w:jc w:val="both"/>
      </w:pPr>
      <w:r w:rsidRPr="001F67F1">
        <w:t xml:space="preserve">What I note </w:t>
      </w:r>
      <w:r>
        <w:t xml:space="preserve">what </w:t>
      </w:r>
      <w:r w:rsidRPr="001F67F1">
        <w:t>is seriously missing</w:t>
      </w:r>
      <w:r>
        <w:t xml:space="preserve"> in our Tihei Wairoa localities</w:t>
      </w:r>
      <w:r w:rsidRPr="001F67F1">
        <w:t xml:space="preserve">, is the inclusion of current consumer and whānau voice. The localities draft plan that was submitted, was based on a previous survey that was done two years prior to the localities; the working group used the data from that survey as I suspect there were time and resource issues, and the decision was an operational one to ensure that their draft plan would be submitted in time. Cyclone Gabrielle added to the challenges faced by Tihei Wairoa, as it was difficult to get responses to a more current health survey when our community was suffering from the flooding and the consequent loss of their homes, their </w:t>
      </w:r>
      <w:r w:rsidR="0068430E" w:rsidRPr="001F67F1">
        <w:t>belongings,</w:t>
      </w:r>
      <w:r w:rsidRPr="001F67F1">
        <w:t xml:space="preserve"> and their livelihoods. </w:t>
      </w:r>
    </w:p>
    <w:p w14:paraId="55C0734B" w14:textId="77777777" w:rsidR="00911961" w:rsidRPr="001F67F1" w:rsidRDefault="00911961" w:rsidP="00911961">
      <w:pPr>
        <w:spacing w:after="160" w:line="256" w:lineRule="auto"/>
        <w:jc w:val="both"/>
      </w:pPr>
      <w:r w:rsidRPr="001F67F1">
        <w:t>I acknowledge that the data that was used from that earlier survey was still a representative ‘voice’ of those whānau members who responded to that survey; the data was still very relevant and valid and respected. The point here, however, is how Te Whatu Ora National Commissioning ensures the inclusion of consumer and whānau voice representation ‘at the table’, as part of the localities working group.</w:t>
      </w:r>
      <w:r>
        <w:t xml:space="preserve"> Where is the accountability?</w:t>
      </w:r>
      <w:r w:rsidRPr="001F67F1">
        <w:t xml:space="preserve"> </w:t>
      </w:r>
    </w:p>
    <w:p w14:paraId="5313F3D1" w14:textId="7BFB5C61" w:rsidR="00911961" w:rsidRPr="001F67F1" w:rsidRDefault="00911961" w:rsidP="00911961">
      <w:pPr>
        <w:spacing w:after="160" w:line="256" w:lineRule="auto"/>
        <w:jc w:val="both"/>
      </w:pPr>
      <w:r w:rsidRPr="001F67F1">
        <w:t xml:space="preserve">The objective of localities is to enable local communities and whānau to influence the design, </w:t>
      </w:r>
      <w:r w:rsidR="0068430E" w:rsidRPr="001F67F1">
        <w:t>funding,</w:t>
      </w:r>
      <w:r w:rsidRPr="001F67F1">
        <w:t xml:space="preserve"> and delivery of their local healthcare services. There is so much ‘conflict of interests’ in this model, because it is our healthcare service providers who are on the locality working group! Where is the accountability? Are they being monitored? </w:t>
      </w:r>
    </w:p>
    <w:p w14:paraId="3F7D752A" w14:textId="19EFE643" w:rsidR="00911961" w:rsidRPr="001F67F1" w:rsidRDefault="00911961" w:rsidP="00911961">
      <w:pPr>
        <w:spacing w:after="160" w:line="256" w:lineRule="auto"/>
        <w:jc w:val="both"/>
      </w:pPr>
      <w:r w:rsidRPr="001F67F1">
        <w:lastRenderedPageBreak/>
        <w:t xml:space="preserve">I see the true significance of the localities planning. How is it that such important localities planning is not being given the gravitas it well deserves? It needs to be given more serious recognition that this is the future health commissioning model for our country, BUT how is Te Whatu Ora supporting our local communities to do this, to be the ‘best way for a community-led model’, but communities are not being supported with all the tools to do the job. Te Whatu Ora has the expertise surely, to provide that </w:t>
      </w:r>
      <w:r w:rsidR="00E17677" w:rsidRPr="001F67F1">
        <w:t>toolkit</w:t>
      </w:r>
      <w:r w:rsidRPr="001F67F1">
        <w:t xml:space="preserve">, but not to say, ‘here’s a dinghy’ and then not hand over the oars! </w:t>
      </w:r>
    </w:p>
    <w:p w14:paraId="4B0496BC" w14:textId="77777777" w:rsidR="00911961" w:rsidRPr="001F67F1" w:rsidRDefault="00911961" w:rsidP="00911961">
      <w:pPr>
        <w:spacing w:after="160" w:line="256" w:lineRule="auto"/>
        <w:jc w:val="both"/>
      </w:pPr>
      <w:r w:rsidRPr="001F67F1">
        <w:t xml:space="preserve">Our localities working group needs the autonomy - yes - to reflect their community-led response. It is right that our community has been given full control of their planning, to do this ‘for Wairoa, by Wairoa’, but the tools must include clear direction for a successful localities plan and clear communication lines back to management. Who is the localities management team? </w:t>
      </w:r>
    </w:p>
    <w:p w14:paraId="0A179945" w14:textId="77777777" w:rsidR="00911961" w:rsidRPr="001F67F1" w:rsidRDefault="00911961" w:rsidP="00911961">
      <w:pPr>
        <w:spacing w:after="160" w:line="256" w:lineRule="auto"/>
        <w:jc w:val="both"/>
        <w:rPr>
          <w:b/>
          <w:u w:val="single"/>
        </w:rPr>
      </w:pPr>
      <w:r w:rsidRPr="001F67F1">
        <w:rPr>
          <w:b/>
          <w:u w:val="single"/>
        </w:rPr>
        <w:t>RECOMMENDATION:</w:t>
      </w:r>
    </w:p>
    <w:p w14:paraId="465F9FEB" w14:textId="77777777" w:rsidR="00911961" w:rsidRPr="001F67F1" w:rsidRDefault="00911961" w:rsidP="00911961">
      <w:pPr>
        <w:spacing w:after="160" w:line="256" w:lineRule="auto"/>
        <w:jc w:val="both"/>
        <w:rPr>
          <w:b/>
        </w:rPr>
      </w:pPr>
      <w:r w:rsidRPr="001F67F1">
        <w:rPr>
          <w:b/>
        </w:rPr>
        <w:t>That there be a progress report (annual) from the Localities’ groups, including consumer and whānau engagement membership and activities.</w:t>
      </w:r>
    </w:p>
    <w:p w14:paraId="5D86C885" w14:textId="77777777" w:rsidR="00911961" w:rsidRPr="001F67F1" w:rsidRDefault="00911961" w:rsidP="00911961">
      <w:pPr>
        <w:spacing w:after="160" w:line="256" w:lineRule="auto"/>
        <w:jc w:val="both"/>
      </w:pPr>
      <w:r w:rsidRPr="001F67F1">
        <w:t>There must be a consumer representative in each of the localities working groups.</w:t>
      </w:r>
    </w:p>
    <w:p w14:paraId="16C78177" w14:textId="77777777" w:rsidR="00911961" w:rsidRPr="001F67F1" w:rsidRDefault="00911961" w:rsidP="00911961">
      <w:pPr>
        <w:spacing w:after="160" w:line="256" w:lineRule="auto"/>
        <w:jc w:val="both"/>
      </w:pPr>
      <w:r w:rsidRPr="001F67F1">
        <w:t>Not being privy to the details of the planning, I have asked, ‘how can I be involved?’ and I have asked, ‘how can the consumer and whānau voice be ‘at the table’, in the design of our localities plan?’ There seems to be no wish to involve consumers and whānau ‘at the table’ in the design stage of the localities planning. The Code states clearly that consumers must be involved from the start.</w:t>
      </w:r>
    </w:p>
    <w:p w14:paraId="7EBE8253" w14:textId="77777777" w:rsidR="00911961" w:rsidRPr="00E72E0F" w:rsidRDefault="00911961" w:rsidP="00911961">
      <w:pPr>
        <w:spacing w:after="160" w:line="256" w:lineRule="auto"/>
        <w:jc w:val="both"/>
        <w:rPr>
          <w:b/>
        </w:rPr>
      </w:pPr>
      <w:r w:rsidRPr="001F67F1">
        <w:t>It is very surprising that three of us, Angie, Russ and Frank have not been included by our respective localities working groups, in the localities planning - Wairoa, West Coast, Whanganui. Why did none of these working groups consider using a CAG member?</w:t>
      </w:r>
    </w:p>
    <w:p w14:paraId="6D9AB105" w14:textId="77777777" w:rsidR="00911961" w:rsidRPr="001F67F1" w:rsidRDefault="00911961" w:rsidP="00911961">
      <w:pPr>
        <w:spacing w:after="160" w:line="256" w:lineRule="auto"/>
        <w:jc w:val="both"/>
        <w:rPr>
          <w:b/>
          <w:bCs/>
        </w:rPr>
      </w:pPr>
      <w:r w:rsidRPr="001F67F1">
        <w:rPr>
          <w:b/>
          <w:bCs/>
        </w:rPr>
        <w:t>Tihei Wairoa localities working group update:</w:t>
      </w:r>
    </w:p>
    <w:p w14:paraId="62860B38" w14:textId="77777777" w:rsidR="00911961" w:rsidRPr="001F67F1" w:rsidRDefault="00911961" w:rsidP="00911961">
      <w:pPr>
        <w:spacing w:after="160" w:line="256" w:lineRule="auto"/>
        <w:jc w:val="both"/>
      </w:pPr>
      <w:r w:rsidRPr="001F67F1">
        <w:t xml:space="preserve">FROM THE PROJECT MANAGER: </w:t>
      </w:r>
    </w:p>
    <w:p w14:paraId="4B694DAB" w14:textId="77777777" w:rsidR="00911961" w:rsidRPr="001F67F1" w:rsidRDefault="00911961" w:rsidP="00911961">
      <w:pPr>
        <w:spacing w:after="160" w:line="256" w:lineRule="auto"/>
        <w:jc w:val="both"/>
      </w:pPr>
      <w:r w:rsidRPr="001F67F1">
        <w:t xml:space="preserve">A lot of work is happening in the background. The 12 project managers have met and are meeting again soon at Te Ara Hou Marae, Whanganui. As prototypes, the localities are informed by the community and are then informing Te Whatu Ora. There’s a feeling that ‘we can’t bite the hand that feeds us’, too much political posturing going on within the locality groups, to the detriment of our community. A true picture of the progress of the localities planning is not being revealed by the working group, is not being seen by the community they serve nor the Te Whatu Ora National Commissioning. The Tihei Wairoa project manager believes ‘we deserve more’. </w:t>
      </w:r>
    </w:p>
    <w:p w14:paraId="21D5694C" w14:textId="77777777" w:rsidR="00911961" w:rsidRPr="001F67F1" w:rsidRDefault="00911961" w:rsidP="00911961">
      <w:pPr>
        <w:pStyle w:val="NormalWeb"/>
        <w:spacing w:before="0" w:beforeAutospacing="0" w:after="160" w:afterAutospacing="0"/>
        <w:jc w:val="both"/>
        <w:rPr>
          <w:rFonts w:ascii="Arial" w:hAnsi="Arial" w:cs="Arial"/>
          <w:color w:val="000000"/>
        </w:rPr>
      </w:pPr>
      <w:r w:rsidRPr="001F67F1">
        <w:rPr>
          <w:rFonts w:ascii="Arial" w:hAnsi="Arial" w:cs="Arial"/>
          <w:color w:val="000000"/>
        </w:rPr>
        <w:t>FROM THE LOCALITIES WORKING GROUP:</w:t>
      </w:r>
    </w:p>
    <w:p w14:paraId="133549BA" w14:textId="77777777" w:rsidR="00911961" w:rsidRPr="00626249" w:rsidRDefault="00911961" w:rsidP="00911961">
      <w:pPr>
        <w:pStyle w:val="NormalWeb"/>
        <w:spacing w:before="0" w:beforeAutospacing="0" w:after="160" w:afterAutospacing="0"/>
        <w:jc w:val="both"/>
        <w:rPr>
          <w:rFonts w:ascii="Arial" w:hAnsi="Arial" w:cs="Arial"/>
          <w:color w:val="000000"/>
        </w:rPr>
      </w:pPr>
      <w:r w:rsidRPr="001F67F1">
        <w:rPr>
          <w:rFonts w:ascii="Arial" w:hAnsi="Arial" w:cs="Arial"/>
          <w:color w:val="000000"/>
        </w:rPr>
        <w:t xml:space="preserve">They are all volunteers. They are exhausted from working their full-time jobs and also volunteering on the localities working group, which has proven to be a long-protracted process. </w:t>
      </w:r>
    </w:p>
    <w:p w14:paraId="7E5A1220" w14:textId="77777777" w:rsidR="00911961" w:rsidRPr="001F67F1" w:rsidRDefault="00911961" w:rsidP="00911961">
      <w:pPr>
        <w:spacing w:after="158"/>
        <w:jc w:val="both"/>
        <w:rPr>
          <w:color w:val="222222"/>
        </w:rPr>
      </w:pPr>
      <w:r w:rsidRPr="001F67F1">
        <w:rPr>
          <w:b/>
          <w:color w:val="222222"/>
        </w:rPr>
        <w:t>Consumer Network – Te Whatu Ora Te Matau a Māui Hawke’s Bay</w:t>
      </w:r>
      <w:r w:rsidRPr="001F67F1">
        <w:rPr>
          <w:color w:val="222222"/>
        </w:rPr>
        <w:t xml:space="preserve"> </w:t>
      </w:r>
    </w:p>
    <w:p w14:paraId="6076403F" w14:textId="77777777" w:rsidR="00911961" w:rsidRPr="001F67F1" w:rsidRDefault="00911961" w:rsidP="00911961">
      <w:pPr>
        <w:spacing w:after="158"/>
        <w:jc w:val="both"/>
        <w:rPr>
          <w:color w:val="1C1E21"/>
        </w:rPr>
      </w:pPr>
      <w:r w:rsidRPr="001F67F1">
        <w:rPr>
          <w:color w:val="1C1E21"/>
        </w:rPr>
        <w:t>Deadline for Consumer network expressions of interest – 20 August 2023. 55 applications received for 9 positions. Penita Davies, Consumer Engagement Lead, has led this process and is confident that the time to plan has been well worth it.</w:t>
      </w:r>
    </w:p>
    <w:p w14:paraId="338B9D02" w14:textId="77777777" w:rsidR="00911961" w:rsidRPr="001F67F1" w:rsidRDefault="00911961" w:rsidP="00911961">
      <w:pPr>
        <w:jc w:val="both"/>
        <w:rPr>
          <w:color w:val="1C1E21"/>
        </w:rPr>
      </w:pPr>
      <w:r w:rsidRPr="001F67F1">
        <w:rPr>
          <w:color w:val="1C1E21"/>
        </w:rPr>
        <w:t>Penita is working with Manu Sione to bring in consumer and whānau voice.</w:t>
      </w:r>
    </w:p>
    <w:p w14:paraId="3CF07BD9" w14:textId="77777777" w:rsidR="00DC5C92" w:rsidRDefault="00DC5C92" w:rsidP="00911961">
      <w:pPr>
        <w:spacing w:after="158"/>
        <w:jc w:val="both"/>
        <w:rPr>
          <w:b/>
          <w:color w:val="1C1E21"/>
        </w:rPr>
      </w:pPr>
    </w:p>
    <w:p w14:paraId="0E1333B1" w14:textId="05698A6F" w:rsidR="00911961" w:rsidRPr="001F67F1" w:rsidRDefault="00911961" w:rsidP="00911961">
      <w:pPr>
        <w:spacing w:after="158"/>
        <w:jc w:val="both"/>
        <w:rPr>
          <w:b/>
          <w:color w:val="1C1E21"/>
        </w:rPr>
      </w:pPr>
      <w:r w:rsidRPr="001F67F1">
        <w:rPr>
          <w:b/>
          <w:color w:val="1C1E21"/>
        </w:rPr>
        <w:lastRenderedPageBreak/>
        <w:t>Hohou te rongo restorative hui</w:t>
      </w:r>
    </w:p>
    <w:p w14:paraId="11B2B83D" w14:textId="77777777" w:rsidR="00911961" w:rsidRPr="001F67F1" w:rsidRDefault="00911961" w:rsidP="00911961">
      <w:pPr>
        <w:jc w:val="both"/>
        <w:rPr>
          <w:b/>
        </w:rPr>
      </w:pPr>
      <w:r w:rsidRPr="001F67F1">
        <w:rPr>
          <w:color w:val="1C1E21"/>
        </w:rPr>
        <w:t xml:space="preserve">Penita is also organising a restorative hui - </w:t>
      </w:r>
      <w:r w:rsidRPr="001F67F1">
        <w:rPr>
          <w:i/>
          <w:color w:val="1C1E21"/>
        </w:rPr>
        <w:t>hohou te rongo</w:t>
      </w:r>
      <w:r w:rsidRPr="001F67F1">
        <w:rPr>
          <w:color w:val="1C1E21"/>
        </w:rPr>
        <w:t xml:space="preserve"> - to be called for harm that has been caused by the Radiology Department, Hawke’s Bay Hospital, 7-Sep. I will be referring a Wairoa whānau, who lost a loved one last October, to this restorative process.</w:t>
      </w:r>
    </w:p>
    <w:p w14:paraId="1052B2B6" w14:textId="77777777" w:rsidR="00911961" w:rsidRDefault="00911961" w:rsidP="00911961">
      <w:pPr>
        <w:jc w:val="both"/>
        <w:rPr>
          <w:b/>
        </w:rPr>
      </w:pPr>
    </w:p>
    <w:p w14:paraId="4F9EAC95" w14:textId="77777777" w:rsidR="00911961" w:rsidRPr="0010606D" w:rsidRDefault="00911961" w:rsidP="00911961">
      <w:pPr>
        <w:jc w:val="both"/>
        <w:rPr>
          <w:bCs/>
          <w:sz w:val="24"/>
          <w:szCs w:val="24"/>
        </w:rPr>
      </w:pPr>
      <w:r>
        <w:rPr>
          <w:b/>
          <w:sz w:val="24"/>
          <w:szCs w:val="24"/>
        </w:rPr>
        <w:t xml:space="preserve">Boyd Broughton </w:t>
      </w:r>
      <w:r w:rsidRPr="0010606D">
        <w:rPr>
          <w:bCs/>
          <w:sz w:val="24"/>
          <w:szCs w:val="24"/>
        </w:rPr>
        <w:t>(</w:t>
      </w:r>
      <w:r w:rsidRPr="00FD6141">
        <w:rPr>
          <w:bCs/>
          <w:sz w:val="24"/>
          <w:szCs w:val="24"/>
        </w:rPr>
        <w:t>Te Hā Oranga</w:t>
      </w:r>
      <w:r>
        <w:rPr>
          <w:bCs/>
          <w:sz w:val="24"/>
          <w:szCs w:val="24"/>
        </w:rPr>
        <w:t xml:space="preserve">, </w:t>
      </w:r>
      <w:r w:rsidRPr="003E7A42">
        <w:rPr>
          <w:sz w:val="24"/>
          <w:szCs w:val="24"/>
        </w:rPr>
        <w:t>Tāmaki Makaurau</w:t>
      </w:r>
      <w:r w:rsidRPr="003E7A42">
        <w:rPr>
          <w:bCs/>
          <w:sz w:val="24"/>
          <w:szCs w:val="24"/>
        </w:rPr>
        <w:t>)</w:t>
      </w:r>
    </w:p>
    <w:p w14:paraId="154FC060" w14:textId="77777777" w:rsidR="00911961" w:rsidRPr="00C93B83" w:rsidRDefault="00911961" w:rsidP="00911961">
      <w:pPr>
        <w:jc w:val="both"/>
        <w:rPr>
          <w:i/>
        </w:rPr>
      </w:pPr>
      <w:r>
        <w:rPr>
          <w:b/>
        </w:rPr>
        <w:t>Environmental scan/real time monitoring</w:t>
      </w:r>
    </w:p>
    <w:p w14:paraId="2F93DA19" w14:textId="77777777" w:rsidR="00911961" w:rsidRPr="00432ED7" w:rsidRDefault="00911961" w:rsidP="00911961">
      <w:pPr>
        <w:pStyle w:val="ListParagraph"/>
        <w:numPr>
          <w:ilvl w:val="0"/>
          <w:numId w:val="29"/>
        </w:numPr>
        <w:autoSpaceDE/>
        <w:autoSpaceDN/>
        <w:adjustRightInd/>
        <w:spacing w:after="0" w:line="240" w:lineRule="auto"/>
        <w:ind w:left="360"/>
        <w:jc w:val="both"/>
        <w:rPr>
          <w:iCs/>
        </w:rPr>
      </w:pPr>
      <w:r w:rsidRPr="00432ED7">
        <w:rPr>
          <w:iCs/>
        </w:rPr>
        <w:t xml:space="preserve">The health services in the northern region remain under pressure, GP’s, mental health, and addictions. </w:t>
      </w:r>
    </w:p>
    <w:p w14:paraId="5622C5E6" w14:textId="77777777" w:rsidR="00911961" w:rsidRPr="00432ED7" w:rsidRDefault="00911961" w:rsidP="00911961">
      <w:pPr>
        <w:pStyle w:val="ListParagraph"/>
        <w:numPr>
          <w:ilvl w:val="0"/>
          <w:numId w:val="29"/>
        </w:numPr>
        <w:autoSpaceDE/>
        <w:autoSpaceDN/>
        <w:adjustRightInd/>
        <w:spacing w:after="0" w:line="240" w:lineRule="auto"/>
        <w:ind w:left="360"/>
        <w:jc w:val="both"/>
        <w:rPr>
          <w:iCs/>
        </w:rPr>
      </w:pPr>
      <w:r w:rsidRPr="00432ED7">
        <w:rPr>
          <w:iCs/>
        </w:rPr>
        <w:t xml:space="preserve">Wait times are on average about two weeks in some regions within Auckland, sometimes longer, up to four weeks, in the more rural areas. </w:t>
      </w:r>
    </w:p>
    <w:p w14:paraId="0F0EFA13" w14:textId="77777777" w:rsidR="00911961" w:rsidRPr="00432ED7" w:rsidRDefault="00911961" w:rsidP="00911961">
      <w:pPr>
        <w:pStyle w:val="ListParagraph"/>
        <w:numPr>
          <w:ilvl w:val="0"/>
          <w:numId w:val="29"/>
        </w:numPr>
        <w:autoSpaceDE/>
        <w:autoSpaceDN/>
        <w:adjustRightInd/>
        <w:spacing w:after="0" w:line="240" w:lineRule="auto"/>
        <w:ind w:left="360"/>
        <w:jc w:val="both"/>
        <w:rPr>
          <w:iCs/>
        </w:rPr>
      </w:pPr>
      <w:r w:rsidRPr="00432ED7">
        <w:rPr>
          <w:iCs/>
        </w:rPr>
        <w:t xml:space="preserve">Continued alerts regarding Invasive Meningococcal Disease and Pertussis outbreaks both in Auckland and Northland. </w:t>
      </w:r>
    </w:p>
    <w:p w14:paraId="4C9C657F" w14:textId="77777777" w:rsidR="00911961" w:rsidRPr="00432ED7" w:rsidRDefault="00911961" w:rsidP="00911961">
      <w:pPr>
        <w:pStyle w:val="ListParagraph"/>
        <w:numPr>
          <w:ilvl w:val="0"/>
          <w:numId w:val="29"/>
        </w:numPr>
        <w:autoSpaceDE/>
        <w:autoSpaceDN/>
        <w:adjustRightInd/>
        <w:spacing w:after="0" w:line="240" w:lineRule="auto"/>
        <w:ind w:left="360"/>
        <w:jc w:val="both"/>
        <w:rPr>
          <w:iCs/>
        </w:rPr>
      </w:pPr>
      <w:r w:rsidRPr="00432ED7">
        <w:rPr>
          <w:iCs/>
        </w:rPr>
        <w:t xml:space="preserve">Covid remains in the community, despite ALL Covid mandates being removed, there remain over 100 cases per week in the north, which has decreased over the months from 400 weekly. September forecast is for a further decrease in cases, hospitalisations, and deaths. </w:t>
      </w:r>
    </w:p>
    <w:p w14:paraId="26EE94A0" w14:textId="77777777" w:rsidR="00911961" w:rsidRPr="00432ED7" w:rsidRDefault="00911961" w:rsidP="00911961">
      <w:pPr>
        <w:pStyle w:val="ListParagraph"/>
        <w:numPr>
          <w:ilvl w:val="0"/>
          <w:numId w:val="29"/>
        </w:numPr>
        <w:autoSpaceDE/>
        <w:autoSpaceDN/>
        <w:adjustRightInd/>
        <w:spacing w:after="0" w:line="240" w:lineRule="auto"/>
        <w:ind w:left="360"/>
        <w:jc w:val="both"/>
        <w:rPr>
          <w:iCs/>
        </w:rPr>
      </w:pPr>
      <w:r w:rsidRPr="00432ED7">
        <w:rPr>
          <w:iCs/>
        </w:rPr>
        <w:t>Lots of upcoming activities with Bowel Screening, HPV self-testing, and a Lung Cancer Screening initiative with a particular focus on the north. We will be encouraging the partnering with Māori providers in the north to increase awareness and access for w</w:t>
      </w:r>
      <w:r>
        <w:rPr>
          <w:iCs/>
        </w:rPr>
        <w:t>ā</w:t>
      </w:r>
      <w:r w:rsidRPr="00432ED7">
        <w:rPr>
          <w:iCs/>
        </w:rPr>
        <w:t xml:space="preserve">hine Māori as a priority. </w:t>
      </w:r>
    </w:p>
    <w:p w14:paraId="29C88FA6" w14:textId="77777777" w:rsidR="00911961" w:rsidRPr="00432ED7" w:rsidRDefault="00911961" w:rsidP="00911961">
      <w:pPr>
        <w:pStyle w:val="ListParagraph"/>
        <w:numPr>
          <w:ilvl w:val="0"/>
          <w:numId w:val="29"/>
        </w:numPr>
        <w:autoSpaceDE/>
        <w:autoSpaceDN/>
        <w:adjustRightInd/>
        <w:spacing w:after="0" w:line="240" w:lineRule="auto"/>
        <w:ind w:left="360"/>
        <w:jc w:val="both"/>
        <w:rPr>
          <w:iCs/>
        </w:rPr>
      </w:pPr>
      <w:r w:rsidRPr="00432ED7">
        <w:rPr>
          <w:iCs/>
        </w:rPr>
        <w:t xml:space="preserve">Previously reported measles cases were contained. </w:t>
      </w:r>
    </w:p>
    <w:p w14:paraId="0E3B9EC3" w14:textId="77777777" w:rsidR="00911961" w:rsidRPr="00432ED7" w:rsidRDefault="00911961" w:rsidP="00911961">
      <w:pPr>
        <w:pStyle w:val="ListParagraph"/>
        <w:numPr>
          <w:ilvl w:val="0"/>
          <w:numId w:val="29"/>
        </w:numPr>
        <w:autoSpaceDE/>
        <w:autoSpaceDN/>
        <w:adjustRightInd/>
        <w:spacing w:after="0" w:line="240" w:lineRule="auto"/>
        <w:ind w:left="360"/>
        <w:jc w:val="both"/>
        <w:rPr>
          <w:iCs/>
        </w:rPr>
      </w:pPr>
      <w:r w:rsidRPr="00432ED7">
        <w:rPr>
          <w:iCs/>
        </w:rPr>
        <w:t xml:space="preserve">The region is still recovering from adverse weather events earlier this year, with further Te Whatu Ora/Te Aka Whai Ora investment expected in September to those areas most impacted, Mangere, Rānui, Henderson, Piha, Muriwai, Kaipara, and Dargaville. Some additional investment into surrounding areas greatly impacted such as Hokianga, Kaikohe, and Whangaroa. </w:t>
      </w:r>
    </w:p>
    <w:p w14:paraId="20464EF2" w14:textId="77777777" w:rsidR="00911961" w:rsidRPr="00432ED7" w:rsidRDefault="00911961" w:rsidP="00911961">
      <w:pPr>
        <w:pStyle w:val="ListParagraph"/>
        <w:numPr>
          <w:ilvl w:val="0"/>
          <w:numId w:val="29"/>
        </w:numPr>
        <w:autoSpaceDE/>
        <w:autoSpaceDN/>
        <w:adjustRightInd/>
        <w:spacing w:after="0" w:line="240" w:lineRule="auto"/>
        <w:ind w:left="360"/>
        <w:jc w:val="both"/>
        <w:rPr>
          <w:iCs/>
        </w:rPr>
      </w:pPr>
      <w:r w:rsidRPr="00432ED7">
        <w:rPr>
          <w:iCs/>
        </w:rPr>
        <w:t xml:space="preserve">Localities discussions progressing with some interim lines agreed upon. We look forward to a further six or seven localities in the northern region being announced in September. </w:t>
      </w:r>
    </w:p>
    <w:p w14:paraId="444F64EB" w14:textId="77777777" w:rsidR="00911961" w:rsidRPr="00432ED7" w:rsidRDefault="00911961" w:rsidP="00911961">
      <w:pPr>
        <w:pStyle w:val="ListParagraph"/>
        <w:numPr>
          <w:ilvl w:val="0"/>
          <w:numId w:val="29"/>
        </w:numPr>
        <w:autoSpaceDE/>
        <w:autoSpaceDN/>
        <w:adjustRightInd/>
        <w:spacing w:after="0" w:line="240" w:lineRule="auto"/>
        <w:ind w:left="360"/>
        <w:jc w:val="both"/>
        <w:rPr>
          <w:iCs/>
        </w:rPr>
      </w:pPr>
      <w:r w:rsidRPr="00432ED7">
        <w:rPr>
          <w:iCs/>
        </w:rPr>
        <w:t xml:space="preserve">Regardless of the future of Localities, the identification of priorities, existing services, and the unmet need will remain relevant for any continued or new government. </w:t>
      </w:r>
    </w:p>
    <w:p w14:paraId="34DF5E65" w14:textId="77777777" w:rsidR="00911961" w:rsidRPr="00432ED7" w:rsidRDefault="00911961" w:rsidP="00911961">
      <w:pPr>
        <w:spacing w:after="0" w:line="240" w:lineRule="auto"/>
        <w:contextualSpacing/>
        <w:jc w:val="both"/>
        <w:rPr>
          <w:b/>
        </w:rPr>
      </w:pPr>
    </w:p>
    <w:p w14:paraId="7835060E" w14:textId="77777777" w:rsidR="00911961" w:rsidRPr="00432ED7" w:rsidRDefault="00911961" w:rsidP="00911961">
      <w:pPr>
        <w:spacing w:after="0" w:line="240" w:lineRule="auto"/>
        <w:contextualSpacing/>
        <w:jc w:val="both"/>
        <w:rPr>
          <w:b/>
        </w:rPr>
      </w:pPr>
      <w:r w:rsidRPr="00432ED7">
        <w:rPr>
          <w:b/>
        </w:rPr>
        <w:t>Services</w:t>
      </w:r>
    </w:p>
    <w:p w14:paraId="25363E39" w14:textId="77777777" w:rsidR="00911961" w:rsidRPr="00432ED7" w:rsidRDefault="00911961" w:rsidP="00911961">
      <w:pPr>
        <w:pStyle w:val="ListParagraph"/>
        <w:numPr>
          <w:ilvl w:val="0"/>
          <w:numId w:val="30"/>
        </w:numPr>
        <w:autoSpaceDE/>
        <w:autoSpaceDN/>
        <w:adjustRightInd/>
        <w:spacing w:after="0" w:line="240" w:lineRule="auto"/>
        <w:ind w:left="360"/>
        <w:jc w:val="both"/>
        <w:rPr>
          <w:iCs/>
        </w:rPr>
      </w:pPr>
      <w:r w:rsidRPr="00432ED7">
        <w:rPr>
          <w:iCs/>
        </w:rPr>
        <w:t xml:space="preserve">Workforce remains an issue in the northern region. </w:t>
      </w:r>
    </w:p>
    <w:p w14:paraId="2CFDE35B" w14:textId="77777777" w:rsidR="00911961" w:rsidRPr="00432ED7" w:rsidRDefault="00911961" w:rsidP="00911961">
      <w:pPr>
        <w:pStyle w:val="ListParagraph"/>
        <w:numPr>
          <w:ilvl w:val="0"/>
          <w:numId w:val="30"/>
        </w:numPr>
        <w:autoSpaceDE/>
        <w:autoSpaceDN/>
        <w:adjustRightInd/>
        <w:spacing w:after="0" w:line="240" w:lineRule="auto"/>
        <w:ind w:left="360"/>
        <w:jc w:val="both"/>
        <w:rPr>
          <w:iCs/>
        </w:rPr>
      </w:pPr>
      <w:r w:rsidRPr="00432ED7">
        <w:rPr>
          <w:iCs/>
        </w:rPr>
        <w:t xml:space="preserve">Initial discussions to ascertain if there are any workforce regulations than can be relaxed or enabled to empower the current workforce to do more for whānau who would otherwise be unable to access a GP. </w:t>
      </w:r>
    </w:p>
    <w:p w14:paraId="2307DAF3" w14:textId="77777777" w:rsidR="00911961" w:rsidRPr="00432ED7" w:rsidRDefault="00911961" w:rsidP="00911961">
      <w:pPr>
        <w:pStyle w:val="ListParagraph"/>
        <w:numPr>
          <w:ilvl w:val="0"/>
          <w:numId w:val="30"/>
        </w:numPr>
        <w:autoSpaceDE/>
        <w:autoSpaceDN/>
        <w:adjustRightInd/>
        <w:spacing w:after="0" w:line="240" w:lineRule="auto"/>
        <w:ind w:left="360"/>
        <w:jc w:val="both"/>
        <w:rPr>
          <w:iCs/>
        </w:rPr>
      </w:pPr>
      <w:r w:rsidRPr="00432ED7">
        <w:rPr>
          <w:iCs/>
        </w:rPr>
        <w:t xml:space="preserve">External support being accepted to increase the opportunity for whānau to interact with a health professional if access to GP services is massively delayed. </w:t>
      </w:r>
    </w:p>
    <w:p w14:paraId="7F675B4A" w14:textId="77777777" w:rsidR="00911961" w:rsidRPr="00432ED7" w:rsidRDefault="00911961" w:rsidP="00911961">
      <w:pPr>
        <w:pStyle w:val="ListParagraph"/>
        <w:numPr>
          <w:ilvl w:val="0"/>
          <w:numId w:val="30"/>
        </w:numPr>
        <w:autoSpaceDE/>
        <w:autoSpaceDN/>
        <w:adjustRightInd/>
        <w:spacing w:after="0" w:line="240" w:lineRule="auto"/>
        <w:ind w:left="360"/>
        <w:jc w:val="both"/>
        <w:rPr>
          <w:iCs/>
        </w:rPr>
      </w:pPr>
      <w:r w:rsidRPr="00432ED7">
        <w:rPr>
          <w:iCs/>
        </w:rPr>
        <w:t xml:space="preserve">Good discussion with local PHO’s regarding the possibility of shifting medical expertise resource to where need is most high, this discussion is ongoing. </w:t>
      </w:r>
    </w:p>
    <w:p w14:paraId="3B261CDF" w14:textId="77777777" w:rsidR="00911961" w:rsidRPr="00432ED7" w:rsidRDefault="00911961" w:rsidP="00911961">
      <w:pPr>
        <w:spacing w:after="0" w:line="240" w:lineRule="auto"/>
        <w:contextualSpacing/>
        <w:jc w:val="both"/>
        <w:rPr>
          <w:b/>
        </w:rPr>
      </w:pPr>
    </w:p>
    <w:p w14:paraId="402E5B92" w14:textId="77777777" w:rsidR="00911961" w:rsidRPr="00432ED7" w:rsidRDefault="00911961" w:rsidP="00911961">
      <w:pPr>
        <w:spacing w:after="0" w:line="240" w:lineRule="auto"/>
        <w:contextualSpacing/>
        <w:jc w:val="both"/>
        <w:rPr>
          <w:b/>
        </w:rPr>
      </w:pPr>
      <w:r w:rsidRPr="00432ED7">
        <w:rPr>
          <w:b/>
        </w:rPr>
        <w:t>Positive stories and exemplars</w:t>
      </w:r>
    </w:p>
    <w:p w14:paraId="4D7BD198" w14:textId="77777777" w:rsidR="00911961" w:rsidRPr="00432ED7" w:rsidRDefault="00911961" w:rsidP="00911961">
      <w:pPr>
        <w:spacing w:after="0" w:line="240" w:lineRule="auto"/>
        <w:contextualSpacing/>
        <w:jc w:val="both"/>
        <w:rPr>
          <w:iCs/>
        </w:rPr>
      </w:pPr>
      <w:r w:rsidRPr="00432ED7">
        <w:rPr>
          <w:iCs/>
        </w:rPr>
        <w:t xml:space="preserve">Te Aupōuri, Ngāti Kahu, and Te Rarawa Iwi all partnered to open a remote and digital health hub in Kaitaia to offer some relief to those waiting to see their GP. An amazing initiative supported by their local doctor, Dr Lance O’Sullivan. An amazing initiative from Iwi who have historically delivered only social services to their whānau and communities. </w:t>
      </w:r>
    </w:p>
    <w:p w14:paraId="768E1633" w14:textId="77777777" w:rsidR="00310FB9" w:rsidRDefault="00310FB9" w:rsidP="008E26AD">
      <w:pPr>
        <w:jc w:val="both"/>
        <w:rPr>
          <w:b/>
          <w:sz w:val="24"/>
          <w:szCs w:val="24"/>
        </w:rPr>
      </w:pPr>
    </w:p>
    <w:p w14:paraId="43363988" w14:textId="015F0CC5" w:rsidR="008E26AD" w:rsidRPr="00893035" w:rsidRDefault="008E26AD" w:rsidP="008E26AD">
      <w:pPr>
        <w:jc w:val="both"/>
        <w:rPr>
          <w:b/>
        </w:rPr>
      </w:pPr>
      <w:r>
        <w:rPr>
          <w:bCs/>
        </w:rPr>
        <w:br/>
      </w:r>
    </w:p>
    <w:p w14:paraId="58557AAE" w14:textId="77777777" w:rsidR="00CC40D9" w:rsidRDefault="00CC40D9" w:rsidP="00520EC5"/>
    <w:sectPr w:rsidR="00CC40D9" w:rsidSect="00636DAD">
      <w:headerReference w:type="default" r:id="rId29"/>
      <w:footerReference w:type="default" r:id="rId30"/>
      <w:headerReference w:type="first" r:id="rId31"/>
      <w:footerReference w:type="first" r:id="rId32"/>
      <w:pgSz w:w="11899" w:h="16838"/>
      <w:pgMar w:top="1276" w:right="1418" w:bottom="993" w:left="1418" w:header="850" w:footer="45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026D7" w14:textId="77777777" w:rsidR="00FA1CDE" w:rsidRDefault="00FA1CDE" w:rsidP="00041D20">
      <w:r>
        <w:separator/>
      </w:r>
    </w:p>
  </w:endnote>
  <w:endnote w:type="continuationSeparator" w:id="0">
    <w:p w14:paraId="658AF896" w14:textId="77777777" w:rsidR="00FA1CDE" w:rsidRDefault="00FA1CDE" w:rsidP="00041D20">
      <w:r>
        <w:continuationSeparator/>
      </w:r>
    </w:p>
  </w:endnote>
  <w:endnote w:type="continuationNotice" w:id="1">
    <w:p w14:paraId="13A6C782" w14:textId="77777777" w:rsidR="00FA1CDE" w:rsidRDefault="00FA1C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E8BB" w14:textId="42C58986" w:rsidR="00FC4699" w:rsidRPr="005B429D" w:rsidRDefault="005B429D" w:rsidP="005B429D">
    <w:pPr>
      <w:pStyle w:val="Footer"/>
    </w:pPr>
    <w:r w:rsidRPr="005B429D">
      <w:t xml:space="preserve">Page </w:t>
    </w:r>
    <w:r w:rsidRPr="005B429D">
      <w:fldChar w:fldCharType="begin"/>
    </w:r>
    <w:r w:rsidRPr="005B429D">
      <w:instrText xml:space="preserve"> PAGE  \* Arabic  \* MERGEFORMAT </w:instrText>
    </w:r>
    <w:r w:rsidRPr="005B429D">
      <w:fldChar w:fldCharType="separate"/>
    </w:r>
    <w:r w:rsidRPr="005B429D">
      <w:t>1</w:t>
    </w:r>
    <w:r w:rsidRPr="005B429D">
      <w:fldChar w:fldCharType="end"/>
    </w:r>
    <w:r w:rsidRPr="005B429D">
      <w:t xml:space="preserve"> of </w:t>
    </w:r>
    <w:fldSimple w:instr="NUMPAGES   \* MERGEFORMAT">
      <w:r w:rsidRPr="005B429D">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171E" w14:textId="4E59C874" w:rsidR="000F3896" w:rsidRPr="000F3896" w:rsidRDefault="00653D17" w:rsidP="00BD6090">
    <w:pPr>
      <w:pStyle w:val="Footer"/>
      <w:jc w:val="left"/>
    </w:pPr>
    <w:r w:rsidRPr="00653D17">
      <w:rPr>
        <w:bCs/>
        <w:szCs w:val="18"/>
      </w:rPr>
      <w:t>Te Kāhui Mahi Ngātahi/ Consumer Advisory Group</w:t>
    </w:r>
    <w:r>
      <w:t xml:space="preserve"> minutes </w:t>
    </w:r>
    <w:r w:rsidR="005735C7">
      <w:t xml:space="preserve">September </w:t>
    </w:r>
    <w:r w:rsidR="00AF6E7B">
      <w:t>2023</w:t>
    </w:r>
    <w:r w:rsidR="00E5129A">
      <w:tab/>
      <w:t xml:space="preserve"> </w:t>
    </w:r>
    <w:r w:rsidR="00E5129A" w:rsidRPr="00653D17">
      <w:t>Page</w:t>
    </w:r>
    <w:r w:rsidR="000F3896">
      <w:t xml:space="preserve"> </w:t>
    </w:r>
    <w:r w:rsidR="000F3896">
      <w:fldChar w:fldCharType="begin"/>
    </w:r>
    <w:r w:rsidR="000F3896">
      <w:instrText xml:space="preserve"> PAGE  \* Arabic  \* MERGEFORMAT </w:instrText>
    </w:r>
    <w:r w:rsidR="000F3896">
      <w:fldChar w:fldCharType="separate"/>
    </w:r>
    <w:r w:rsidR="000F3896">
      <w:rPr>
        <w:noProof/>
      </w:rPr>
      <w:t>1</w:t>
    </w:r>
    <w:r w:rsidR="000F3896">
      <w:fldChar w:fldCharType="end"/>
    </w:r>
    <w:r w:rsidR="009971DA">
      <w:t xml:space="preserve"> of </w:t>
    </w:r>
    <w:fldSimple w:instr="NUMPAGES   \* MERGEFORMAT">
      <w:r w:rsidR="009971DA">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42BAC" w14:textId="77777777" w:rsidR="00FA1CDE" w:rsidRDefault="00FA1CDE" w:rsidP="00041D20">
      <w:r>
        <w:separator/>
      </w:r>
    </w:p>
  </w:footnote>
  <w:footnote w:type="continuationSeparator" w:id="0">
    <w:p w14:paraId="5E8F110D" w14:textId="77777777" w:rsidR="00FA1CDE" w:rsidRDefault="00FA1CDE" w:rsidP="00041D20">
      <w:r>
        <w:continuationSeparator/>
      </w:r>
    </w:p>
  </w:footnote>
  <w:footnote w:type="continuationNotice" w:id="1">
    <w:p w14:paraId="32D92AE0" w14:textId="77777777" w:rsidR="00FA1CDE" w:rsidRDefault="00FA1C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CF30" w14:textId="1D148A1F" w:rsidR="000F3896" w:rsidRDefault="00000000">
    <w:pPr>
      <w:pStyle w:val="Header"/>
    </w:pPr>
    <w:fldSimple w:instr="FILENAME   \* MERGEFORMAT">
      <w:r w:rsidR="00BD2F0C">
        <w:rPr>
          <w:noProof/>
        </w:rPr>
        <w:t>Minutes</w:t>
      </w:r>
      <w:r w:rsidR="000E44E3">
        <w:rPr>
          <w:noProof/>
        </w:rPr>
        <w:t>_2023</w:t>
      </w:r>
      <w:r w:rsidR="0061353C">
        <w:rPr>
          <w:noProof/>
        </w:rPr>
        <w:t>.docx</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E9459" w14:textId="2058F060" w:rsidR="009A38AB" w:rsidRDefault="000E44E3" w:rsidP="000E44E3">
    <w:pPr>
      <w:pStyle w:val="Header"/>
      <w:jc w:val="right"/>
    </w:pPr>
    <w:r>
      <w:rPr>
        <w:noProof/>
      </w:rPr>
      <w:drawing>
        <wp:inline distT="0" distB="0" distL="0" distR="0" wp14:anchorId="0F0A5138" wp14:editId="1445FC17">
          <wp:extent cx="1440000" cy="1286728"/>
          <wp:effectExtent l="0" t="0" r="8255" b="8890"/>
          <wp:docPr id="707857167" name="Picture 70785716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0000" cy="1286728"/>
                  </a:xfrm>
                  <a:prstGeom prst="rect">
                    <a:avLst/>
                  </a:prstGeom>
                </pic:spPr>
              </pic:pic>
            </a:graphicData>
          </a:graphic>
        </wp:inline>
      </w:drawing>
    </w:r>
  </w:p>
  <w:p w14:paraId="3C6CBD0D" w14:textId="7856E391" w:rsidR="00C23DDF" w:rsidRPr="00C23DDF" w:rsidRDefault="00C23DDF" w:rsidP="00C23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138655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FC2A0EC"/>
    <w:lvl w:ilvl="0">
      <w:start w:val="1"/>
      <w:numFmt w:val="bullet"/>
      <w:pStyle w:val="Bullets"/>
      <w:lvlText w:val=""/>
      <w:lvlJc w:val="left"/>
      <w:pPr>
        <w:tabs>
          <w:tab w:val="num" w:pos="360"/>
        </w:tabs>
        <w:ind w:left="360" w:hanging="360"/>
      </w:pPr>
      <w:rPr>
        <w:rFonts w:ascii="Symbol" w:hAnsi="Symbol" w:hint="default"/>
        <w:color w:val="000000" w:themeColor="text1"/>
      </w:rPr>
    </w:lvl>
  </w:abstractNum>
  <w:abstractNum w:abstractNumId="2" w15:restartNumberingAfterBreak="0">
    <w:nsid w:val="045D1A0B"/>
    <w:multiLevelType w:val="multilevel"/>
    <w:tmpl w:val="E62EF77C"/>
    <w:styleLink w:val="CurrentList1"/>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8304EAA"/>
    <w:multiLevelType w:val="hybridMultilevel"/>
    <w:tmpl w:val="500A0FB6"/>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4" w15:restartNumberingAfterBreak="0">
    <w:nsid w:val="0CBC2955"/>
    <w:multiLevelType w:val="hybridMultilevel"/>
    <w:tmpl w:val="9F761E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18668F5"/>
    <w:multiLevelType w:val="hybridMultilevel"/>
    <w:tmpl w:val="9B9C217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751394A"/>
    <w:multiLevelType w:val="hybridMultilevel"/>
    <w:tmpl w:val="39328B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8994FFC"/>
    <w:multiLevelType w:val="multilevel"/>
    <w:tmpl w:val="90904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7D591B"/>
    <w:multiLevelType w:val="hybridMultilevel"/>
    <w:tmpl w:val="CE96D45E"/>
    <w:lvl w:ilvl="0" w:tplc="D8945980">
      <w:start w:val="1"/>
      <w:numFmt w:val="decimal"/>
      <w:lvlText w:val="%1."/>
      <w:lvlJc w:val="left"/>
      <w:pPr>
        <w:ind w:left="720" w:hanging="360"/>
      </w:pPr>
      <w:rPr>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B1908BC"/>
    <w:multiLevelType w:val="hybridMultilevel"/>
    <w:tmpl w:val="91307C3A"/>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CC007C0"/>
    <w:multiLevelType w:val="multilevel"/>
    <w:tmpl w:val="9FA2A81A"/>
    <w:styleLink w:val="CurrentList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FF746E5"/>
    <w:multiLevelType w:val="multilevel"/>
    <w:tmpl w:val="88E4084C"/>
    <w:styleLink w:val="Endash-twolevels"/>
    <w:lvl w:ilvl="0">
      <w:start w:val="1"/>
      <w:numFmt w:val="bullet"/>
      <w:lvlText w:val="–"/>
      <w:lvlJc w:val="left"/>
      <w:pPr>
        <w:ind w:left="357" w:hanging="357"/>
      </w:pPr>
      <w:rPr>
        <w:rFonts w:ascii="Arial" w:hAnsi="Arial" w:hint="default"/>
        <w:color w:val="000000"/>
      </w:rPr>
    </w:lvl>
    <w:lvl w:ilvl="1">
      <w:start w:val="1"/>
      <w:numFmt w:val="bullet"/>
      <w:lvlText w:val="–"/>
      <w:lvlJc w:val="left"/>
      <w:pPr>
        <w:ind w:left="720" w:hanging="363"/>
      </w:pPr>
      <w:rPr>
        <w:rFonts w:ascii="Arial" w:hAnsi="Arial" w:hint="default"/>
        <w:color w:val="000000"/>
      </w:rPr>
    </w:lvl>
    <w:lvl w:ilvl="2">
      <w:start w:val="1"/>
      <w:numFmt w:val="bullet"/>
      <w:lvlText w:val="–"/>
      <w:lvlJc w:val="left"/>
      <w:pPr>
        <w:ind w:left="1134" w:hanging="414"/>
      </w:pPr>
      <w:rPr>
        <w:rFonts w:ascii="Arial" w:hAnsi="Arial" w:hint="default"/>
        <w:color w:val="000000"/>
      </w:rPr>
    </w:lvl>
    <w:lvl w:ilvl="3">
      <w:start w:val="1"/>
      <w:numFmt w:val="none"/>
      <w:lvlText w:val=""/>
      <w:lvlJc w:val="left"/>
      <w:pPr>
        <w:ind w:left="357" w:hanging="357"/>
      </w:pPr>
      <w:rPr>
        <w:rFonts w:hint="default"/>
      </w:rPr>
    </w:lvl>
    <w:lvl w:ilvl="4">
      <w:start w:val="1"/>
      <w:numFmt w:val="none"/>
      <w:lvlText w:val=""/>
      <w:lvlJc w:val="left"/>
      <w:pPr>
        <w:ind w:left="357" w:hanging="357"/>
      </w:pPr>
      <w:rPr>
        <w:rFonts w:hint="default"/>
      </w:rPr>
    </w:lvl>
    <w:lvl w:ilvl="5">
      <w:start w:val="1"/>
      <w:numFmt w:val="none"/>
      <w:lvlText w:val=""/>
      <w:lvlJc w:val="left"/>
      <w:pPr>
        <w:ind w:left="357" w:hanging="357"/>
      </w:pPr>
      <w:rPr>
        <w:rFonts w:hint="default"/>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2" w15:restartNumberingAfterBreak="0">
    <w:nsid w:val="39AF3ABF"/>
    <w:multiLevelType w:val="hybridMultilevel"/>
    <w:tmpl w:val="DBF49F98"/>
    <w:lvl w:ilvl="0" w:tplc="2E14032E">
      <w:start w:val="1"/>
      <w:numFmt w:val="bullet"/>
      <w:lvlText w:val="•"/>
      <w:lvlJc w:val="left"/>
      <w:pPr>
        <w:tabs>
          <w:tab w:val="num" w:pos="720"/>
        </w:tabs>
        <w:ind w:left="720" w:hanging="360"/>
      </w:pPr>
      <w:rPr>
        <w:rFonts w:ascii="Arial" w:hAnsi="Arial" w:hint="default"/>
      </w:rPr>
    </w:lvl>
    <w:lvl w:ilvl="1" w:tplc="371A52C6" w:tentative="1">
      <w:start w:val="1"/>
      <w:numFmt w:val="bullet"/>
      <w:lvlText w:val="•"/>
      <w:lvlJc w:val="left"/>
      <w:pPr>
        <w:tabs>
          <w:tab w:val="num" w:pos="1440"/>
        </w:tabs>
        <w:ind w:left="1440" w:hanging="360"/>
      </w:pPr>
      <w:rPr>
        <w:rFonts w:ascii="Arial" w:hAnsi="Arial" w:hint="default"/>
      </w:rPr>
    </w:lvl>
    <w:lvl w:ilvl="2" w:tplc="F9721466" w:tentative="1">
      <w:start w:val="1"/>
      <w:numFmt w:val="bullet"/>
      <w:lvlText w:val="•"/>
      <w:lvlJc w:val="left"/>
      <w:pPr>
        <w:tabs>
          <w:tab w:val="num" w:pos="2160"/>
        </w:tabs>
        <w:ind w:left="2160" w:hanging="360"/>
      </w:pPr>
      <w:rPr>
        <w:rFonts w:ascii="Arial" w:hAnsi="Arial" w:hint="default"/>
      </w:rPr>
    </w:lvl>
    <w:lvl w:ilvl="3" w:tplc="CEB8EDDA" w:tentative="1">
      <w:start w:val="1"/>
      <w:numFmt w:val="bullet"/>
      <w:lvlText w:val="•"/>
      <w:lvlJc w:val="left"/>
      <w:pPr>
        <w:tabs>
          <w:tab w:val="num" w:pos="2880"/>
        </w:tabs>
        <w:ind w:left="2880" w:hanging="360"/>
      </w:pPr>
      <w:rPr>
        <w:rFonts w:ascii="Arial" w:hAnsi="Arial" w:hint="default"/>
      </w:rPr>
    </w:lvl>
    <w:lvl w:ilvl="4" w:tplc="62FCF9AE" w:tentative="1">
      <w:start w:val="1"/>
      <w:numFmt w:val="bullet"/>
      <w:lvlText w:val="•"/>
      <w:lvlJc w:val="left"/>
      <w:pPr>
        <w:tabs>
          <w:tab w:val="num" w:pos="3600"/>
        </w:tabs>
        <w:ind w:left="3600" w:hanging="360"/>
      </w:pPr>
      <w:rPr>
        <w:rFonts w:ascii="Arial" w:hAnsi="Arial" w:hint="default"/>
      </w:rPr>
    </w:lvl>
    <w:lvl w:ilvl="5" w:tplc="4314A950" w:tentative="1">
      <w:start w:val="1"/>
      <w:numFmt w:val="bullet"/>
      <w:lvlText w:val="•"/>
      <w:lvlJc w:val="left"/>
      <w:pPr>
        <w:tabs>
          <w:tab w:val="num" w:pos="4320"/>
        </w:tabs>
        <w:ind w:left="4320" w:hanging="360"/>
      </w:pPr>
      <w:rPr>
        <w:rFonts w:ascii="Arial" w:hAnsi="Arial" w:hint="default"/>
      </w:rPr>
    </w:lvl>
    <w:lvl w:ilvl="6" w:tplc="F9C238B0" w:tentative="1">
      <w:start w:val="1"/>
      <w:numFmt w:val="bullet"/>
      <w:lvlText w:val="•"/>
      <w:lvlJc w:val="left"/>
      <w:pPr>
        <w:tabs>
          <w:tab w:val="num" w:pos="5040"/>
        </w:tabs>
        <w:ind w:left="5040" w:hanging="360"/>
      </w:pPr>
      <w:rPr>
        <w:rFonts w:ascii="Arial" w:hAnsi="Arial" w:hint="default"/>
      </w:rPr>
    </w:lvl>
    <w:lvl w:ilvl="7" w:tplc="07BC17AA" w:tentative="1">
      <w:start w:val="1"/>
      <w:numFmt w:val="bullet"/>
      <w:lvlText w:val="•"/>
      <w:lvlJc w:val="left"/>
      <w:pPr>
        <w:tabs>
          <w:tab w:val="num" w:pos="5760"/>
        </w:tabs>
        <w:ind w:left="5760" w:hanging="360"/>
      </w:pPr>
      <w:rPr>
        <w:rFonts w:ascii="Arial" w:hAnsi="Arial" w:hint="default"/>
      </w:rPr>
    </w:lvl>
    <w:lvl w:ilvl="8" w:tplc="1390E3D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D8D0207"/>
    <w:multiLevelType w:val="hybridMultilevel"/>
    <w:tmpl w:val="68B455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046095B"/>
    <w:multiLevelType w:val="multilevel"/>
    <w:tmpl w:val="9FA2A81A"/>
    <w:styleLink w:val="CurrentList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419000D2"/>
    <w:multiLevelType w:val="hybridMultilevel"/>
    <w:tmpl w:val="2E24A2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33B6D40"/>
    <w:multiLevelType w:val="multilevel"/>
    <w:tmpl w:val="FB0248A6"/>
    <w:styleLink w:val="letters-twoandtwo"/>
    <w:lvl w:ilvl="0">
      <w:start w:val="1"/>
      <w:numFmt w:val="lowerLetter"/>
      <w:pStyle w:val="Letters-twoandtwo0"/>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tabs>
          <w:tab w:val="num" w:pos="624"/>
        </w:tabs>
        <w:ind w:left="357" w:hanging="73"/>
      </w:pPr>
      <w:rPr>
        <w:rFonts w:hint="default"/>
      </w:rPr>
    </w:lvl>
    <w:lvl w:ilvl="3">
      <w:start w:val="1"/>
      <w:numFmt w:val="lowerRoman"/>
      <w:lvlText w:val="%4."/>
      <w:lvlJc w:val="right"/>
      <w:pPr>
        <w:ind w:left="720" w:hanging="153"/>
      </w:pPr>
      <w:rPr>
        <w:rFonts w:hint="default"/>
      </w:rPr>
    </w:lvl>
    <w:lvl w:ilvl="4">
      <w:start w:val="1"/>
      <w:numFmt w:val="none"/>
      <w:lvlText w:val="%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7" w15:restartNumberingAfterBreak="0">
    <w:nsid w:val="43491B07"/>
    <w:multiLevelType w:val="hybridMultilevel"/>
    <w:tmpl w:val="501A775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8" w15:restartNumberingAfterBreak="0">
    <w:nsid w:val="43D620FE"/>
    <w:multiLevelType w:val="hybridMultilevel"/>
    <w:tmpl w:val="DCD2E4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4246943"/>
    <w:multiLevelType w:val="hybridMultilevel"/>
    <w:tmpl w:val="F4E8E8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5D07E20"/>
    <w:multiLevelType w:val="multilevel"/>
    <w:tmpl w:val="4FAE1AC6"/>
    <w:styleLink w:val="CurrentList3"/>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47CF20E6"/>
    <w:multiLevelType w:val="hybridMultilevel"/>
    <w:tmpl w:val="976210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4CA0AB9"/>
    <w:multiLevelType w:val="hybridMultilevel"/>
    <w:tmpl w:val="CD9C5010"/>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3" w15:restartNumberingAfterBreak="0">
    <w:nsid w:val="5A006EAC"/>
    <w:multiLevelType w:val="hybridMultilevel"/>
    <w:tmpl w:val="0E1EDAF4"/>
    <w:lvl w:ilvl="0" w:tplc="1B94426C">
      <w:start w:val="1"/>
      <w:numFmt w:val="bullet"/>
      <w:pStyle w:val="TableBullet"/>
      <w:lvlText w:val=""/>
      <w:lvlJc w:val="left"/>
      <w:pPr>
        <w:tabs>
          <w:tab w:val="num" w:pos="284"/>
        </w:tabs>
        <w:ind w:left="284" w:hanging="284"/>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BA5700"/>
    <w:multiLevelType w:val="multilevel"/>
    <w:tmpl w:val="4FAE1AC6"/>
    <w:styleLink w:val="CurrentList5"/>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5C0C0292"/>
    <w:multiLevelType w:val="hybridMultilevel"/>
    <w:tmpl w:val="86782B82"/>
    <w:lvl w:ilvl="0" w:tplc="A2BA4F5A">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6" w15:restartNumberingAfterBreak="0">
    <w:nsid w:val="615A77FB"/>
    <w:multiLevelType w:val="hybridMultilevel"/>
    <w:tmpl w:val="3BCA2B7E"/>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63F503B2"/>
    <w:multiLevelType w:val="hybridMultilevel"/>
    <w:tmpl w:val="D1FADD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4056FB6"/>
    <w:multiLevelType w:val="hybridMultilevel"/>
    <w:tmpl w:val="B732778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9" w15:restartNumberingAfterBreak="0">
    <w:nsid w:val="6773748D"/>
    <w:multiLevelType w:val="hybridMultilevel"/>
    <w:tmpl w:val="482AD0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E4A5868"/>
    <w:multiLevelType w:val="hybridMultilevel"/>
    <w:tmpl w:val="9448367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39F7924"/>
    <w:multiLevelType w:val="multilevel"/>
    <w:tmpl w:val="B086AEBC"/>
    <w:lvl w:ilvl="0">
      <w:start w:val="1"/>
      <w:numFmt w:val="decimal"/>
      <w:pStyle w:val="Heading3"/>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7AF97EC3"/>
    <w:multiLevelType w:val="hybridMultilevel"/>
    <w:tmpl w:val="89ACEC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EA13759"/>
    <w:multiLevelType w:val="hybridMultilevel"/>
    <w:tmpl w:val="A5D216C6"/>
    <w:lvl w:ilvl="0" w:tplc="A5D216C6">
      <w:start w:val="1"/>
      <w:numFmt w:val="bullet"/>
      <w:pStyle w:val="Bulletsdash"/>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4A48D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FA2A3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002358">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D21FE0">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70F854">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B05962">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A4DEF6">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442160">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803307620">
    <w:abstractNumId w:val="2"/>
  </w:num>
  <w:num w:numId="2" w16cid:durableId="557473460">
    <w:abstractNumId w:val="10"/>
  </w:num>
  <w:num w:numId="3" w16cid:durableId="1793595470">
    <w:abstractNumId w:val="20"/>
  </w:num>
  <w:num w:numId="4" w16cid:durableId="678238914">
    <w:abstractNumId w:val="14"/>
  </w:num>
  <w:num w:numId="5" w16cid:durableId="1295134873">
    <w:abstractNumId w:val="24"/>
  </w:num>
  <w:num w:numId="6" w16cid:durableId="1582136737">
    <w:abstractNumId w:val="11"/>
  </w:num>
  <w:num w:numId="7" w16cid:durableId="1140223879">
    <w:abstractNumId w:val="16"/>
  </w:num>
  <w:num w:numId="8" w16cid:durableId="1763138242">
    <w:abstractNumId w:val="0"/>
  </w:num>
  <w:num w:numId="9" w16cid:durableId="910701035">
    <w:abstractNumId w:val="1"/>
  </w:num>
  <w:num w:numId="10" w16cid:durableId="1318732170">
    <w:abstractNumId w:val="33"/>
  </w:num>
  <w:num w:numId="11" w16cid:durableId="2087606821">
    <w:abstractNumId w:val="0"/>
  </w:num>
  <w:num w:numId="12" w16cid:durableId="342754547">
    <w:abstractNumId w:val="23"/>
  </w:num>
  <w:num w:numId="13" w16cid:durableId="1381590228">
    <w:abstractNumId w:val="16"/>
  </w:num>
  <w:num w:numId="14" w16cid:durableId="947472017">
    <w:abstractNumId w:val="31"/>
  </w:num>
  <w:num w:numId="15" w16cid:durableId="1941257414">
    <w:abstractNumId w:val="8"/>
  </w:num>
  <w:num w:numId="16" w16cid:durableId="1233852261">
    <w:abstractNumId w:val="17"/>
  </w:num>
  <w:num w:numId="17" w16cid:durableId="1104567885">
    <w:abstractNumId w:val="15"/>
  </w:num>
  <w:num w:numId="18" w16cid:durableId="1756124825">
    <w:abstractNumId w:val="25"/>
  </w:num>
  <w:num w:numId="19" w16cid:durableId="1068265903">
    <w:abstractNumId w:val="26"/>
  </w:num>
  <w:num w:numId="20" w16cid:durableId="192311323">
    <w:abstractNumId w:val="28"/>
  </w:num>
  <w:num w:numId="21" w16cid:durableId="2089382216">
    <w:abstractNumId w:val="7"/>
  </w:num>
  <w:num w:numId="22" w16cid:durableId="427233114">
    <w:abstractNumId w:val="5"/>
  </w:num>
  <w:num w:numId="23" w16cid:durableId="764036586">
    <w:abstractNumId w:val="9"/>
  </w:num>
  <w:num w:numId="24" w16cid:durableId="1468428497">
    <w:abstractNumId w:val="30"/>
  </w:num>
  <w:num w:numId="25" w16cid:durableId="1439256853">
    <w:abstractNumId w:val="31"/>
  </w:num>
  <w:num w:numId="26" w16cid:durableId="1914007992">
    <w:abstractNumId w:val="31"/>
  </w:num>
  <w:num w:numId="27" w16cid:durableId="1354646228">
    <w:abstractNumId w:val="13"/>
  </w:num>
  <w:num w:numId="28" w16cid:durableId="2060320966">
    <w:abstractNumId w:val="12"/>
  </w:num>
  <w:num w:numId="29" w16cid:durableId="1338995557">
    <w:abstractNumId w:val="21"/>
  </w:num>
  <w:num w:numId="30" w16cid:durableId="685443240">
    <w:abstractNumId w:val="32"/>
  </w:num>
  <w:num w:numId="31" w16cid:durableId="973485088">
    <w:abstractNumId w:val="19"/>
  </w:num>
  <w:num w:numId="32" w16cid:durableId="1638799899">
    <w:abstractNumId w:val="6"/>
  </w:num>
  <w:num w:numId="33" w16cid:durableId="1056660341">
    <w:abstractNumId w:val="29"/>
  </w:num>
  <w:num w:numId="34" w16cid:durableId="1449667428">
    <w:abstractNumId w:val="18"/>
  </w:num>
  <w:num w:numId="35" w16cid:durableId="1606186581">
    <w:abstractNumId w:val="22"/>
  </w:num>
  <w:num w:numId="36" w16cid:durableId="1964340247">
    <w:abstractNumId w:val="4"/>
  </w:num>
  <w:num w:numId="37" w16cid:durableId="1506894243">
    <w:abstractNumId w:val="27"/>
  </w:num>
  <w:num w:numId="38" w16cid:durableId="1678850405">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efaultTableStyle w:val="HQSCdefault"/>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BD"/>
    <w:rsid w:val="00000AD7"/>
    <w:rsid w:val="000012EC"/>
    <w:rsid w:val="00002608"/>
    <w:rsid w:val="00003CF1"/>
    <w:rsid w:val="000042EF"/>
    <w:rsid w:val="000078E9"/>
    <w:rsid w:val="0001325E"/>
    <w:rsid w:val="0001488F"/>
    <w:rsid w:val="00015601"/>
    <w:rsid w:val="00015CA6"/>
    <w:rsid w:val="00024E40"/>
    <w:rsid w:val="00025C22"/>
    <w:rsid w:val="00026709"/>
    <w:rsid w:val="0003036A"/>
    <w:rsid w:val="00031B50"/>
    <w:rsid w:val="00033F21"/>
    <w:rsid w:val="000358DC"/>
    <w:rsid w:val="00035CF2"/>
    <w:rsid w:val="00035DA3"/>
    <w:rsid w:val="00035DF1"/>
    <w:rsid w:val="00037241"/>
    <w:rsid w:val="00040E2F"/>
    <w:rsid w:val="00041D20"/>
    <w:rsid w:val="00042C91"/>
    <w:rsid w:val="00044432"/>
    <w:rsid w:val="00045A33"/>
    <w:rsid w:val="00045CFD"/>
    <w:rsid w:val="00046D9F"/>
    <w:rsid w:val="00047599"/>
    <w:rsid w:val="00050EB2"/>
    <w:rsid w:val="0005198C"/>
    <w:rsid w:val="000535C5"/>
    <w:rsid w:val="0006054D"/>
    <w:rsid w:val="00060CEF"/>
    <w:rsid w:val="00061D7D"/>
    <w:rsid w:val="000636E4"/>
    <w:rsid w:val="00063C48"/>
    <w:rsid w:val="0007574A"/>
    <w:rsid w:val="00075C0B"/>
    <w:rsid w:val="00077660"/>
    <w:rsid w:val="00080B41"/>
    <w:rsid w:val="00082205"/>
    <w:rsid w:val="0008436B"/>
    <w:rsid w:val="000853CD"/>
    <w:rsid w:val="00090B6D"/>
    <w:rsid w:val="00090C45"/>
    <w:rsid w:val="00091C13"/>
    <w:rsid w:val="000960E0"/>
    <w:rsid w:val="00096D49"/>
    <w:rsid w:val="000A0F78"/>
    <w:rsid w:val="000A478A"/>
    <w:rsid w:val="000A50F8"/>
    <w:rsid w:val="000A5557"/>
    <w:rsid w:val="000B2246"/>
    <w:rsid w:val="000C1C3E"/>
    <w:rsid w:val="000C1C67"/>
    <w:rsid w:val="000C2420"/>
    <w:rsid w:val="000C5561"/>
    <w:rsid w:val="000C6F13"/>
    <w:rsid w:val="000D04C1"/>
    <w:rsid w:val="000D2E78"/>
    <w:rsid w:val="000D4A83"/>
    <w:rsid w:val="000D4E6F"/>
    <w:rsid w:val="000E10C5"/>
    <w:rsid w:val="000E1290"/>
    <w:rsid w:val="000E1BC6"/>
    <w:rsid w:val="000E1D64"/>
    <w:rsid w:val="000E1E91"/>
    <w:rsid w:val="000E44E3"/>
    <w:rsid w:val="000E4F27"/>
    <w:rsid w:val="000E5FF7"/>
    <w:rsid w:val="000E6022"/>
    <w:rsid w:val="000F0FFF"/>
    <w:rsid w:val="000F32B0"/>
    <w:rsid w:val="000F3896"/>
    <w:rsid w:val="000F3DCF"/>
    <w:rsid w:val="001015E7"/>
    <w:rsid w:val="00102534"/>
    <w:rsid w:val="001071FD"/>
    <w:rsid w:val="001111D7"/>
    <w:rsid w:val="00111276"/>
    <w:rsid w:val="00111E3B"/>
    <w:rsid w:val="00114F13"/>
    <w:rsid w:val="001160F6"/>
    <w:rsid w:val="00117508"/>
    <w:rsid w:val="00123238"/>
    <w:rsid w:val="001239A5"/>
    <w:rsid w:val="0012622B"/>
    <w:rsid w:val="00126622"/>
    <w:rsid w:val="00126C8E"/>
    <w:rsid w:val="00126EDA"/>
    <w:rsid w:val="00127731"/>
    <w:rsid w:val="0013718D"/>
    <w:rsid w:val="001408F8"/>
    <w:rsid w:val="001421A8"/>
    <w:rsid w:val="001423B6"/>
    <w:rsid w:val="001439FB"/>
    <w:rsid w:val="001447E7"/>
    <w:rsid w:val="00145529"/>
    <w:rsid w:val="00145995"/>
    <w:rsid w:val="00147147"/>
    <w:rsid w:val="00150A84"/>
    <w:rsid w:val="0015164A"/>
    <w:rsid w:val="00152848"/>
    <w:rsid w:val="001554AF"/>
    <w:rsid w:val="00155895"/>
    <w:rsid w:val="00155FAF"/>
    <w:rsid w:val="001627D9"/>
    <w:rsid w:val="00163024"/>
    <w:rsid w:val="0016567A"/>
    <w:rsid w:val="0016731C"/>
    <w:rsid w:val="0016735A"/>
    <w:rsid w:val="00171A2D"/>
    <w:rsid w:val="001731DC"/>
    <w:rsid w:val="00175146"/>
    <w:rsid w:val="00177367"/>
    <w:rsid w:val="001801F8"/>
    <w:rsid w:val="00182CB5"/>
    <w:rsid w:val="001837BD"/>
    <w:rsid w:val="00185228"/>
    <w:rsid w:val="00185B27"/>
    <w:rsid w:val="00192627"/>
    <w:rsid w:val="00194DE2"/>
    <w:rsid w:val="0019751E"/>
    <w:rsid w:val="001A243C"/>
    <w:rsid w:val="001A2EAA"/>
    <w:rsid w:val="001A4243"/>
    <w:rsid w:val="001A4D21"/>
    <w:rsid w:val="001B361B"/>
    <w:rsid w:val="001B36DA"/>
    <w:rsid w:val="001B6BA4"/>
    <w:rsid w:val="001B77AD"/>
    <w:rsid w:val="001B7B9A"/>
    <w:rsid w:val="001C1951"/>
    <w:rsid w:val="001C5733"/>
    <w:rsid w:val="001D0046"/>
    <w:rsid w:val="001D395D"/>
    <w:rsid w:val="001D3A1E"/>
    <w:rsid w:val="001D3B4D"/>
    <w:rsid w:val="001D5435"/>
    <w:rsid w:val="001E0A9C"/>
    <w:rsid w:val="001E0C2E"/>
    <w:rsid w:val="001E1AC1"/>
    <w:rsid w:val="001E6D0A"/>
    <w:rsid w:val="001E786B"/>
    <w:rsid w:val="001E787E"/>
    <w:rsid w:val="001E7F13"/>
    <w:rsid w:val="001F25CC"/>
    <w:rsid w:val="001F6282"/>
    <w:rsid w:val="001F6FE0"/>
    <w:rsid w:val="001F7BFE"/>
    <w:rsid w:val="00201B45"/>
    <w:rsid w:val="00201E31"/>
    <w:rsid w:val="00203375"/>
    <w:rsid w:val="0020547D"/>
    <w:rsid w:val="0021739D"/>
    <w:rsid w:val="0021754F"/>
    <w:rsid w:val="00217D55"/>
    <w:rsid w:val="00220D6A"/>
    <w:rsid w:val="00223405"/>
    <w:rsid w:val="002235E5"/>
    <w:rsid w:val="00226910"/>
    <w:rsid w:val="002276FD"/>
    <w:rsid w:val="00230201"/>
    <w:rsid w:val="00231C81"/>
    <w:rsid w:val="002330F2"/>
    <w:rsid w:val="00235871"/>
    <w:rsid w:val="002362A7"/>
    <w:rsid w:val="002379C2"/>
    <w:rsid w:val="0024058A"/>
    <w:rsid w:val="002413ED"/>
    <w:rsid w:val="002433B7"/>
    <w:rsid w:val="0024615D"/>
    <w:rsid w:val="00252604"/>
    <w:rsid w:val="00252E35"/>
    <w:rsid w:val="0025352B"/>
    <w:rsid w:val="002556A5"/>
    <w:rsid w:val="00255A10"/>
    <w:rsid w:val="00256DEA"/>
    <w:rsid w:val="00257380"/>
    <w:rsid w:val="00266015"/>
    <w:rsid w:val="00267551"/>
    <w:rsid w:val="00267CFE"/>
    <w:rsid w:val="00270CF7"/>
    <w:rsid w:val="0027590E"/>
    <w:rsid w:val="002767E7"/>
    <w:rsid w:val="00277B5B"/>
    <w:rsid w:val="002803CA"/>
    <w:rsid w:val="00280D1E"/>
    <w:rsid w:val="00281650"/>
    <w:rsid w:val="00286B9C"/>
    <w:rsid w:val="0029264B"/>
    <w:rsid w:val="002933BC"/>
    <w:rsid w:val="00295FF4"/>
    <w:rsid w:val="00297DAE"/>
    <w:rsid w:val="002A2C0C"/>
    <w:rsid w:val="002A30CE"/>
    <w:rsid w:val="002B027E"/>
    <w:rsid w:val="002B0E7B"/>
    <w:rsid w:val="002B2F9A"/>
    <w:rsid w:val="002B3C08"/>
    <w:rsid w:val="002B4DA4"/>
    <w:rsid w:val="002B721F"/>
    <w:rsid w:val="002B758E"/>
    <w:rsid w:val="002B7953"/>
    <w:rsid w:val="002C35E0"/>
    <w:rsid w:val="002C3FFB"/>
    <w:rsid w:val="002C4E66"/>
    <w:rsid w:val="002C4FCC"/>
    <w:rsid w:val="002C5357"/>
    <w:rsid w:val="002C7ABE"/>
    <w:rsid w:val="002C7D89"/>
    <w:rsid w:val="002C7E56"/>
    <w:rsid w:val="002D04D3"/>
    <w:rsid w:val="002D0B6F"/>
    <w:rsid w:val="002D1FE4"/>
    <w:rsid w:val="002D54C0"/>
    <w:rsid w:val="002D7544"/>
    <w:rsid w:val="002D763B"/>
    <w:rsid w:val="002E04B7"/>
    <w:rsid w:val="002E1CD4"/>
    <w:rsid w:val="002E486B"/>
    <w:rsid w:val="002E5336"/>
    <w:rsid w:val="002E5C88"/>
    <w:rsid w:val="002F082A"/>
    <w:rsid w:val="002F10C7"/>
    <w:rsid w:val="002F2240"/>
    <w:rsid w:val="002F43F4"/>
    <w:rsid w:val="002F5AF4"/>
    <w:rsid w:val="002F5AF8"/>
    <w:rsid w:val="00300BD0"/>
    <w:rsid w:val="0030337F"/>
    <w:rsid w:val="00305136"/>
    <w:rsid w:val="00306192"/>
    <w:rsid w:val="003062A3"/>
    <w:rsid w:val="00306736"/>
    <w:rsid w:val="00307C74"/>
    <w:rsid w:val="00310FB9"/>
    <w:rsid w:val="003121FD"/>
    <w:rsid w:val="0031253E"/>
    <w:rsid w:val="00312AB3"/>
    <w:rsid w:val="0031462C"/>
    <w:rsid w:val="00317AE4"/>
    <w:rsid w:val="00322769"/>
    <w:rsid w:val="00324E02"/>
    <w:rsid w:val="00324F3B"/>
    <w:rsid w:val="00331F9D"/>
    <w:rsid w:val="0033331F"/>
    <w:rsid w:val="003406A6"/>
    <w:rsid w:val="00340A99"/>
    <w:rsid w:val="003438DA"/>
    <w:rsid w:val="003446B0"/>
    <w:rsid w:val="003447E7"/>
    <w:rsid w:val="003466B4"/>
    <w:rsid w:val="0034789F"/>
    <w:rsid w:val="00347F51"/>
    <w:rsid w:val="00350274"/>
    <w:rsid w:val="003506E9"/>
    <w:rsid w:val="0035529C"/>
    <w:rsid w:val="00355FB3"/>
    <w:rsid w:val="00357EB6"/>
    <w:rsid w:val="003600A1"/>
    <w:rsid w:val="00361F25"/>
    <w:rsid w:val="0036211A"/>
    <w:rsid w:val="003645CD"/>
    <w:rsid w:val="00364EBD"/>
    <w:rsid w:val="00366954"/>
    <w:rsid w:val="00366CCF"/>
    <w:rsid w:val="00374842"/>
    <w:rsid w:val="00375235"/>
    <w:rsid w:val="00377FF1"/>
    <w:rsid w:val="00381026"/>
    <w:rsid w:val="003847CC"/>
    <w:rsid w:val="00385737"/>
    <w:rsid w:val="00386593"/>
    <w:rsid w:val="003902EE"/>
    <w:rsid w:val="00391EE6"/>
    <w:rsid w:val="0039208E"/>
    <w:rsid w:val="0039371F"/>
    <w:rsid w:val="0039388B"/>
    <w:rsid w:val="003939C8"/>
    <w:rsid w:val="00393B23"/>
    <w:rsid w:val="00395A1C"/>
    <w:rsid w:val="00396BCB"/>
    <w:rsid w:val="003A0437"/>
    <w:rsid w:val="003A11B9"/>
    <w:rsid w:val="003A23ED"/>
    <w:rsid w:val="003A2504"/>
    <w:rsid w:val="003A3192"/>
    <w:rsid w:val="003A56D4"/>
    <w:rsid w:val="003A7237"/>
    <w:rsid w:val="003B135C"/>
    <w:rsid w:val="003B23CE"/>
    <w:rsid w:val="003B45BD"/>
    <w:rsid w:val="003B4828"/>
    <w:rsid w:val="003B4CD8"/>
    <w:rsid w:val="003B6BBC"/>
    <w:rsid w:val="003B6C59"/>
    <w:rsid w:val="003C291D"/>
    <w:rsid w:val="003C2DE7"/>
    <w:rsid w:val="003C7AFC"/>
    <w:rsid w:val="003D26D4"/>
    <w:rsid w:val="003D3FD4"/>
    <w:rsid w:val="003D5E75"/>
    <w:rsid w:val="003D7786"/>
    <w:rsid w:val="003E1622"/>
    <w:rsid w:val="003E163D"/>
    <w:rsid w:val="003E23E7"/>
    <w:rsid w:val="003E2493"/>
    <w:rsid w:val="003E3FA6"/>
    <w:rsid w:val="003E5166"/>
    <w:rsid w:val="003E6AF5"/>
    <w:rsid w:val="003F1AE0"/>
    <w:rsid w:val="003F1FB5"/>
    <w:rsid w:val="003F34DB"/>
    <w:rsid w:val="003F491B"/>
    <w:rsid w:val="003F53B1"/>
    <w:rsid w:val="003F64D4"/>
    <w:rsid w:val="003F68FD"/>
    <w:rsid w:val="00402FA5"/>
    <w:rsid w:val="0040583E"/>
    <w:rsid w:val="0040768D"/>
    <w:rsid w:val="00412082"/>
    <w:rsid w:val="0041682E"/>
    <w:rsid w:val="00416B94"/>
    <w:rsid w:val="00423C4A"/>
    <w:rsid w:val="00423F15"/>
    <w:rsid w:val="00432324"/>
    <w:rsid w:val="004341CC"/>
    <w:rsid w:val="00435DD1"/>
    <w:rsid w:val="00435E16"/>
    <w:rsid w:val="00436163"/>
    <w:rsid w:val="004366B4"/>
    <w:rsid w:val="0043729B"/>
    <w:rsid w:val="004451C9"/>
    <w:rsid w:val="00445F3C"/>
    <w:rsid w:val="0044660F"/>
    <w:rsid w:val="00446D24"/>
    <w:rsid w:val="00450947"/>
    <w:rsid w:val="00451C8B"/>
    <w:rsid w:val="00453D01"/>
    <w:rsid w:val="004545BD"/>
    <w:rsid w:val="00454991"/>
    <w:rsid w:val="004621FF"/>
    <w:rsid w:val="00462299"/>
    <w:rsid w:val="00462AD6"/>
    <w:rsid w:val="00464B79"/>
    <w:rsid w:val="004659E2"/>
    <w:rsid w:val="00471CF5"/>
    <w:rsid w:val="00473425"/>
    <w:rsid w:val="00475698"/>
    <w:rsid w:val="0048092D"/>
    <w:rsid w:val="00481B26"/>
    <w:rsid w:val="00482487"/>
    <w:rsid w:val="00482C9A"/>
    <w:rsid w:val="00485178"/>
    <w:rsid w:val="00485B0D"/>
    <w:rsid w:val="00486CB6"/>
    <w:rsid w:val="00490247"/>
    <w:rsid w:val="00492C54"/>
    <w:rsid w:val="00493076"/>
    <w:rsid w:val="004935CB"/>
    <w:rsid w:val="00495EAE"/>
    <w:rsid w:val="00496DD2"/>
    <w:rsid w:val="004A0CF4"/>
    <w:rsid w:val="004A17DA"/>
    <w:rsid w:val="004A185F"/>
    <w:rsid w:val="004B05A7"/>
    <w:rsid w:val="004B172C"/>
    <w:rsid w:val="004B6FBC"/>
    <w:rsid w:val="004C30F7"/>
    <w:rsid w:val="004C37F0"/>
    <w:rsid w:val="004C4F7A"/>
    <w:rsid w:val="004C5E25"/>
    <w:rsid w:val="004D1375"/>
    <w:rsid w:val="004D38E8"/>
    <w:rsid w:val="004D67B4"/>
    <w:rsid w:val="004D7FD6"/>
    <w:rsid w:val="004E5795"/>
    <w:rsid w:val="004E6704"/>
    <w:rsid w:val="004E680E"/>
    <w:rsid w:val="004E78E8"/>
    <w:rsid w:val="004F32C1"/>
    <w:rsid w:val="004F3BE5"/>
    <w:rsid w:val="004F4249"/>
    <w:rsid w:val="004F5024"/>
    <w:rsid w:val="004F5EA5"/>
    <w:rsid w:val="004F5F83"/>
    <w:rsid w:val="00501481"/>
    <w:rsid w:val="0050335A"/>
    <w:rsid w:val="005047C3"/>
    <w:rsid w:val="00504A3A"/>
    <w:rsid w:val="0050715F"/>
    <w:rsid w:val="00511851"/>
    <w:rsid w:val="005126E1"/>
    <w:rsid w:val="00512E1F"/>
    <w:rsid w:val="00513355"/>
    <w:rsid w:val="0051729E"/>
    <w:rsid w:val="00520EC5"/>
    <w:rsid w:val="00521977"/>
    <w:rsid w:val="00524EB5"/>
    <w:rsid w:val="00526E82"/>
    <w:rsid w:val="00527100"/>
    <w:rsid w:val="005319CD"/>
    <w:rsid w:val="00532198"/>
    <w:rsid w:val="00533CAA"/>
    <w:rsid w:val="0053483E"/>
    <w:rsid w:val="00536B41"/>
    <w:rsid w:val="00540B45"/>
    <w:rsid w:val="00543468"/>
    <w:rsid w:val="005466BF"/>
    <w:rsid w:val="005504C3"/>
    <w:rsid w:val="0055334C"/>
    <w:rsid w:val="00556F45"/>
    <w:rsid w:val="00563A53"/>
    <w:rsid w:val="00563F93"/>
    <w:rsid w:val="00565D46"/>
    <w:rsid w:val="005670BF"/>
    <w:rsid w:val="00570136"/>
    <w:rsid w:val="005735C7"/>
    <w:rsid w:val="00576FA8"/>
    <w:rsid w:val="00577142"/>
    <w:rsid w:val="005778A1"/>
    <w:rsid w:val="00577EF6"/>
    <w:rsid w:val="00581F34"/>
    <w:rsid w:val="00581FC8"/>
    <w:rsid w:val="00582255"/>
    <w:rsid w:val="0058525A"/>
    <w:rsid w:val="00585B5A"/>
    <w:rsid w:val="00586FCD"/>
    <w:rsid w:val="0058765A"/>
    <w:rsid w:val="00592A52"/>
    <w:rsid w:val="00592E6B"/>
    <w:rsid w:val="00593789"/>
    <w:rsid w:val="00593D48"/>
    <w:rsid w:val="005944D9"/>
    <w:rsid w:val="00595E0E"/>
    <w:rsid w:val="00596D7F"/>
    <w:rsid w:val="005A07AA"/>
    <w:rsid w:val="005A17A5"/>
    <w:rsid w:val="005A38F4"/>
    <w:rsid w:val="005A60E9"/>
    <w:rsid w:val="005A653D"/>
    <w:rsid w:val="005B0538"/>
    <w:rsid w:val="005B1999"/>
    <w:rsid w:val="005B1A6D"/>
    <w:rsid w:val="005B233F"/>
    <w:rsid w:val="005B2EF4"/>
    <w:rsid w:val="005B3786"/>
    <w:rsid w:val="005B3C0A"/>
    <w:rsid w:val="005B429D"/>
    <w:rsid w:val="005B42B9"/>
    <w:rsid w:val="005B563A"/>
    <w:rsid w:val="005B6BA6"/>
    <w:rsid w:val="005C0101"/>
    <w:rsid w:val="005C2264"/>
    <w:rsid w:val="005C3171"/>
    <w:rsid w:val="005C4296"/>
    <w:rsid w:val="005C6004"/>
    <w:rsid w:val="005C6425"/>
    <w:rsid w:val="005C7770"/>
    <w:rsid w:val="005D0EB2"/>
    <w:rsid w:val="005D1E5B"/>
    <w:rsid w:val="005D26C5"/>
    <w:rsid w:val="005D29DB"/>
    <w:rsid w:val="005D2BB8"/>
    <w:rsid w:val="005D2EA4"/>
    <w:rsid w:val="005D3D28"/>
    <w:rsid w:val="005D4E7F"/>
    <w:rsid w:val="005D5B1E"/>
    <w:rsid w:val="005D5E8E"/>
    <w:rsid w:val="005D5F98"/>
    <w:rsid w:val="005D7AFF"/>
    <w:rsid w:val="005D7B53"/>
    <w:rsid w:val="005E3758"/>
    <w:rsid w:val="005E577C"/>
    <w:rsid w:val="005E57B8"/>
    <w:rsid w:val="005E76C1"/>
    <w:rsid w:val="005F2112"/>
    <w:rsid w:val="005F39F2"/>
    <w:rsid w:val="005F4234"/>
    <w:rsid w:val="005F5B2C"/>
    <w:rsid w:val="005F5DBD"/>
    <w:rsid w:val="005F6567"/>
    <w:rsid w:val="006009D3"/>
    <w:rsid w:val="00603A87"/>
    <w:rsid w:val="0060475D"/>
    <w:rsid w:val="0060604F"/>
    <w:rsid w:val="006065FB"/>
    <w:rsid w:val="0060770E"/>
    <w:rsid w:val="006079A7"/>
    <w:rsid w:val="00610719"/>
    <w:rsid w:val="0061353C"/>
    <w:rsid w:val="0061599E"/>
    <w:rsid w:val="006163B0"/>
    <w:rsid w:val="006218A0"/>
    <w:rsid w:val="0062250E"/>
    <w:rsid w:val="00625C74"/>
    <w:rsid w:val="00631AE2"/>
    <w:rsid w:val="006328A1"/>
    <w:rsid w:val="00635610"/>
    <w:rsid w:val="006367D5"/>
    <w:rsid w:val="00636DAD"/>
    <w:rsid w:val="00640365"/>
    <w:rsid w:val="006418C8"/>
    <w:rsid w:val="00644F7A"/>
    <w:rsid w:val="00646B69"/>
    <w:rsid w:val="00647277"/>
    <w:rsid w:val="00652931"/>
    <w:rsid w:val="006539A1"/>
    <w:rsid w:val="00653D17"/>
    <w:rsid w:val="0065404A"/>
    <w:rsid w:val="00656D24"/>
    <w:rsid w:val="0065744D"/>
    <w:rsid w:val="00665502"/>
    <w:rsid w:val="00671011"/>
    <w:rsid w:val="006727F0"/>
    <w:rsid w:val="00673B06"/>
    <w:rsid w:val="006757A1"/>
    <w:rsid w:val="00675DA1"/>
    <w:rsid w:val="0068028F"/>
    <w:rsid w:val="006828B6"/>
    <w:rsid w:val="0068430E"/>
    <w:rsid w:val="00686DB4"/>
    <w:rsid w:val="00687BF4"/>
    <w:rsid w:val="0069017D"/>
    <w:rsid w:val="00690DFD"/>
    <w:rsid w:val="00691F8E"/>
    <w:rsid w:val="006924DB"/>
    <w:rsid w:val="00694CB2"/>
    <w:rsid w:val="00696411"/>
    <w:rsid w:val="006A03FB"/>
    <w:rsid w:val="006A1AA0"/>
    <w:rsid w:val="006A4AFE"/>
    <w:rsid w:val="006B00C1"/>
    <w:rsid w:val="006B5147"/>
    <w:rsid w:val="006B6529"/>
    <w:rsid w:val="006B771C"/>
    <w:rsid w:val="006C2331"/>
    <w:rsid w:val="006C64AE"/>
    <w:rsid w:val="006C7351"/>
    <w:rsid w:val="006D0555"/>
    <w:rsid w:val="006D0B5A"/>
    <w:rsid w:val="006E0876"/>
    <w:rsid w:val="006E08CF"/>
    <w:rsid w:val="006E21AE"/>
    <w:rsid w:val="006E70AD"/>
    <w:rsid w:val="006F032C"/>
    <w:rsid w:val="006F132E"/>
    <w:rsid w:val="006F2F86"/>
    <w:rsid w:val="006F4328"/>
    <w:rsid w:val="006F54B8"/>
    <w:rsid w:val="006F5E67"/>
    <w:rsid w:val="006F665E"/>
    <w:rsid w:val="007007D7"/>
    <w:rsid w:val="007014CE"/>
    <w:rsid w:val="00701A89"/>
    <w:rsid w:val="00702B5E"/>
    <w:rsid w:val="00704822"/>
    <w:rsid w:val="0070727E"/>
    <w:rsid w:val="0071045F"/>
    <w:rsid w:val="00710564"/>
    <w:rsid w:val="00710B2B"/>
    <w:rsid w:val="00711458"/>
    <w:rsid w:val="007121F6"/>
    <w:rsid w:val="00712AEE"/>
    <w:rsid w:val="00713908"/>
    <w:rsid w:val="007200DE"/>
    <w:rsid w:val="007202D3"/>
    <w:rsid w:val="00720B0F"/>
    <w:rsid w:val="00722252"/>
    <w:rsid w:val="007233CB"/>
    <w:rsid w:val="007237DF"/>
    <w:rsid w:val="00723CB8"/>
    <w:rsid w:val="00723D99"/>
    <w:rsid w:val="00725BFE"/>
    <w:rsid w:val="00726073"/>
    <w:rsid w:val="007312BE"/>
    <w:rsid w:val="00731ED3"/>
    <w:rsid w:val="00731F2B"/>
    <w:rsid w:val="00736B79"/>
    <w:rsid w:val="007371D8"/>
    <w:rsid w:val="00741520"/>
    <w:rsid w:val="00743AEA"/>
    <w:rsid w:val="00751C3B"/>
    <w:rsid w:val="00753FBC"/>
    <w:rsid w:val="007576D7"/>
    <w:rsid w:val="00760412"/>
    <w:rsid w:val="00760C73"/>
    <w:rsid w:val="007628C5"/>
    <w:rsid w:val="007630C7"/>
    <w:rsid w:val="00763667"/>
    <w:rsid w:val="00764D07"/>
    <w:rsid w:val="00766279"/>
    <w:rsid w:val="007725C0"/>
    <w:rsid w:val="0077302D"/>
    <w:rsid w:val="0077486F"/>
    <w:rsid w:val="007753D6"/>
    <w:rsid w:val="0077707A"/>
    <w:rsid w:val="0077768A"/>
    <w:rsid w:val="0078518C"/>
    <w:rsid w:val="007864A8"/>
    <w:rsid w:val="007870E7"/>
    <w:rsid w:val="0078726D"/>
    <w:rsid w:val="00797BA1"/>
    <w:rsid w:val="007B0B3A"/>
    <w:rsid w:val="007B1EDF"/>
    <w:rsid w:val="007B3164"/>
    <w:rsid w:val="007B32CF"/>
    <w:rsid w:val="007B4A06"/>
    <w:rsid w:val="007B52E8"/>
    <w:rsid w:val="007B535D"/>
    <w:rsid w:val="007B5A3D"/>
    <w:rsid w:val="007C0C98"/>
    <w:rsid w:val="007C4753"/>
    <w:rsid w:val="007C4C1C"/>
    <w:rsid w:val="007D07D6"/>
    <w:rsid w:val="007D0E76"/>
    <w:rsid w:val="007D1B8A"/>
    <w:rsid w:val="007D23D5"/>
    <w:rsid w:val="007D2409"/>
    <w:rsid w:val="007D3040"/>
    <w:rsid w:val="007D32FF"/>
    <w:rsid w:val="007D337D"/>
    <w:rsid w:val="007D3D52"/>
    <w:rsid w:val="007D62D5"/>
    <w:rsid w:val="007E3542"/>
    <w:rsid w:val="007F34A2"/>
    <w:rsid w:val="007F67C8"/>
    <w:rsid w:val="007F7375"/>
    <w:rsid w:val="007F7712"/>
    <w:rsid w:val="007F7D71"/>
    <w:rsid w:val="00801141"/>
    <w:rsid w:val="00802D1F"/>
    <w:rsid w:val="00804E79"/>
    <w:rsid w:val="00806E9E"/>
    <w:rsid w:val="008118C2"/>
    <w:rsid w:val="008141B8"/>
    <w:rsid w:val="008157C0"/>
    <w:rsid w:val="00822E8F"/>
    <w:rsid w:val="00823BCA"/>
    <w:rsid w:val="00825C76"/>
    <w:rsid w:val="00827986"/>
    <w:rsid w:val="008308A8"/>
    <w:rsid w:val="008320A0"/>
    <w:rsid w:val="00833671"/>
    <w:rsid w:val="0083382F"/>
    <w:rsid w:val="00834B7C"/>
    <w:rsid w:val="008355B1"/>
    <w:rsid w:val="008378FE"/>
    <w:rsid w:val="00837A0D"/>
    <w:rsid w:val="00842D61"/>
    <w:rsid w:val="0084402D"/>
    <w:rsid w:val="0084477E"/>
    <w:rsid w:val="00846130"/>
    <w:rsid w:val="008532AB"/>
    <w:rsid w:val="0085354F"/>
    <w:rsid w:val="008600A4"/>
    <w:rsid w:val="00861EE9"/>
    <w:rsid w:val="008631AF"/>
    <w:rsid w:val="008632E3"/>
    <w:rsid w:val="00863BF0"/>
    <w:rsid w:val="00864427"/>
    <w:rsid w:val="00864555"/>
    <w:rsid w:val="00865C67"/>
    <w:rsid w:val="00866A62"/>
    <w:rsid w:val="008726EA"/>
    <w:rsid w:val="00874729"/>
    <w:rsid w:val="008813D3"/>
    <w:rsid w:val="008827C1"/>
    <w:rsid w:val="00883BDF"/>
    <w:rsid w:val="00883F2F"/>
    <w:rsid w:val="008862B0"/>
    <w:rsid w:val="00896E75"/>
    <w:rsid w:val="008A006C"/>
    <w:rsid w:val="008A0D22"/>
    <w:rsid w:val="008A0F7E"/>
    <w:rsid w:val="008A15A3"/>
    <w:rsid w:val="008A18B0"/>
    <w:rsid w:val="008A210C"/>
    <w:rsid w:val="008A295A"/>
    <w:rsid w:val="008A2B5D"/>
    <w:rsid w:val="008A3760"/>
    <w:rsid w:val="008A5444"/>
    <w:rsid w:val="008A5EF7"/>
    <w:rsid w:val="008A7850"/>
    <w:rsid w:val="008B152A"/>
    <w:rsid w:val="008B1DB8"/>
    <w:rsid w:val="008B334F"/>
    <w:rsid w:val="008B70AA"/>
    <w:rsid w:val="008C3220"/>
    <w:rsid w:val="008C366A"/>
    <w:rsid w:val="008C4C33"/>
    <w:rsid w:val="008C576E"/>
    <w:rsid w:val="008C5DFB"/>
    <w:rsid w:val="008D0523"/>
    <w:rsid w:val="008D2D5C"/>
    <w:rsid w:val="008D3EF8"/>
    <w:rsid w:val="008D4D7F"/>
    <w:rsid w:val="008D6B22"/>
    <w:rsid w:val="008E13F6"/>
    <w:rsid w:val="008E18F1"/>
    <w:rsid w:val="008E26AD"/>
    <w:rsid w:val="008E390C"/>
    <w:rsid w:val="008E5188"/>
    <w:rsid w:val="008E6B62"/>
    <w:rsid w:val="008E73D6"/>
    <w:rsid w:val="008E793C"/>
    <w:rsid w:val="008F0FBC"/>
    <w:rsid w:val="008F2667"/>
    <w:rsid w:val="008F2A39"/>
    <w:rsid w:val="008F5CD2"/>
    <w:rsid w:val="008F7288"/>
    <w:rsid w:val="009072BB"/>
    <w:rsid w:val="00911032"/>
    <w:rsid w:val="009115A6"/>
    <w:rsid w:val="00911961"/>
    <w:rsid w:val="009143F9"/>
    <w:rsid w:val="00914CF8"/>
    <w:rsid w:val="00915E68"/>
    <w:rsid w:val="009162FD"/>
    <w:rsid w:val="00920D40"/>
    <w:rsid w:val="009216E2"/>
    <w:rsid w:val="00921D99"/>
    <w:rsid w:val="00924630"/>
    <w:rsid w:val="009314C9"/>
    <w:rsid w:val="00931916"/>
    <w:rsid w:val="00932C28"/>
    <w:rsid w:val="00932D10"/>
    <w:rsid w:val="00933204"/>
    <w:rsid w:val="00933665"/>
    <w:rsid w:val="00933A58"/>
    <w:rsid w:val="00934E4D"/>
    <w:rsid w:val="00937995"/>
    <w:rsid w:val="00943012"/>
    <w:rsid w:val="00944158"/>
    <w:rsid w:val="00944DE5"/>
    <w:rsid w:val="0094501E"/>
    <w:rsid w:val="00945987"/>
    <w:rsid w:val="0094715A"/>
    <w:rsid w:val="00947DE6"/>
    <w:rsid w:val="009504AF"/>
    <w:rsid w:val="00950586"/>
    <w:rsid w:val="00953AA3"/>
    <w:rsid w:val="009564A0"/>
    <w:rsid w:val="00956885"/>
    <w:rsid w:val="00957901"/>
    <w:rsid w:val="00960C7E"/>
    <w:rsid w:val="00960D1F"/>
    <w:rsid w:val="0096241E"/>
    <w:rsid w:val="00963D02"/>
    <w:rsid w:val="00963FC5"/>
    <w:rsid w:val="00964005"/>
    <w:rsid w:val="00971307"/>
    <w:rsid w:val="00972685"/>
    <w:rsid w:val="00974252"/>
    <w:rsid w:val="0097504B"/>
    <w:rsid w:val="0097560A"/>
    <w:rsid w:val="00975D2D"/>
    <w:rsid w:val="009776B6"/>
    <w:rsid w:val="00982E18"/>
    <w:rsid w:val="00985FB6"/>
    <w:rsid w:val="00986769"/>
    <w:rsid w:val="00987ACA"/>
    <w:rsid w:val="00992E51"/>
    <w:rsid w:val="00993118"/>
    <w:rsid w:val="00993457"/>
    <w:rsid w:val="00994C5E"/>
    <w:rsid w:val="00994E85"/>
    <w:rsid w:val="009959A3"/>
    <w:rsid w:val="009971DA"/>
    <w:rsid w:val="009A02C3"/>
    <w:rsid w:val="009A053C"/>
    <w:rsid w:val="009A0FF9"/>
    <w:rsid w:val="009A1DD8"/>
    <w:rsid w:val="009A2322"/>
    <w:rsid w:val="009A38AB"/>
    <w:rsid w:val="009A3D2A"/>
    <w:rsid w:val="009A54FB"/>
    <w:rsid w:val="009A62C5"/>
    <w:rsid w:val="009A65C6"/>
    <w:rsid w:val="009A7EDB"/>
    <w:rsid w:val="009B1070"/>
    <w:rsid w:val="009B48AB"/>
    <w:rsid w:val="009B4F6B"/>
    <w:rsid w:val="009B63B7"/>
    <w:rsid w:val="009B67D2"/>
    <w:rsid w:val="009B6A09"/>
    <w:rsid w:val="009B6DA9"/>
    <w:rsid w:val="009C0C20"/>
    <w:rsid w:val="009C17F0"/>
    <w:rsid w:val="009C1A12"/>
    <w:rsid w:val="009C59BF"/>
    <w:rsid w:val="009C5C4F"/>
    <w:rsid w:val="009C76F8"/>
    <w:rsid w:val="009C7AA7"/>
    <w:rsid w:val="009D17AC"/>
    <w:rsid w:val="009D579C"/>
    <w:rsid w:val="009D5A39"/>
    <w:rsid w:val="009D6F02"/>
    <w:rsid w:val="009D742E"/>
    <w:rsid w:val="009D7E80"/>
    <w:rsid w:val="009E03CC"/>
    <w:rsid w:val="009E1EAF"/>
    <w:rsid w:val="009E3C91"/>
    <w:rsid w:val="009E4E75"/>
    <w:rsid w:val="009E5800"/>
    <w:rsid w:val="009E7E15"/>
    <w:rsid w:val="009F1CE2"/>
    <w:rsid w:val="009F2598"/>
    <w:rsid w:val="009F29A0"/>
    <w:rsid w:val="009F4E0E"/>
    <w:rsid w:val="009F5B0E"/>
    <w:rsid w:val="009F6049"/>
    <w:rsid w:val="00A00933"/>
    <w:rsid w:val="00A018C9"/>
    <w:rsid w:val="00A0194A"/>
    <w:rsid w:val="00A01DC2"/>
    <w:rsid w:val="00A020B2"/>
    <w:rsid w:val="00A045A5"/>
    <w:rsid w:val="00A050F2"/>
    <w:rsid w:val="00A061D4"/>
    <w:rsid w:val="00A10220"/>
    <w:rsid w:val="00A147A2"/>
    <w:rsid w:val="00A167C2"/>
    <w:rsid w:val="00A16D0B"/>
    <w:rsid w:val="00A208B3"/>
    <w:rsid w:val="00A20A7D"/>
    <w:rsid w:val="00A20ED7"/>
    <w:rsid w:val="00A21706"/>
    <w:rsid w:val="00A22C4D"/>
    <w:rsid w:val="00A240E5"/>
    <w:rsid w:val="00A34B63"/>
    <w:rsid w:val="00A34D49"/>
    <w:rsid w:val="00A40918"/>
    <w:rsid w:val="00A41E8A"/>
    <w:rsid w:val="00A42B79"/>
    <w:rsid w:val="00A43EA8"/>
    <w:rsid w:val="00A45105"/>
    <w:rsid w:val="00A458A3"/>
    <w:rsid w:val="00A5060D"/>
    <w:rsid w:val="00A50705"/>
    <w:rsid w:val="00A522E2"/>
    <w:rsid w:val="00A53ED5"/>
    <w:rsid w:val="00A544A4"/>
    <w:rsid w:val="00A55F70"/>
    <w:rsid w:val="00A56714"/>
    <w:rsid w:val="00A615EE"/>
    <w:rsid w:val="00A61BED"/>
    <w:rsid w:val="00A62B4C"/>
    <w:rsid w:val="00A64433"/>
    <w:rsid w:val="00A650A0"/>
    <w:rsid w:val="00A66262"/>
    <w:rsid w:val="00A66C75"/>
    <w:rsid w:val="00A70737"/>
    <w:rsid w:val="00A71263"/>
    <w:rsid w:val="00A719A4"/>
    <w:rsid w:val="00A72596"/>
    <w:rsid w:val="00A729EB"/>
    <w:rsid w:val="00A7695A"/>
    <w:rsid w:val="00A81121"/>
    <w:rsid w:val="00A82C5C"/>
    <w:rsid w:val="00A82F9C"/>
    <w:rsid w:val="00A85ADC"/>
    <w:rsid w:val="00A861B0"/>
    <w:rsid w:val="00A91050"/>
    <w:rsid w:val="00A91621"/>
    <w:rsid w:val="00A9426D"/>
    <w:rsid w:val="00A97BE6"/>
    <w:rsid w:val="00AA0854"/>
    <w:rsid w:val="00AA0B5D"/>
    <w:rsid w:val="00AA29FF"/>
    <w:rsid w:val="00AA30B0"/>
    <w:rsid w:val="00AA3622"/>
    <w:rsid w:val="00AA63D1"/>
    <w:rsid w:val="00AB13FF"/>
    <w:rsid w:val="00AB3B96"/>
    <w:rsid w:val="00AB54EC"/>
    <w:rsid w:val="00AB6092"/>
    <w:rsid w:val="00AC1D02"/>
    <w:rsid w:val="00AC42EC"/>
    <w:rsid w:val="00AC682D"/>
    <w:rsid w:val="00AC6BE9"/>
    <w:rsid w:val="00AC6D64"/>
    <w:rsid w:val="00AC70CB"/>
    <w:rsid w:val="00AE0423"/>
    <w:rsid w:val="00AE5C78"/>
    <w:rsid w:val="00AE7B48"/>
    <w:rsid w:val="00AF2B30"/>
    <w:rsid w:val="00AF3335"/>
    <w:rsid w:val="00AF4697"/>
    <w:rsid w:val="00AF5820"/>
    <w:rsid w:val="00AF6E7B"/>
    <w:rsid w:val="00AF7003"/>
    <w:rsid w:val="00AF7205"/>
    <w:rsid w:val="00B0074E"/>
    <w:rsid w:val="00B05273"/>
    <w:rsid w:val="00B055FE"/>
    <w:rsid w:val="00B07B9F"/>
    <w:rsid w:val="00B1002B"/>
    <w:rsid w:val="00B101E6"/>
    <w:rsid w:val="00B11CE3"/>
    <w:rsid w:val="00B13ACE"/>
    <w:rsid w:val="00B1423B"/>
    <w:rsid w:val="00B147B6"/>
    <w:rsid w:val="00B15A80"/>
    <w:rsid w:val="00B16198"/>
    <w:rsid w:val="00B179B4"/>
    <w:rsid w:val="00B20185"/>
    <w:rsid w:val="00B222D2"/>
    <w:rsid w:val="00B23333"/>
    <w:rsid w:val="00B25618"/>
    <w:rsid w:val="00B30369"/>
    <w:rsid w:val="00B304A7"/>
    <w:rsid w:val="00B31E6C"/>
    <w:rsid w:val="00B32DE9"/>
    <w:rsid w:val="00B3331E"/>
    <w:rsid w:val="00B33C18"/>
    <w:rsid w:val="00B34D26"/>
    <w:rsid w:val="00B35325"/>
    <w:rsid w:val="00B35B3E"/>
    <w:rsid w:val="00B371E2"/>
    <w:rsid w:val="00B37A1D"/>
    <w:rsid w:val="00B42422"/>
    <w:rsid w:val="00B45545"/>
    <w:rsid w:val="00B46EAC"/>
    <w:rsid w:val="00B538BF"/>
    <w:rsid w:val="00B55844"/>
    <w:rsid w:val="00B61F65"/>
    <w:rsid w:val="00B62C69"/>
    <w:rsid w:val="00B649B2"/>
    <w:rsid w:val="00B66939"/>
    <w:rsid w:val="00B70958"/>
    <w:rsid w:val="00B70A27"/>
    <w:rsid w:val="00B71D8C"/>
    <w:rsid w:val="00B733CF"/>
    <w:rsid w:val="00B73416"/>
    <w:rsid w:val="00B7744C"/>
    <w:rsid w:val="00B8079D"/>
    <w:rsid w:val="00B80D16"/>
    <w:rsid w:val="00B832AA"/>
    <w:rsid w:val="00B83E6C"/>
    <w:rsid w:val="00B845F7"/>
    <w:rsid w:val="00B867DC"/>
    <w:rsid w:val="00B86A3A"/>
    <w:rsid w:val="00B86A7F"/>
    <w:rsid w:val="00B86DB1"/>
    <w:rsid w:val="00B8795A"/>
    <w:rsid w:val="00B93DFE"/>
    <w:rsid w:val="00B93F3A"/>
    <w:rsid w:val="00B960A2"/>
    <w:rsid w:val="00B969FD"/>
    <w:rsid w:val="00BA46A3"/>
    <w:rsid w:val="00BA515F"/>
    <w:rsid w:val="00BA7CBD"/>
    <w:rsid w:val="00BB1B12"/>
    <w:rsid w:val="00BB4371"/>
    <w:rsid w:val="00BC0B44"/>
    <w:rsid w:val="00BC15BA"/>
    <w:rsid w:val="00BC4426"/>
    <w:rsid w:val="00BD1AFD"/>
    <w:rsid w:val="00BD2465"/>
    <w:rsid w:val="00BD2F0C"/>
    <w:rsid w:val="00BD367F"/>
    <w:rsid w:val="00BD5629"/>
    <w:rsid w:val="00BD6090"/>
    <w:rsid w:val="00BE0BE6"/>
    <w:rsid w:val="00BE1AAF"/>
    <w:rsid w:val="00BE2EDC"/>
    <w:rsid w:val="00BE3C0A"/>
    <w:rsid w:val="00BE4590"/>
    <w:rsid w:val="00BE6ACF"/>
    <w:rsid w:val="00BF0F7F"/>
    <w:rsid w:val="00BF1815"/>
    <w:rsid w:val="00BF5676"/>
    <w:rsid w:val="00BF5ECD"/>
    <w:rsid w:val="00C01E42"/>
    <w:rsid w:val="00C02430"/>
    <w:rsid w:val="00C05765"/>
    <w:rsid w:val="00C062B1"/>
    <w:rsid w:val="00C0716D"/>
    <w:rsid w:val="00C115EE"/>
    <w:rsid w:val="00C16CCC"/>
    <w:rsid w:val="00C17753"/>
    <w:rsid w:val="00C202C6"/>
    <w:rsid w:val="00C22A09"/>
    <w:rsid w:val="00C23DDF"/>
    <w:rsid w:val="00C24660"/>
    <w:rsid w:val="00C24DA6"/>
    <w:rsid w:val="00C24F2C"/>
    <w:rsid w:val="00C312D5"/>
    <w:rsid w:val="00C31414"/>
    <w:rsid w:val="00C3162E"/>
    <w:rsid w:val="00C34F50"/>
    <w:rsid w:val="00C35B92"/>
    <w:rsid w:val="00C37BED"/>
    <w:rsid w:val="00C407EB"/>
    <w:rsid w:val="00C43380"/>
    <w:rsid w:val="00C439D7"/>
    <w:rsid w:val="00C43DD1"/>
    <w:rsid w:val="00C44B96"/>
    <w:rsid w:val="00C46BD2"/>
    <w:rsid w:val="00C502A9"/>
    <w:rsid w:val="00C51E65"/>
    <w:rsid w:val="00C52005"/>
    <w:rsid w:val="00C54192"/>
    <w:rsid w:val="00C578C9"/>
    <w:rsid w:val="00C57A9F"/>
    <w:rsid w:val="00C62031"/>
    <w:rsid w:val="00C63F43"/>
    <w:rsid w:val="00C646BB"/>
    <w:rsid w:val="00C70184"/>
    <w:rsid w:val="00C70C68"/>
    <w:rsid w:val="00C70F3A"/>
    <w:rsid w:val="00C800F0"/>
    <w:rsid w:val="00C823A5"/>
    <w:rsid w:val="00C824EA"/>
    <w:rsid w:val="00C82D5E"/>
    <w:rsid w:val="00C85D6D"/>
    <w:rsid w:val="00C86CA4"/>
    <w:rsid w:val="00C875BA"/>
    <w:rsid w:val="00C92A54"/>
    <w:rsid w:val="00C93550"/>
    <w:rsid w:val="00CA0379"/>
    <w:rsid w:val="00CA2A38"/>
    <w:rsid w:val="00CA4963"/>
    <w:rsid w:val="00CA6D84"/>
    <w:rsid w:val="00CB12FF"/>
    <w:rsid w:val="00CB1FDD"/>
    <w:rsid w:val="00CB5E7D"/>
    <w:rsid w:val="00CC37EE"/>
    <w:rsid w:val="00CC40D9"/>
    <w:rsid w:val="00CD0572"/>
    <w:rsid w:val="00CD73FF"/>
    <w:rsid w:val="00CD7B92"/>
    <w:rsid w:val="00CE4183"/>
    <w:rsid w:val="00CE53C1"/>
    <w:rsid w:val="00CF25CB"/>
    <w:rsid w:val="00CF42E3"/>
    <w:rsid w:val="00CF4DD8"/>
    <w:rsid w:val="00CF5B26"/>
    <w:rsid w:val="00D00811"/>
    <w:rsid w:val="00D01D7A"/>
    <w:rsid w:val="00D07400"/>
    <w:rsid w:val="00D07822"/>
    <w:rsid w:val="00D10661"/>
    <w:rsid w:val="00D14331"/>
    <w:rsid w:val="00D16F99"/>
    <w:rsid w:val="00D255CE"/>
    <w:rsid w:val="00D2676C"/>
    <w:rsid w:val="00D26DC7"/>
    <w:rsid w:val="00D3743C"/>
    <w:rsid w:val="00D4016C"/>
    <w:rsid w:val="00D40AB4"/>
    <w:rsid w:val="00D40BDD"/>
    <w:rsid w:val="00D43810"/>
    <w:rsid w:val="00D455CE"/>
    <w:rsid w:val="00D460A2"/>
    <w:rsid w:val="00D541BE"/>
    <w:rsid w:val="00D55F91"/>
    <w:rsid w:val="00D56F9E"/>
    <w:rsid w:val="00D628E0"/>
    <w:rsid w:val="00D632DC"/>
    <w:rsid w:val="00D64C27"/>
    <w:rsid w:val="00D65A29"/>
    <w:rsid w:val="00D67744"/>
    <w:rsid w:val="00D67F5F"/>
    <w:rsid w:val="00D71E51"/>
    <w:rsid w:val="00D71E71"/>
    <w:rsid w:val="00D7207E"/>
    <w:rsid w:val="00D72EB1"/>
    <w:rsid w:val="00D74B04"/>
    <w:rsid w:val="00D778E3"/>
    <w:rsid w:val="00D80452"/>
    <w:rsid w:val="00D81C01"/>
    <w:rsid w:val="00D835EE"/>
    <w:rsid w:val="00D83F47"/>
    <w:rsid w:val="00D84876"/>
    <w:rsid w:val="00D8668C"/>
    <w:rsid w:val="00D94687"/>
    <w:rsid w:val="00D965FC"/>
    <w:rsid w:val="00D966A0"/>
    <w:rsid w:val="00D973BF"/>
    <w:rsid w:val="00DA114D"/>
    <w:rsid w:val="00DA1956"/>
    <w:rsid w:val="00DA1CCF"/>
    <w:rsid w:val="00DA4ABE"/>
    <w:rsid w:val="00DA67AA"/>
    <w:rsid w:val="00DA7D0F"/>
    <w:rsid w:val="00DB06C5"/>
    <w:rsid w:val="00DB1904"/>
    <w:rsid w:val="00DB1CAE"/>
    <w:rsid w:val="00DB33D1"/>
    <w:rsid w:val="00DB68C3"/>
    <w:rsid w:val="00DC2A31"/>
    <w:rsid w:val="00DC5C92"/>
    <w:rsid w:val="00DC746D"/>
    <w:rsid w:val="00DC75EC"/>
    <w:rsid w:val="00DC7A9D"/>
    <w:rsid w:val="00DD79CF"/>
    <w:rsid w:val="00DE07EB"/>
    <w:rsid w:val="00DE1710"/>
    <w:rsid w:val="00DE2597"/>
    <w:rsid w:val="00DE3509"/>
    <w:rsid w:val="00DF0FC9"/>
    <w:rsid w:val="00DF1849"/>
    <w:rsid w:val="00DF2D90"/>
    <w:rsid w:val="00DF453A"/>
    <w:rsid w:val="00DF5B16"/>
    <w:rsid w:val="00DF66C3"/>
    <w:rsid w:val="00DF7877"/>
    <w:rsid w:val="00E033E5"/>
    <w:rsid w:val="00E0694D"/>
    <w:rsid w:val="00E11A50"/>
    <w:rsid w:val="00E11BFF"/>
    <w:rsid w:val="00E13174"/>
    <w:rsid w:val="00E153EA"/>
    <w:rsid w:val="00E15575"/>
    <w:rsid w:val="00E1687D"/>
    <w:rsid w:val="00E17677"/>
    <w:rsid w:val="00E17725"/>
    <w:rsid w:val="00E2013A"/>
    <w:rsid w:val="00E203B5"/>
    <w:rsid w:val="00E20F44"/>
    <w:rsid w:val="00E21FB1"/>
    <w:rsid w:val="00E242B4"/>
    <w:rsid w:val="00E24BEB"/>
    <w:rsid w:val="00E24D61"/>
    <w:rsid w:val="00E26907"/>
    <w:rsid w:val="00E27842"/>
    <w:rsid w:val="00E3105E"/>
    <w:rsid w:val="00E33A0E"/>
    <w:rsid w:val="00E350F2"/>
    <w:rsid w:val="00E35F4C"/>
    <w:rsid w:val="00E422CB"/>
    <w:rsid w:val="00E4325B"/>
    <w:rsid w:val="00E439C5"/>
    <w:rsid w:val="00E44C2A"/>
    <w:rsid w:val="00E4608D"/>
    <w:rsid w:val="00E50D3B"/>
    <w:rsid w:val="00E5129A"/>
    <w:rsid w:val="00E51EA5"/>
    <w:rsid w:val="00E5707A"/>
    <w:rsid w:val="00E57228"/>
    <w:rsid w:val="00E61981"/>
    <w:rsid w:val="00E62358"/>
    <w:rsid w:val="00E6249F"/>
    <w:rsid w:val="00E63121"/>
    <w:rsid w:val="00E66FE5"/>
    <w:rsid w:val="00E670D4"/>
    <w:rsid w:val="00E71084"/>
    <w:rsid w:val="00E72A3D"/>
    <w:rsid w:val="00E7568D"/>
    <w:rsid w:val="00E75EB9"/>
    <w:rsid w:val="00E779C5"/>
    <w:rsid w:val="00E816ED"/>
    <w:rsid w:val="00E85D16"/>
    <w:rsid w:val="00E875E0"/>
    <w:rsid w:val="00E9034B"/>
    <w:rsid w:val="00E90E92"/>
    <w:rsid w:val="00E92ED9"/>
    <w:rsid w:val="00E956A1"/>
    <w:rsid w:val="00E96FEC"/>
    <w:rsid w:val="00EA00E7"/>
    <w:rsid w:val="00EA0D5A"/>
    <w:rsid w:val="00EA40D4"/>
    <w:rsid w:val="00EA59F7"/>
    <w:rsid w:val="00EA7968"/>
    <w:rsid w:val="00EA7EDD"/>
    <w:rsid w:val="00EB1DCC"/>
    <w:rsid w:val="00EB3A8E"/>
    <w:rsid w:val="00EB45C5"/>
    <w:rsid w:val="00EB54C7"/>
    <w:rsid w:val="00EB5CC0"/>
    <w:rsid w:val="00EB75FE"/>
    <w:rsid w:val="00EB7D9D"/>
    <w:rsid w:val="00EC0C4E"/>
    <w:rsid w:val="00EC1B8E"/>
    <w:rsid w:val="00EC1E5C"/>
    <w:rsid w:val="00EC3699"/>
    <w:rsid w:val="00EC3D0A"/>
    <w:rsid w:val="00EC5576"/>
    <w:rsid w:val="00EC5855"/>
    <w:rsid w:val="00ED0504"/>
    <w:rsid w:val="00ED1AB7"/>
    <w:rsid w:val="00ED1FDC"/>
    <w:rsid w:val="00ED499F"/>
    <w:rsid w:val="00ED5373"/>
    <w:rsid w:val="00ED5E53"/>
    <w:rsid w:val="00ED6689"/>
    <w:rsid w:val="00EE0261"/>
    <w:rsid w:val="00EE0326"/>
    <w:rsid w:val="00EE20A5"/>
    <w:rsid w:val="00EE3D19"/>
    <w:rsid w:val="00EE46C9"/>
    <w:rsid w:val="00EE4BDC"/>
    <w:rsid w:val="00EE6AE9"/>
    <w:rsid w:val="00EE76A8"/>
    <w:rsid w:val="00EE79D1"/>
    <w:rsid w:val="00EF5440"/>
    <w:rsid w:val="00EF5DAA"/>
    <w:rsid w:val="00EF6FAB"/>
    <w:rsid w:val="00F02D3E"/>
    <w:rsid w:val="00F05E7C"/>
    <w:rsid w:val="00F0788E"/>
    <w:rsid w:val="00F102B8"/>
    <w:rsid w:val="00F1446A"/>
    <w:rsid w:val="00F14B36"/>
    <w:rsid w:val="00F168F2"/>
    <w:rsid w:val="00F16DC2"/>
    <w:rsid w:val="00F17F2A"/>
    <w:rsid w:val="00F203EF"/>
    <w:rsid w:val="00F207F4"/>
    <w:rsid w:val="00F24C59"/>
    <w:rsid w:val="00F25F0B"/>
    <w:rsid w:val="00F2669A"/>
    <w:rsid w:val="00F27A5B"/>
    <w:rsid w:val="00F30EC8"/>
    <w:rsid w:val="00F33661"/>
    <w:rsid w:val="00F33C85"/>
    <w:rsid w:val="00F33CF8"/>
    <w:rsid w:val="00F4158A"/>
    <w:rsid w:val="00F41D06"/>
    <w:rsid w:val="00F41F1D"/>
    <w:rsid w:val="00F4242B"/>
    <w:rsid w:val="00F42FFF"/>
    <w:rsid w:val="00F4611B"/>
    <w:rsid w:val="00F52423"/>
    <w:rsid w:val="00F54380"/>
    <w:rsid w:val="00F550E3"/>
    <w:rsid w:val="00F562DF"/>
    <w:rsid w:val="00F567F2"/>
    <w:rsid w:val="00F56C65"/>
    <w:rsid w:val="00F5792E"/>
    <w:rsid w:val="00F625E0"/>
    <w:rsid w:val="00F63221"/>
    <w:rsid w:val="00F63FCE"/>
    <w:rsid w:val="00F6570F"/>
    <w:rsid w:val="00F665F5"/>
    <w:rsid w:val="00F666F2"/>
    <w:rsid w:val="00F70058"/>
    <w:rsid w:val="00F718AD"/>
    <w:rsid w:val="00F8255B"/>
    <w:rsid w:val="00F8564C"/>
    <w:rsid w:val="00F908AF"/>
    <w:rsid w:val="00F91AB1"/>
    <w:rsid w:val="00F91C3D"/>
    <w:rsid w:val="00F96B85"/>
    <w:rsid w:val="00FA0DF9"/>
    <w:rsid w:val="00FA1CDE"/>
    <w:rsid w:val="00FA1FC8"/>
    <w:rsid w:val="00FA2C40"/>
    <w:rsid w:val="00FA3570"/>
    <w:rsid w:val="00FA65E9"/>
    <w:rsid w:val="00FA74CD"/>
    <w:rsid w:val="00FB111E"/>
    <w:rsid w:val="00FB5BFB"/>
    <w:rsid w:val="00FB6243"/>
    <w:rsid w:val="00FB68F6"/>
    <w:rsid w:val="00FB6ECB"/>
    <w:rsid w:val="00FB7D67"/>
    <w:rsid w:val="00FC1A4B"/>
    <w:rsid w:val="00FC3622"/>
    <w:rsid w:val="00FC4699"/>
    <w:rsid w:val="00FC69C7"/>
    <w:rsid w:val="00FC70A0"/>
    <w:rsid w:val="00FC7401"/>
    <w:rsid w:val="00FD0835"/>
    <w:rsid w:val="00FD1CAB"/>
    <w:rsid w:val="00FD2A9A"/>
    <w:rsid w:val="00FD42F5"/>
    <w:rsid w:val="00FD5974"/>
    <w:rsid w:val="00FD71DE"/>
    <w:rsid w:val="00FE2B63"/>
    <w:rsid w:val="00FE3D2D"/>
    <w:rsid w:val="00FE52F1"/>
    <w:rsid w:val="00FE551D"/>
    <w:rsid w:val="00FE5838"/>
    <w:rsid w:val="00FE59F8"/>
    <w:rsid w:val="00FE7443"/>
    <w:rsid w:val="00FF1B9B"/>
    <w:rsid w:val="00FF4A98"/>
    <w:rsid w:val="00FF5A56"/>
    <w:rsid w:val="02E55C84"/>
    <w:rsid w:val="1A9E9EE5"/>
    <w:rsid w:val="2333A877"/>
    <w:rsid w:val="44E085C4"/>
    <w:rsid w:val="532740E7"/>
    <w:rsid w:val="6BB89BD5"/>
    <w:rsid w:val="6FBA8709"/>
    <w:rsid w:val="7DD3975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FD291D7"/>
  <w15:docId w15:val="{DB9B5FFC-CD7A-4313-B771-2E228BCB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770"/>
    <w:pPr>
      <w:autoSpaceDE w:val="0"/>
      <w:autoSpaceDN w:val="0"/>
      <w:adjustRightInd w:val="0"/>
      <w:spacing w:after="120" w:line="276" w:lineRule="auto"/>
    </w:pPr>
    <w:rPr>
      <w:rFonts w:ascii="Arial" w:eastAsiaTheme="minorHAnsi" w:hAnsi="Arial" w:cs="Arial"/>
      <w:sz w:val="22"/>
      <w:szCs w:val="22"/>
      <w:lang w:eastAsia="en-US"/>
    </w:rPr>
  </w:style>
  <w:style w:type="paragraph" w:styleId="Heading1">
    <w:name w:val="heading 1"/>
    <w:basedOn w:val="Heading2"/>
    <w:next w:val="Normal"/>
    <w:link w:val="Heading1Char"/>
    <w:uiPriority w:val="9"/>
    <w:qFormat/>
    <w:rsid w:val="005C7770"/>
    <w:pPr>
      <w:outlineLvl w:val="0"/>
    </w:pPr>
    <w:rPr>
      <w:sz w:val="36"/>
    </w:rPr>
  </w:style>
  <w:style w:type="paragraph" w:styleId="Heading2">
    <w:name w:val="heading 2"/>
    <w:basedOn w:val="Normal"/>
    <w:next w:val="Normal"/>
    <w:link w:val="Heading2Char"/>
    <w:uiPriority w:val="9"/>
    <w:unhideWhenUsed/>
    <w:qFormat/>
    <w:rsid w:val="005C7770"/>
    <w:pPr>
      <w:keepNext/>
      <w:spacing w:before="360" w:line="240" w:lineRule="auto"/>
      <w:outlineLvl w:val="1"/>
    </w:pPr>
    <w:rPr>
      <w:b/>
      <w:bCs/>
      <w:color w:val="293868"/>
      <w:sz w:val="28"/>
      <w:szCs w:val="28"/>
    </w:rPr>
  </w:style>
  <w:style w:type="paragraph" w:styleId="Heading3">
    <w:name w:val="heading 3"/>
    <w:basedOn w:val="Normal"/>
    <w:next w:val="Normal"/>
    <w:link w:val="Heading3Char"/>
    <w:uiPriority w:val="9"/>
    <w:unhideWhenUsed/>
    <w:qFormat/>
    <w:rsid w:val="00520EC5"/>
    <w:pPr>
      <w:keepNext/>
      <w:keepLines/>
      <w:numPr>
        <w:numId w:val="14"/>
      </w:numPr>
      <w:spacing w:before="200" w:after="80" w:line="264" w:lineRule="auto"/>
      <w:outlineLvl w:val="2"/>
    </w:pPr>
    <w:rPr>
      <w:rFonts w:eastAsiaTheme="majorEastAsia" w:cstheme="majorBidi"/>
      <w:b/>
      <w:color w:val="293868"/>
      <w:sz w:val="24"/>
    </w:rPr>
  </w:style>
  <w:style w:type="paragraph" w:styleId="Heading4">
    <w:name w:val="heading 4"/>
    <w:basedOn w:val="Normal"/>
    <w:next w:val="Normal"/>
    <w:link w:val="Heading4Char"/>
    <w:uiPriority w:val="9"/>
    <w:unhideWhenUsed/>
    <w:qFormat/>
    <w:rsid w:val="005C7770"/>
    <w:pPr>
      <w:keepNext/>
      <w:spacing w:before="200" w:after="60"/>
      <w:outlineLvl w:val="3"/>
    </w:pPr>
    <w:rPr>
      <w:iCs/>
      <w:color w:val="293868"/>
      <w:lang w:val="mi-NZ"/>
    </w:rPr>
  </w:style>
  <w:style w:type="paragraph" w:styleId="Heading5">
    <w:name w:val="heading 5"/>
    <w:basedOn w:val="Heading4"/>
    <w:next w:val="Normal"/>
    <w:link w:val="Heading5Char"/>
    <w:uiPriority w:val="9"/>
    <w:unhideWhenUsed/>
    <w:qFormat/>
    <w:rsid w:val="005C7770"/>
    <w:pPr>
      <w:outlineLvl w:val="4"/>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770"/>
    <w:rPr>
      <w:rFonts w:ascii="Arial" w:eastAsiaTheme="minorHAnsi" w:hAnsi="Arial" w:cs="Arial"/>
      <w:b/>
      <w:bCs/>
      <w:color w:val="293868"/>
      <w:sz w:val="36"/>
      <w:szCs w:val="28"/>
      <w:lang w:eastAsia="en-US"/>
    </w:rPr>
  </w:style>
  <w:style w:type="character" w:customStyle="1" w:styleId="Heading2Char">
    <w:name w:val="Heading 2 Char"/>
    <w:basedOn w:val="DefaultParagraphFont"/>
    <w:link w:val="Heading2"/>
    <w:uiPriority w:val="9"/>
    <w:rsid w:val="005C7770"/>
    <w:rPr>
      <w:rFonts w:ascii="Arial" w:eastAsiaTheme="minorHAnsi" w:hAnsi="Arial" w:cs="Arial"/>
      <w:b/>
      <w:bCs/>
      <w:color w:val="293868"/>
      <w:sz w:val="28"/>
      <w:szCs w:val="28"/>
      <w:lang w:eastAsia="en-US"/>
    </w:rPr>
  </w:style>
  <w:style w:type="paragraph" w:styleId="Footer">
    <w:name w:val="footer"/>
    <w:basedOn w:val="Normal"/>
    <w:link w:val="FooterChar"/>
    <w:uiPriority w:val="99"/>
    <w:unhideWhenUsed/>
    <w:rsid w:val="005C7770"/>
    <w:pPr>
      <w:tabs>
        <w:tab w:val="center" w:pos="4513"/>
        <w:tab w:val="right" w:pos="9026"/>
      </w:tabs>
      <w:spacing w:after="0" w:line="240" w:lineRule="auto"/>
      <w:jc w:val="right"/>
    </w:pPr>
    <w:rPr>
      <w:sz w:val="18"/>
    </w:rPr>
  </w:style>
  <w:style w:type="character" w:customStyle="1" w:styleId="FooterChar">
    <w:name w:val="Footer Char"/>
    <w:basedOn w:val="DefaultParagraphFont"/>
    <w:link w:val="Footer"/>
    <w:uiPriority w:val="99"/>
    <w:rsid w:val="005C7770"/>
    <w:rPr>
      <w:rFonts w:ascii="Arial" w:eastAsiaTheme="minorHAnsi" w:hAnsi="Arial" w:cs="Arial"/>
      <w:sz w:val="18"/>
      <w:szCs w:val="22"/>
      <w:lang w:eastAsia="en-US"/>
    </w:rPr>
  </w:style>
  <w:style w:type="paragraph" w:styleId="Header">
    <w:name w:val="header"/>
    <w:basedOn w:val="Normal"/>
    <w:link w:val="HeaderChar"/>
    <w:uiPriority w:val="99"/>
    <w:unhideWhenUsed/>
    <w:rsid w:val="005C7770"/>
    <w:pPr>
      <w:tabs>
        <w:tab w:val="center" w:pos="4513"/>
        <w:tab w:val="right" w:pos="9026"/>
      </w:tabs>
      <w:spacing w:after="0" w:line="240" w:lineRule="auto"/>
    </w:pPr>
    <w:rPr>
      <w:bCs/>
      <w:sz w:val="18"/>
    </w:rPr>
  </w:style>
  <w:style w:type="character" w:customStyle="1" w:styleId="HeaderChar">
    <w:name w:val="Header Char"/>
    <w:basedOn w:val="DefaultParagraphFont"/>
    <w:link w:val="Header"/>
    <w:uiPriority w:val="99"/>
    <w:rsid w:val="005C7770"/>
    <w:rPr>
      <w:rFonts w:ascii="Arial" w:eastAsiaTheme="minorHAnsi" w:hAnsi="Arial" w:cs="Arial"/>
      <w:bCs/>
      <w:sz w:val="18"/>
      <w:szCs w:val="22"/>
      <w:lang w:eastAsia="en-US"/>
    </w:rPr>
  </w:style>
  <w:style w:type="paragraph" w:customStyle="1" w:styleId="TableText">
    <w:name w:val="TableText"/>
    <w:basedOn w:val="Normal"/>
    <w:rsid w:val="005C7770"/>
    <w:pPr>
      <w:spacing w:before="80" w:after="80"/>
    </w:pPr>
  </w:style>
  <w:style w:type="table" w:styleId="TableGridLight">
    <w:name w:val="Grid Table Light"/>
    <w:basedOn w:val="TableNormal"/>
    <w:uiPriority w:val="40"/>
    <w:rsid w:val="005C777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Bullet">
    <w:name w:val="TableBullet"/>
    <w:basedOn w:val="TableText"/>
    <w:rsid w:val="005C7770"/>
    <w:pPr>
      <w:numPr>
        <w:numId w:val="12"/>
      </w:numPr>
    </w:pPr>
  </w:style>
  <w:style w:type="character" w:styleId="PageNumber">
    <w:name w:val="page number"/>
    <w:basedOn w:val="DefaultParagraphFont"/>
    <w:rsid w:val="005C7770"/>
  </w:style>
  <w:style w:type="character" w:styleId="CommentReference">
    <w:name w:val="annotation reference"/>
    <w:basedOn w:val="DefaultParagraphFont"/>
    <w:uiPriority w:val="99"/>
    <w:semiHidden/>
    <w:unhideWhenUsed/>
    <w:rsid w:val="005C7770"/>
    <w:rPr>
      <w:sz w:val="16"/>
      <w:szCs w:val="16"/>
    </w:rPr>
  </w:style>
  <w:style w:type="paragraph" w:styleId="CommentText">
    <w:name w:val="annotation text"/>
    <w:basedOn w:val="Normal"/>
    <w:link w:val="CommentTextChar"/>
    <w:uiPriority w:val="99"/>
    <w:unhideWhenUsed/>
    <w:rsid w:val="005C7770"/>
    <w:pPr>
      <w:spacing w:line="240" w:lineRule="auto"/>
    </w:pPr>
    <w:rPr>
      <w:sz w:val="20"/>
      <w:szCs w:val="20"/>
    </w:rPr>
  </w:style>
  <w:style w:type="character" w:customStyle="1" w:styleId="CommentTextChar">
    <w:name w:val="Comment Text Char"/>
    <w:basedOn w:val="DefaultParagraphFont"/>
    <w:link w:val="CommentText"/>
    <w:uiPriority w:val="99"/>
    <w:rsid w:val="005C7770"/>
    <w:rPr>
      <w:rFonts w:ascii="Arial" w:eastAsiaTheme="minorHAnsi" w:hAnsi="Arial" w:cs="Arial"/>
      <w:lang w:eastAsia="en-US"/>
    </w:rPr>
  </w:style>
  <w:style w:type="paragraph" w:styleId="CommentSubject">
    <w:name w:val="annotation subject"/>
    <w:basedOn w:val="CommentText"/>
    <w:next w:val="CommentText"/>
    <w:link w:val="CommentSubjectChar"/>
    <w:uiPriority w:val="99"/>
    <w:semiHidden/>
    <w:unhideWhenUsed/>
    <w:rsid w:val="005C7770"/>
    <w:rPr>
      <w:b/>
      <w:bCs/>
    </w:rPr>
  </w:style>
  <w:style w:type="character" w:customStyle="1" w:styleId="CommentSubjectChar">
    <w:name w:val="Comment Subject Char"/>
    <w:basedOn w:val="CommentTextChar"/>
    <w:link w:val="CommentSubject"/>
    <w:uiPriority w:val="99"/>
    <w:semiHidden/>
    <w:rsid w:val="005C7770"/>
    <w:rPr>
      <w:rFonts w:ascii="Arial" w:eastAsiaTheme="minorHAnsi" w:hAnsi="Arial" w:cs="Arial"/>
      <w:b/>
      <w:bCs/>
      <w:lang w:eastAsia="en-US"/>
    </w:rPr>
  </w:style>
  <w:style w:type="paragraph" w:styleId="Revision">
    <w:name w:val="Revision"/>
    <w:hidden/>
    <w:uiPriority w:val="99"/>
    <w:semiHidden/>
    <w:rsid w:val="00B45545"/>
    <w:rPr>
      <w:rFonts w:ascii="Arial" w:eastAsia="Times New Roman" w:hAnsi="Arial" w:cs="Angsana New"/>
      <w:szCs w:val="24"/>
      <w:lang w:eastAsia="en-US" w:bidi="th-TH"/>
    </w:rPr>
  </w:style>
  <w:style w:type="paragraph" w:styleId="NormalWeb">
    <w:name w:val="Normal (Web)"/>
    <w:basedOn w:val="Normal"/>
    <w:uiPriority w:val="99"/>
    <w:unhideWhenUsed/>
    <w:rsid w:val="005C7770"/>
    <w:pPr>
      <w:spacing w:before="100" w:beforeAutospacing="1" w:after="100" w:afterAutospacing="1"/>
    </w:pPr>
    <w:rPr>
      <w:rFonts w:ascii="Times New Roman" w:eastAsiaTheme="minorEastAsia" w:hAnsi="Times New Roman" w:cs="Times New Roman"/>
      <w:sz w:val="24"/>
      <w:lang w:eastAsia="en-NZ"/>
    </w:rPr>
  </w:style>
  <w:style w:type="character" w:styleId="Hyperlink">
    <w:name w:val="Hyperlink"/>
    <w:basedOn w:val="DefaultParagraphFont"/>
    <w:uiPriority w:val="99"/>
    <w:unhideWhenUsed/>
    <w:rsid w:val="005C7770"/>
    <w:rPr>
      <w:color w:val="0000FF" w:themeColor="hyperlink"/>
      <w:u w:val="single"/>
    </w:rPr>
  </w:style>
  <w:style w:type="paragraph" w:styleId="NoSpacing">
    <w:name w:val="No Spacing"/>
    <w:uiPriority w:val="1"/>
    <w:qFormat/>
    <w:rsid w:val="005C7770"/>
    <w:rPr>
      <w:rFonts w:ascii="Arial" w:eastAsia="Times New Roman" w:hAnsi="Arial" w:cs="Angsana New"/>
      <w:szCs w:val="24"/>
      <w:lang w:eastAsia="en-US" w:bidi="th-TH"/>
    </w:rPr>
  </w:style>
  <w:style w:type="table" w:customStyle="1" w:styleId="HQSCdefault">
    <w:name w:val="HQSC default"/>
    <w:basedOn w:val="TableNormal"/>
    <w:uiPriority w:val="99"/>
    <w:rsid w:val="00B23333"/>
    <w:pPr>
      <w:spacing w:before="60" w:after="60" w:line="276" w:lineRule="auto"/>
    </w:pPr>
    <w:rPr>
      <w:rFonts w:ascii="Arial" w:hAnsi="Arial"/>
      <w:sz w:val="22"/>
    </w:rPr>
    <w:tblPr>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Mar>
        <w:top w:w="57" w:type="dxa"/>
      </w:tcMar>
    </w:tcPr>
    <w:tblStylePr w:type="firstRow">
      <w:rPr>
        <w:b/>
      </w:rPr>
      <w:tblPr/>
      <w:tcPr>
        <w:shd w:val="clear" w:color="auto" w:fill="F2F2F2" w:themeFill="background1" w:themeFillShade="F2"/>
      </w:tcPr>
    </w:tblStylePr>
    <w:tblStylePr w:type="lastRow">
      <w:rPr>
        <w:rFonts w:ascii="Arial" w:hAnsi="Arial"/>
        <w:b/>
        <w:color w:val="000000" w:themeColor="text1"/>
        <w:sz w:val="22"/>
      </w:rPr>
      <w:tblPr/>
      <w:tcPr>
        <w:shd w:val="clear" w:color="auto" w:fill="F2F2F2" w:themeFill="background1" w:themeFillShade="F2"/>
      </w:tcPr>
    </w:tblStylePr>
    <w:tblStylePr w:type="firstCol">
      <w:rPr>
        <w:rFonts w:ascii="Arial" w:hAnsi="Arial"/>
        <w:b/>
        <w:color w:val="000000" w:themeColor="text1"/>
        <w:sz w:val="22"/>
      </w:rPr>
      <w:tblPr/>
      <w:tcPr>
        <w:shd w:val="clear" w:color="auto" w:fill="F2F2F2" w:themeFill="background1" w:themeFillShade="F2"/>
      </w:tcPr>
    </w:tblStylePr>
  </w:style>
  <w:style w:type="table" w:styleId="TableGrid">
    <w:name w:val="Table Grid"/>
    <w:basedOn w:val="TableNormal"/>
    <w:uiPriority w:val="59"/>
    <w:rsid w:val="005C77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20EC5"/>
    <w:rPr>
      <w:rFonts w:ascii="Arial" w:eastAsiaTheme="majorEastAsia" w:hAnsi="Arial" w:cstheme="majorBidi"/>
      <w:b/>
      <w:color w:val="293868"/>
      <w:sz w:val="24"/>
      <w:szCs w:val="22"/>
      <w:lang w:eastAsia="en-US"/>
    </w:rPr>
  </w:style>
  <w:style w:type="paragraph" w:customStyle="1" w:styleId="Bullets">
    <w:name w:val="Bullets"/>
    <w:basedOn w:val="Normal"/>
    <w:link w:val="BulletsChar"/>
    <w:qFormat/>
    <w:rsid w:val="005C7770"/>
    <w:pPr>
      <w:numPr>
        <w:numId w:val="9"/>
      </w:numPr>
      <w:spacing w:after="60"/>
    </w:pPr>
    <w:rPr>
      <w:color w:val="000000" w:themeColor="text1"/>
    </w:rPr>
  </w:style>
  <w:style w:type="character" w:customStyle="1" w:styleId="BulletsChar">
    <w:name w:val="Bullets Char"/>
    <w:basedOn w:val="DefaultParagraphFont"/>
    <w:link w:val="Bullets"/>
    <w:rsid w:val="005C7770"/>
    <w:rPr>
      <w:rFonts w:ascii="Arial" w:eastAsiaTheme="minorHAnsi" w:hAnsi="Arial" w:cs="Arial"/>
      <w:color w:val="000000" w:themeColor="text1"/>
      <w:sz w:val="22"/>
      <w:szCs w:val="22"/>
      <w:lang w:eastAsia="en-US"/>
    </w:rPr>
  </w:style>
  <w:style w:type="paragraph" w:styleId="Caption">
    <w:name w:val="caption"/>
    <w:basedOn w:val="Normal"/>
    <w:next w:val="Normal"/>
    <w:uiPriority w:val="35"/>
    <w:unhideWhenUsed/>
    <w:qFormat/>
    <w:rsid w:val="005C7770"/>
    <w:pPr>
      <w:spacing w:line="240" w:lineRule="auto"/>
    </w:pPr>
    <w:rPr>
      <w:i/>
      <w:iCs/>
      <w:color w:val="1F497D" w:themeColor="text2"/>
      <w:sz w:val="18"/>
      <w:szCs w:val="18"/>
    </w:rPr>
  </w:style>
  <w:style w:type="numbering" w:customStyle="1" w:styleId="CurrentList1">
    <w:name w:val="Current List1"/>
    <w:uiPriority w:val="99"/>
    <w:rsid w:val="005C7770"/>
    <w:pPr>
      <w:numPr>
        <w:numId w:val="1"/>
      </w:numPr>
    </w:pPr>
  </w:style>
  <w:style w:type="character" w:styleId="Emphasis">
    <w:name w:val="Emphasis"/>
    <w:basedOn w:val="DefaultParagraphFont"/>
    <w:uiPriority w:val="20"/>
    <w:qFormat/>
    <w:rsid w:val="005C7770"/>
    <w:rPr>
      <w:i/>
      <w:iCs/>
    </w:rPr>
  </w:style>
  <w:style w:type="character" w:styleId="EndnoteReference">
    <w:name w:val="endnote reference"/>
    <w:basedOn w:val="DefaultParagraphFont"/>
    <w:uiPriority w:val="99"/>
    <w:semiHidden/>
    <w:unhideWhenUsed/>
    <w:rsid w:val="005C7770"/>
    <w:rPr>
      <w:vertAlign w:val="superscript"/>
    </w:rPr>
  </w:style>
  <w:style w:type="paragraph" w:styleId="EndnoteText">
    <w:name w:val="endnote text"/>
    <w:basedOn w:val="Normal"/>
    <w:link w:val="EndnoteTextChar"/>
    <w:uiPriority w:val="99"/>
    <w:semiHidden/>
    <w:unhideWhenUsed/>
    <w:rsid w:val="005C77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7770"/>
    <w:rPr>
      <w:rFonts w:ascii="Arial" w:eastAsiaTheme="minorHAnsi" w:hAnsi="Arial" w:cs="Arial"/>
      <w:lang w:eastAsia="en-US"/>
    </w:rPr>
  </w:style>
  <w:style w:type="paragraph" w:customStyle="1" w:styleId="Figuretableheading">
    <w:name w:val="Figure table heading"/>
    <w:basedOn w:val="Normal"/>
    <w:link w:val="FiguretableheadingChar"/>
    <w:qFormat/>
    <w:rsid w:val="005C7770"/>
    <w:rPr>
      <w:b/>
    </w:rPr>
  </w:style>
  <w:style w:type="character" w:customStyle="1" w:styleId="FiguretableheadingChar">
    <w:name w:val="Figure table heading Char"/>
    <w:basedOn w:val="DefaultParagraphFont"/>
    <w:link w:val="Figuretableheading"/>
    <w:rsid w:val="005C7770"/>
    <w:rPr>
      <w:rFonts w:ascii="Arial" w:eastAsiaTheme="minorHAnsi" w:hAnsi="Arial" w:cs="Arial"/>
      <w:b/>
      <w:sz w:val="22"/>
      <w:szCs w:val="22"/>
      <w:lang w:eastAsia="en-US"/>
    </w:rPr>
  </w:style>
  <w:style w:type="character" w:styleId="FollowedHyperlink">
    <w:name w:val="FollowedHyperlink"/>
    <w:basedOn w:val="DefaultParagraphFont"/>
    <w:uiPriority w:val="99"/>
    <w:semiHidden/>
    <w:unhideWhenUsed/>
    <w:rsid w:val="005C7770"/>
    <w:rPr>
      <w:color w:val="800080" w:themeColor="followedHyperlink"/>
      <w:u w:val="single"/>
    </w:rPr>
  </w:style>
  <w:style w:type="character" w:styleId="FootnoteReference">
    <w:name w:val="footnote reference"/>
    <w:basedOn w:val="DefaultParagraphFont"/>
    <w:uiPriority w:val="99"/>
    <w:semiHidden/>
    <w:unhideWhenUsed/>
    <w:rsid w:val="005C7770"/>
    <w:rPr>
      <w:vertAlign w:val="superscript"/>
    </w:rPr>
  </w:style>
  <w:style w:type="paragraph" w:styleId="FootnoteText">
    <w:name w:val="footnote text"/>
    <w:basedOn w:val="Normal"/>
    <w:link w:val="FootnoteTextChar"/>
    <w:uiPriority w:val="99"/>
    <w:unhideWhenUsed/>
    <w:rsid w:val="005C7770"/>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5C7770"/>
    <w:rPr>
      <w:rFonts w:asciiTheme="minorHAnsi" w:eastAsiaTheme="minorHAnsi" w:hAnsiTheme="minorHAnsi" w:cs="Arial"/>
      <w:lang w:eastAsia="en-US"/>
    </w:rPr>
  </w:style>
  <w:style w:type="paragraph" w:customStyle="1" w:styleId="Glossary">
    <w:name w:val="Glossary"/>
    <w:basedOn w:val="Normal"/>
    <w:qFormat/>
    <w:rsid w:val="005C7770"/>
    <w:pPr>
      <w:spacing w:before="120" w:line="240" w:lineRule="auto"/>
    </w:pPr>
    <w:rPr>
      <w:b/>
      <w:bCs/>
      <w:noProof/>
    </w:rPr>
  </w:style>
  <w:style w:type="numbering" w:customStyle="1" w:styleId="CurrentList2">
    <w:name w:val="Current List2"/>
    <w:uiPriority w:val="99"/>
    <w:rsid w:val="005C7770"/>
    <w:pPr>
      <w:numPr>
        <w:numId w:val="2"/>
      </w:numPr>
    </w:pPr>
  </w:style>
  <w:style w:type="character" w:customStyle="1" w:styleId="Heading4Char">
    <w:name w:val="Heading 4 Char"/>
    <w:basedOn w:val="DefaultParagraphFont"/>
    <w:link w:val="Heading4"/>
    <w:uiPriority w:val="9"/>
    <w:rsid w:val="005C7770"/>
    <w:rPr>
      <w:rFonts w:ascii="Arial" w:eastAsiaTheme="minorHAnsi" w:hAnsi="Arial" w:cs="Arial"/>
      <w:iCs/>
      <w:color w:val="293868"/>
      <w:sz w:val="22"/>
      <w:szCs w:val="22"/>
      <w:lang w:val="mi-NZ" w:eastAsia="en-US"/>
    </w:rPr>
  </w:style>
  <w:style w:type="character" w:customStyle="1" w:styleId="Heading5Char">
    <w:name w:val="Heading 5 Char"/>
    <w:basedOn w:val="DefaultParagraphFont"/>
    <w:link w:val="Heading5"/>
    <w:uiPriority w:val="9"/>
    <w:rsid w:val="005C7770"/>
    <w:rPr>
      <w:rFonts w:ascii="Arial" w:eastAsiaTheme="minorHAnsi" w:hAnsi="Arial" w:cs="Arial"/>
      <w:i/>
      <w:color w:val="293868"/>
      <w:sz w:val="22"/>
      <w:szCs w:val="22"/>
      <w:lang w:val="mi-NZ" w:eastAsia="en-US"/>
    </w:rPr>
  </w:style>
  <w:style w:type="paragraph" w:customStyle="1" w:styleId="Letters-twoandtwo0">
    <w:name w:val="Letters - two and two"/>
    <w:basedOn w:val="Normal"/>
    <w:link w:val="Letters-twoandtwoChar"/>
    <w:qFormat/>
    <w:rsid w:val="003A11B9"/>
    <w:pPr>
      <w:numPr>
        <w:numId w:val="13"/>
      </w:numPr>
      <w:spacing w:after="60"/>
    </w:pPr>
    <w:rPr>
      <w:bCs/>
    </w:rPr>
  </w:style>
  <w:style w:type="character" w:customStyle="1" w:styleId="Letters-twoandtwoChar">
    <w:name w:val="Letters - two and two Char"/>
    <w:basedOn w:val="DefaultParagraphFont"/>
    <w:link w:val="Letters-twoandtwo0"/>
    <w:rsid w:val="003A11B9"/>
    <w:rPr>
      <w:rFonts w:ascii="Arial" w:eastAsiaTheme="minorHAnsi" w:hAnsi="Arial" w:cs="Arial"/>
      <w:bCs/>
      <w:sz w:val="22"/>
      <w:szCs w:val="22"/>
      <w:lang w:eastAsia="en-US"/>
    </w:rPr>
  </w:style>
  <w:style w:type="paragraph" w:styleId="List">
    <w:name w:val="List"/>
    <w:basedOn w:val="Normal"/>
    <w:uiPriority w:val="99"/>
    <w:unhideWhenUsed/>
    <w:rsid w:val="005C7770"/>
    <w:pPr>
      <w:ind w:left="283" w:hanging="283"/>
      <w:contextualSpacing/>
    </w:pPr>
  </w:style>
  <w:style w:type="paragraph" w:styleId="ListNumber">
    <w:name w:val="List Number"/>
    <w:basedOn w:val="Normal"/>
    <w:uiPriority w:val="99"/>
    <w:unhideWhenUsed/>
    <w:rsid w:val="005C7770"/>
    <w:pPr>
      <w:numPr>
        <w:numId w:val="11"/>
      </w:numPr>
      <w:spacing w:after="60"/>
    </w:pPr>
  </w:style>
  <w:style w:type="paragraph" w:styleId="NormalIndent">
    <w:name w:val="Normal Indent"/>
    <w:basedOn w:val="Normal"/>
    <w:uiPriority w:val="99"/>
    <w:unhideWhenUsed/>
    <w:rsid w:val="005C7770"/>
    <w:pPr>
      <w:ind w:left="720"/>
    </w:pPr>
  </w:style>
  <w:style w:type="paragraph" w:styleId="Quote">
    <w:name w:val="Quote"/>
    <w:basedOn w:val="Normal"/>
    <w:next w:val="Normal"/>
    <w:link w:val="QuoteChar"/>
    <w:uiPriority w:val="29"/>
    <w:qFormat/>
    <w:rsid w:val="005C7770"/>
    <w:pPr>
      <w:spacing w:before="240" w:after="60"/>
      <w:ind w:left="709" w:right="709"/>
    </w:pPr>
    <w:rPr>
      <w:iCs/>
      <w:color w:val="595959" w:themeColor="text1" w:themeTint="A6"/>
    </w:rPr>
  </w:style>
  <w:style w:type="character" w:customStyle="1" w:styleId="QuoteChar">
    <w:name w:val="Quote Char"/>
    <w:basedOn w:val="DefaultParagraphFont"/>
    <w:link w:val="Quote"/>
    <w:uiPriority w:val="29"/>
    <w:rsid w:val="005C7770"/>
    <w:rPr>
      <w:rFonts w:ascii="Arial" w:eastAsiaTheme="minorHAnsi" w:hAnsi="Arial" w:cs="Arial"/>
      <w:iCs/>
      <w:color w:val="595959" w:themeColor="text1" w:themeTint="A6"/>
      <w:sz w:val="22"/>
      <w:szCs w:val="22"/>
      <w:lang w:eastAsia="en-US"/>
    </w:rPr>
  </w:style>
  <w:style w:type="paragraph" w:styleId="Subtitle">
    <w:name w:val="Subtitle"/>
    <w:basedOn w:val="Normal"/>
    <w:next w:val="Normal"/>
    <w:link w:val="SubtitleChar"/>
    <w:rsid w:val="005C7770"/>
    <w:pPr>
      <w:keepNext/>
      <w:keepLines/>
      <w:pBdr>
        <w:top w:val="nil"/>
        <w:left w:val="nil"/>
        <w:bottom w:val="nil"/>
        <w:right w:val="nil"/>
        <w:between w:val="nil"/>
      </w:pBdr>
      <w:spacing w:after="320"/>
      <w:contextualSpacing/>
    </w:pPr>
    <w:rPr>
      <w:rFonts w:eastAsia="Arial"/>
      <w:color w:val="666666"/>
      <w:sz w:val="30"/>
      <w:szCs w:val="30"/>
      <w:lang w:eastAsia="en-NZ"/>
    </w:rPr>
  </w:style>
  <w:style w:type="character" w:customStyle="1" w:styleId="SubtitleChar">
    <w:name w:val="Subtitle Char"/>
    <w:basedOn w:val="DefaultParagraphFont"/>
    <w:link w:val="Subtitle"/>
    <w:rsid w:val="005C7770"/>
    <w:rPr>
      <w:rFonts w:ascii="Arial" w:eastAsia="Arial" w:hAnsi="Arial" w:cs="Arial"/>
      <w:color w:val="666666"/>
      <w:sz w:val="30"/>
      <w:szCs w:val="30"/>
    </w:rPr>
  </w:style>
  <w:style w:type="paragraph" w:styleId="TOC1">
    <w:name w:val="toc 1"/>
    <w:basedOn w:val="Normal"/>
    <w:next w:val="Normal"/>
    <w:autoRedefine/>
    <w:uiPriority w:val="39"/>
    <w:unhideWhenUsed/>
    <w:rsid w:val="005C7770"/>
    <w:pPr>
      <w:tabs>
        <w:tab w:val="right" w:leader="dot" w:pos="9016"/>
      </w:tabs>
      <w:spacing w:after="0" w:line="240" w:lineRule="auto"/>
    </w:pPr>
    <w:rPr>
      <w:b/>
      <w:bCs/>
      <w:sz w:val="24"/>
      <w:szCs w:val="24"/>
    </w:rPr>
  </w:style>
  <w:style w:type="paragraph" w:styleId="TOC2">
    <w:name w:val="toc 2"/>
    <w:basedOn w:val="Normal"/>
    <w:next w:val="Normal"/>
    <w:autoRedefine/>
    <w:uiPriority w:val="39"/>
    <w:unhideWhenUsed/>
    <w:rsid w:val="005C7770"/>
    <w:pPr>
      <w:tabs>
        <w:tab w:val="right" w:leader="dot" w:pos="9016"/>
      </w:tabs>
      <w:spacing w:after="0" w:line="240" w:lineRule="auto"/>
      <w:ind w:left="284"/>
    </w:pPr>
    <w:rPr>
      <w:rFonts w:cstheme="minorHAnsi"/>
      <w:bCs/>
      <w:sz w:val="20"/>
      <w:szCs w:val="20"/>
    </w:rPr>
  </w:style>
  <w:style w:type="paragraph" w:styleId="TOC3">
    <w:name w:val="toc 3"/>
    <w:basedOn w:val="Normal"/>
    <w:next w:val="Normal"/>
    <w:autoRedefine/>
    <w:uiPriority w:val="39"/>
    <w:unhideWhenUsed/>
    <w:rsid w:val="005C7770"/>
    <w:pPr>
      <w:spacing w:after="0"/>
      <w:ind w:left="567"/>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5C7770"/>
    <w:rPr>
      <w:color w:val="605E5C"/>
      <w:shd w:val="clear" w:color="auto" w:fill="E1DFDD"/>
    </w:rPr>
  </w:style>
  <w:style w:type="numbering" w:customStyle="1" w:styleId="letters-twoandtwo">
    <w:name w:val="letters - two and two"/>
    <w:uiPriority w:val="99"/>
    <w:rsid w:val="003A11B9"/>
    <w:pPr>
      <w:numPr>
        <w:numId w:val="7"/>
      </w:numPr>
    </w:pPr>
  </w:style>
  <w:style w:type="paragraph" w:customStyle="1" w:styleId="Bulletsdash">
    <w:name w:val="Bullets dash"/>
    <w:basedOn w:val="Bullets"/>
    <w:link w:val="BulletsdashChar"/>
    <w:qFormat/>
    <w:rsid w:val="005C7770"/>
    <w:pPr>
      <w:numPr>
        <w:numId w:val="10"/>
      </w:numPr>
    </w:pPr>
  </w:style>
  <w:style w:type="numbering" w:customStyle="1" w:styleId="CurrentList4">
    <w:name w:val="Current List4"/>
    <w:uiPriority w:val="99"/>
    <w:rsid w:val="005C7770"/>
    <w:pPr>
      <w:numPr>
        <w:numId w:val="4"/>
      </w:numPr>
    </w:pPr>
  </w:style>
  <w:style w:type="numbering" w:customStyle="1" w:styleId="CurrentList3">
    <w:name w:val="Current List3"/>
    <w:uiPriority w:val="99"/>
    <w:rsid w:val="005C7770"/>
    <w:pPr>
      <w:numPr>
        <w:numId w:val="3"/>
      </w:numPr>
    </w:pPr>
  </w:style>
  <w:style w:type="character" w:customStyle="1" w:styleId="BulletsdashChar">
    <w:name w:val="Bullets dash Char"/>
    <w:basedOn w:val="BulletsChar"/>
    <w:link w:val="Bulletsdash"/>
    <w:rsid w:val="005C7770"/>
    <w:rPr>
      <w:rFonts w:ascii="Arial" w:eastAsiaTheme="minorHAnsi" w:hAnsi="Arial" w:cs="Arial"/>
      <w:color w:val="000000" w:themeColor="text1"/>
      <w:sz w:val="22"/>
      <w:szCs w:val="22"/>
      <w:lang w:eastAsia="en-US"/>
    </w:rPr>
  </w:style>
  <w:style w:type="numbering" w:customStyle="1" w:styleId="CurrentList5">
    <w:name w:val="Current List5"/>
    <w:uiPriority w:val="99"/>
    <w:rsid w:val="005C7770"/>
    <w:pPr>
      <w:numPr>
        <w:numId w:val="5"/>
      </w:numPr>
    </w:pPr>
  </w:style>
  <w:style w:type="numbering" w:customStyle="1" w:styleId="Endash-twolevels">
    <w:name w:val="En dash - two levels"/>
    <w:uiPriority w:val="99"/>
    <w:rsid w:val="005C7770"/>
    <w:pPr>
      <w:numPr>
        <w:numId w:val="6"/>
      </w:numPr>
    </w:pPr>
  </w:style>
  <w:style w:type="paragraph" w:customStyle="1" w:styleId="Memotitle">
    <w:name w:val="Memo title"/>
    <w:qFormat/>
    <w:rsid w:val="00C23DDF"/>
    <w:pPr>
      <w:pBdr>
        <w:bottom w:val="single" w:sz="4" w:space="1" w:color="293868"/>
      </w:pBdr>
      <w:spacing w:after="240" w:line="276" w:lineRule="auto"/>
    </w:pPr>
    <w:rPr>
      <w:rFonts w:ascii="Arial" w:eastAsiaTheme="minorHAnsi" w:hAnsi="Arial" w:cs="Arial"/>
      <w:b/>
      <w:bCs/>
      <w:color w:val="293868"/>
      <w:sz w:val="44"/>
      <w:szCs w:val="44"/>
      <w:lang w:eastAsia="en-US"/>
    </w:rPr>
  </w:style>
  <w:style w:type="paragraph" w:customStyle="1" w:styleId="Legendtotable">
    <w:name w:val="Legend to table"/>
    <w:basedOn w:val="Normal"/>
    <w:qFormat/>
    <w:rsid w:val="00A650A0"/>
    <w:pPr>
      <w:tabs>
        <w:tab w:val="left" w:pos="340"/>
      </w:tabs>
      <w:spacing w:before="200" w:after="0"/>
      <w:contextualSpacing/>
    </w:pPr>
    <w:rPr>
      <w:sz w:val="18"/>
    </w:rPr>
  </w:style>
  <w:style w:type="paragraph" w:customStyle="1" w:styleId="Normalintable">
    <w:name w:val="Normal in table"/>
    <w:basedOn w:val="Normal"/>
    <w:qFormat/>
    <w:rsid w:val="005D5E8E"/>
    <w:pPr>
      <w:spacing w:before="60" w:after="60"/>
    </w:pPr>
    <w:rPr>
      <w:color w:val="000000" w:themeColor="text1"/>
    </w:rPr>
  </w:style>
  <w:style w:type="paragraph" w:customStyle="1" w:styleId="Tablenormal10pt">
    <w:name w:val="Table normal 10 pt"/>
    <w:basedOn w:val="Normalintable"/>
    <w:qFormat/>
    <w:rsid w:val="004A0CF4"/>
    <w:rPr>
      <w:sz w:val="20"/>
    </w:rPr>
  </w:style>
  <w:style w:type="paragraph" w:styleId="ListParagraph">
    <w:name w:val="List Paragraph"/>
    <w:aliases w:val="Bullet Normal,Normal text,List Paragraph1,Level 3,List Paragraph numbered,List Bullet indent,Rec para,Bullet List,FooterText,numbered,Paragraphe de liste1,Bulletr List Paragraph,列出段落,列出段落1,Listeafsnit1,Parágrafo da Lista1,List Paragraph2"/>
    <w:basedOn w:val="Normal"/>
    <w:link w:val="ListParagraphChar"/>
    <w:uiPriority w:val="34"/>
    <w:qFormat/>
    <w:rsid w:val="00FA1FC8"/>
    <w:pPr>
      <w:ind w:left="720"/>
      <w:contextualSpacing/>
    </w:pPr>
  </w:style>
  <w:style w:type="character" w:styleId="Mention">
    <w:name w:val="Mention"/>
    <w:basedOn w:val="DefaultParagraphFont"/>
    <w:uiPriority w:val="99"/>
    <w:unhideWhenUsed/>
    <w:rsid w:val="0069017D"/>
    <w:rPr>
      <w:color w:val="2B579A"/>
      <w:shd w:val="clear" w:color="auto" w:fill="E1DFDD"/>
    </w:rPr>
  </w:style>
  <w:style w:type="table" w:styleId="PlainTable1">
    <w:name w:val="Plain Table 1"/>
    <w:basedOn w:val="TableNormal"/>
    <w:uiPriority w:val="41"/>
    <w:rsid w:val="0069017D"/>
    <w:rPr>
      <w:rFonts w:asciiTheme="minorHAnsi" w:eastAsiaTheme="minorHAnsi" w:hAnsiTheme="minorHAnsi" w:cstheme="minorBidi"/>
      <w:sz w:val="22"/>
      <w:szCs w:val="22"/>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i-provider">
    <w:name w:val="ui-provider"/>
    <w:basedOn w:val="DefaultParagraphFont"/>
    <w:rsid w:val="0069017D"/>
  </w:style>
  <w:style w:type="paragraph" w:customStyle="1" w:styleId="HeadingBlank">
    <w:name w:val="HeadingBlank"/>
    <w:basedOn w:val="Normal"/>
    <w:link w:val="HeadingBlankChar"/>
    <w:rsid w:val="008E26AD"/>
    <w:pPr>
      <w:keepNext/>
      <w:keepLines/>
      <w:autoSpaceDE/>
      <w:autoSpaceDN/>
      <w:adjustRightInd/>
      <w:spacing w:after="0" w:line="240" w:lineRule="auto"/>
    </w:pPr>
    <w:rPr>
      <w:sz w:val="24"/>
    </w:rPr>
  </w:style>
  <w:style w:type="character" w:customStyle="1" w:styleId="HeadingBlankChar">
    <w:name w:val="HeadingBlank Char"/>
    <w:basedOn w:val="DefaultParagraphFont"/>
    <w:link w:val="HeadingBlank"/>
    <w:rsid w:val="008E26AD"/>
    <w:rPr>
      <w:rFonts w:ascii="Arial" w:eastAsiaTheme="minorHAnsi" w:hAnsi="Arial" w:cs="Arial"/>
      <w:sz w:val="24"/>
      <w:szCs w:val="22"/>
      <w:lang w:eastAsia="en-US"/>
    </w:rPr>
  </w:style>
  <w:style w:type="paragraph" w:customStyle="1" w:styleId="l1">
    <w:name w:val="l1"/>
    <w:basedOn w:val="HeadingBlank"/>
    <w:link w:val="l1Char"/>
    <w:rsid w:val="008E26AD"/>
    <w:pPr>
      <w:keepNext w:val="0"/>
      <w:keepLines w:val="0"/>
      <w:ind w:left="360" w:hanging="360"/>
    </w:pPr>
  </w:style>
  <w:style w:type="character" w:customStyle="1" w:styleId="l1Char">
    <w:name w:val="l1 Char"/>
    <w:basedOn w:val="HeadingBlankChar"/>
    <w:link w:val="l1"/>
    <w:rsid w:val="008E26AD"/>
    <w:rPr>
      <w:rFonts w:ascii="Arial" w:eastAsiaTheme="minorHAnsi" w:hAnsi="Arial" w:cs="Arial"/>
      <w:sz w:val="24"/>
      <w:szCs w:val="22"/>
      <w:lang w:eastAsia="en-US"/>
    </w:rPr>
  </w:style>
  <w:style w:type="character" w:customStyle="1" w:styleId="normaltextrun">
    <w:name w:val="normaltextrun"/>
    <w:basedOn w:val="DefaultParagraphFont"/>
    <w:rsid w:val="008E26AD"/>
  </w:style>
  <w:style w:type="character" w:customStyle="1" w:styleId="ListParagraphChar">
    <w:name w:val="List Paragraph Char"/>
    <w:aliases w:val="Bullet Normal Char,Normal text Char,List Paragraph1 Char,Level 3 Char,List Paragraph numbered Char,List Bullet indent Char,Rec para Char,Bullet List Char,FooterText Char,numbered Char,Paragraphe de liste1 Char,列出段落 Char,列出段落1 Char"/>
    <w:basedOn w:val="DefaultParagraphFont"/>
    <w:link w:val="ListParagraph"/>
    <w:uiPriority w:val="34"/>
    <w:locked/>
    <w:rsid w:val="008E26AD"/>
    <w:rPr>
      <w:rFonts w:ascii="Arial" w:eastAsiaTheme="minorHAnsi" w:hAnsi="Arial" w:cs="Arial"/>
      <w:sz w:val="22"/>
      <w:szCs w:val="22"/>
      <w:lang w:eastAsia="en-US"/>
    </w:rPr>
  </w:style>
  <w:style w:type="paragraph" w:customStyle="1" w:styleId="Default">
    <w:name w:val="Default"/>
    <w:rsid w:val="008E26AD"/>
    <w:pPr>
      <w:autoSpaceDE w:val="0"/>
      <w:autoSpaceDN w:val="0"/>
      <w:adjustRightInd w:val="0"/>
    </w:pPr>
    <w:rPr>
      <w:rFonts w:ascii="Arial" w:eastAsiaTheme="minorHAnsi" w:hAnsi="Arial" w:cs="Arial"/>
      <w:color w:val="000000"/>
      <w:sz w:val="24"/>
      <w:szCs w:val="24"/>
      <w:lang w:eastAsia="en-US"/>
    </w:rPr>
  </w:style>
  <w:style w:type="paragraph" w:styleId="PlainText">
    <w:name w:val="Plain Text"/>
    <w:basedOn w:val="Normal"/>
    <w:link w:val="PlainTextChar"/>
    <w:uiPriority w:val="99"/>
    <w:unhideWhenUsed/>
    <w:rsid w:val="008E26AD"/>
    <w:pPr>
      <w:autoSpaceDE/>
      <w:autoSpaceDN/>
      <w:adjustRightInd/>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rsid w:val="008E26AD"/>
    <w:rPr>
      <w:rFonts w:ascii="Calibri" w:eastAsiaTheme="minorHAnsi" w:hAnsi="Calibri" w:cstheme="minorBidi"/>
      <w:sz w:val="22"/>
      <w:szCs w:val="21"/>
      <w:lang w:eastAsia="en-US"/>
    </w:rPr>
  </w:style>
  <w:style w:type="character" w:customStyle="1" w:styleId="cf01">
    <w:name w:val="cf01"/>
    <w:basedOn w:val="DefaultParagraphFont"/>
    <w:rsid w:val="008E26A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7475">
      <w:bodyDiv w:val="1"/>
      <w:marLeft w:val="0"/>
      <w:marRight w:val="0"/>
      <w:marTop w:val="0"/>
      <w:marBottom w:val="0"/>
      <w:divBdr>
        <w:top w:val="none" w:sz="0" w:space="0" w:color="auto"/>
        <w:left w:val="none" w:sz="0" w:space="0" w:color="auto"/>
        <w:bottom w:val="none" w:sz="0" w:space="0" w:color="auto"/>
        <w:right w:val="none" w:sz="0" w:space="0" w:color="auto"/>
      </w:divBdr>
    </w:div>
    <w:div w:id="201089506">
      <w:bodyDiv w:val="1"/>
      <w:marLeft w:val="0"/>
      <w:marRight w:val="0"/>
      <w:marTop w:val="0"/>
      <w:marBottom w:val="0"/>
      <w:divBdr>
        <w:top w:val="none" w:sz="0" w:space="0" w:color="auto"/>
        <w:left w:val="none" w:sz="0" w:space="0" w:color="auto"/>
        <w:bottom w:val="none" w:sz="0" w:space="0" w:color="auto"/>
        <w:right w:val="none" w:sz="0" w:space="0" w:color="auto"/>
      </w:divBdr>
    </w:div>
    <w:div w:id="272514229">
      <w:bodyDiv w:val="1"/>
      <w:marLeft w:val="0"/>
      <w:marRight w:val="0"/>
      <w:marTop w:val="0"/>
      <w:marBottom w:val="0"/>
      <w:divBdr>
        <w:top w:val="none" w:sz="0" w:space="0" w:color="auto"/>
        <w:left w:val="none" w:sz="0" w:space="0" w:color="auto"/>
        <w:bottom w:val="none" w:sz="0" w:space="0" w:color="auto"/>
        <w:right w:val="none" w:sz="0" w:space="0" w:color="auto"/>
      </w:divBdr>
    </w:div>
    <w:div w:id="878476647">
      <w:bodyDiv w:val="1"/>
      <w:marLeft w:val="0"/>
      <w:marRight w:val="0"/>
      <w:marTop w:val="0"/>
      <w:marBottom w:val="0"/>
      <w:divBdr>
        <w:top w:val="none" w:sz="0" w:space="0" w:color="auto"/>
        <w:left w:val="none" w:sz="0" w:space="0" w:color="auto"/>
        <w:bottom w:val="none" w:sz="0" w:space="0" w:color="auto"/>
        <w:right w:val="none" w:sz="0" w:space="0" w:color="auto"/>
      </w:divBdr>
      <w:divsChild>
        <w:div w:id="888104188">
          <w:marLeft w:val="547"/>
          <w:marRight w:val="0"/>
          <w:marTop w:val="0"/>
          <w:marBottom w:val="0"/>
          <w:divBdr>
            <w:top w:val="none" w:sz="0" w:space="0" w:color="auto"/>
            <w:left w:val="none" w:sz="0" w:space="0" w:color="auto"/>
            <w:bottom w:val="none" w:sz="0" w:space="0" w:color="auto"/>
            <w:right w:val="none" w:sz="0" w:space="0" w:color="auto"/>
          </w:divBdr>
        </w:div>
      </w:divsChild>
    </w:div>
    <w:div w:id="977105404">
      <w:bodyDiv w:val="1"/>
      <w:marLeft w:val="0"/>
      <w:marRight w:val="0"/>
      <w:marTop w:val="0"/>
      <w:marBottom w:val="0"/>
      <w:divBdr>
        <w:top w:val="none" w:sz="0" w:space="0" w:color="auto"/>
        <w:left w:val="none" w:sz="0" w:space="0" w:color="auto"/>
        <w:bottom w:val="none" w:sz="0" w:space="0" w:color="auto"/>
        <w:right w:val="none" w:sz="0" w:space="0" w:color="auto"/>
      </w:divBdr>
    </w:div>
    <w:div w:id="1431243447">
      <w:bodyDiv w:val="1"/>
      <w:marLeft w:val="0"/>
      <w:marRight w:val="0"/>
      <w:marTop w:val="0"/>
      <w:marBottom w:val="0"/>
      <w:divBdr>
        <w:top w:val="none" w:sz="0" w:space="0" w:color="auto"/>
        <w:left w:val="none" w:sz="0" w:space="0" w:color="auto"/>
        <w:bottom w:val="none" w:sz="0" w:space="0" w:color="auto"/>
        <w:right w:val="none" w:sz="0" w:space="0" w:color="auto"/>
      </w:divBdr>
    </w:div>
    <w:div w:id="1986423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jpeg"/><Relationship Id="rId26" Type="http://schemas.openxmlformats.org/officeDocument/2006/relationships/hyperlink" Target="https://www.southernhealth.nz/publications/otago-pasifika-secondary-students-visited-dunedin-hospital-explore-health-career?fbclid=IwAR05X_c9YgIbs0JAnnRtGVKU8aeDq7LL0BVtsOV_B7JKP051S0ICmIO7Z4M" TargetMode="External"/><Relationship Id="rId3" Type="http://schemas.openxmlformats.org/officeDocument/2006/relationships/customXml" Target="../customXml/item3.xml"/><Relationship Id="rId21" Type="http://schemas.openxmlformats.org/officeDocument/2006/relationships/hyperlink" Target="https://hqsc.sharepoint.com/sites/dms-programmes/ConsumerEngagement/Programme%20Planning/Programme%20Planning/11.%202022-23%20Year%202%20-%20consumer%20and%20wh&#257;nau%20voice/Q3%20reporting/PIC%20quarterly%20report%20Q3(Draft).docx"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hyperlink" Target="https://vaccinatecanterburywestcoast.nz/covid-19-vaccination-clinic-locations-on-the-west-coas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us01.safelinks.protection.outlook.com/?url=https%3A%2F%2Fwww.hqsc.govt.nz%2Fnews%2Fa-successful-conclusion-of-our-voices-the-journey-to-healthy-futures-o-matou-reo-te-huarahi-ki-pae-ora%2F&amp;data=05%7C01%7CAllison.Anderson%40hqsc.govt.nz%7C42c0cebbd40240ae521108db9871b099%7C701cefdf35f44444863855f0e12ab1c4%7C0%7C0%7C638271386293173037%7CUnknown%7CTWFpbGZsb3d8eyJWIjoiMC4wLjAwMDAiLCJQIjoiV2luMzIiLCJBTiI6Ik1haWwiLCJXVCI6Mn0%3D%7C3000%7C%7C%7C&amp;sdata=rVWfto2DZvJj21u5RC73yA8YThSb6hD4cJqQQDasQSM%3D&amp;reserved=0" TargetMode="External"/><Relationship Id="rId20" Type="http://schemas.openxmlformats.org/officeDocument/2006/relationships/hyperlink" Target="https://www.hqsc.govt.nz/consumer-hub/engaging-consumers-and-whanau/consumer-engagement-quality-and-safety-marke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vaccinatecanterburywestcoast.nz/covid-19-vaccination-clinic-locations-on-the-west-coast/"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yperlink" Target="https://www.hqsc.govt.nz/consumer-hub/consumer-health-forum-aotearoa/consumer-opportunities/" TargetMode="External"/><Relationship Id="rId28" Type="http://schemas.openxmlformats.org/officeDocument/2006/relationships/hyperlink" Target="https://www.legislation.govt.nz/act/public/2022/0030/latest/whole.html" TargetMode="External"/><Relationship Id="rId10" Type="http://schemas.openxmlformats.org/officeDocument/2006/relationships/settings" Target="settings.xml"/><Relationship Id="rId19" Type="http://schemas.openxmlformats.org/officeDocument/2006/relationships/hyperlink" Target="https://www.hqsc.govt.nz/resources/resource-library/co-design-in-health-free-e-learning-courses-available/"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https://www.hqsc.govt.nz/consumer-hub/consumer-health-forum-aotearoa/consumer-opportunities/" TargetMode="External"/><Relationship Id="rId27" Type="http://schemas.openxmlformats.org/officeDocument/2006/relationships/hyperlink" Target="https://www.legislation.govt.nz/act/public/2022/0030/latest/whole.html" TargetMode="External"/><Relationship Id="rId30" Type="http://schemas.openxmlformats.org/officeDocument/2006/relationships/footer" Target="footer1.xml"/><Relationship Id="rId8"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OneDrive\1%20-%20Current%20work\1%20-%20HQSC\4%20-%20Word%20templates%20revision\3%20-%20WIP\1%20HQSC%20template%20blue%20headings.dotx"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1a73ffe2-5c47-46d7-8504-2cffc598988b">DOCS-1780520749-31</_dlc_DocId>
    <_dlc_DocIdUrl xmlns="1a73ffe2-5c47-46d7-8504-2cffc598988b">
      <Url>https://hqsc.sharepoint.com/sites/Commsteam/_layouts/15/DocIdRedir.aspx?ID=DOCS-1780520749-31</Url>
      <Description>DOCS-1780520749-31</Description>
    </_dlc_DocIdUrl>
    <TaxCatchAll xmlns="1a73ffe2-5c47-46d7-8504-2cffc598988b" xsi:nil="true"/>
    <lcf76f155ced4ddcb4097134ff3c332f xmlns="da90cb3d-2bcc-4e96-8eaa-9d3b3922fe62">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EAB69D05848A7E41901D98E2D3D9B5AA" ma:contentTypeVersion="13" ma:contentTypeDescription="Create a new document." ma:contentTypeScope="" ma:versionID="cf3b96b6b9601e2c183050949e19d351">
  <xsd:schema xmlns:xsd="http://www.w3.org/2001/XMLSchema" xmlns:xs="http://www.w3.org/2001/XMLSchema" xmlns:p="http://schemas.microsoft.com/office/2006/metadata/properties" xmlns:ns2="1a73ffe2-5c47-46d7-8504-2cffc598988b" xmlns:ns3="da90cb3d-2bcc-4e96-8eaa-9d3b3922fe62" targetNamespace="http://schemas.microsoft.com/office/2006/metadata/properties" ma:root="true" ma:fieldsID="2303204929ff9cc1a5044d324800e651" ns2:_="" ns3:_="">
    <xsd:import namespace="1a73ffe2-5c47-46d7-8504-2cffc598988b"/>
    <xsd:import namespace="da90cb3d-2bcc-4e96-8eaa-9d3b3922fe6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3ffe2-5c47-46d7-8504-2cffc59898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3786b46-8904-495d-8285-9628e3a1cfbc}" ma:internalName="TaxCatchAll" ma:showField="CatchAllData" ma:web="1a73ffe2-5c47-46d7-8504-2cffc59898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90cb3d-2bcc-4e96-8eaa-9d3b3922fe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4FF4F9-6E1A-422E-8FE3-5A46368DDD1F}">
  <ds:schemaRefs>
    <ds:schemaRef ds:uri="http://schemas.openxmlformats.org/officeDocument/2006/bibliography"/>
  </ds:schemaRefs>
</ds:datastoreItem>
</file>

<file path=customXml/itemProps2.xml><?xml version="1.0" encoding="utf-8"?>
<ds:datastoreItem xmlns:ds="http://schemas.openxmlformats.org/officeDocument/2006/customXml" ds:itemID="{1197B34C-2872-4992-9607-51437AB5F7F9}">
  <ds:schemaRefs>
    <ds:schemaRef ds:uri="http://schemas.microsoft.com/office/2006/metadata/longProperties"/>
  </ds:schemaRefs>
</ds:datastoreItem>
</file>

<file path=customXml/itemProps3.xml><?xml version="1.0" encoding="utf-8"?>
<ds:datastoreItem xmlns:ds="http://schemas.openxmlformats.org/officeDocument/2006/customXml" ds:itemID="{49C968DD-81CA-4395-A9CF-8A01E9A32119}">
  <ds:schemaRefs>
    <ds:schemaRef ds:uri="http://schemas.openxmlformats.org/officeDocument/2006/bibliography"/>
  </ds:schemaRefs>
</ds:datastoreItem>
</file>

<file path=customXml/itemProps4.xml><?xml version="1.0" encoding="utf-8"?>
<ds:datastoreItem xmlns:ds="http://schemas.openxmlformats.org/officeDocument/2006/customXml" ds:itemID="{98BB7D33-0646-4E9B-85C8-E5B3B2088AAE}">
  <ds:schemaRefs>
    <ds:schemaRef ds:uri="http://schemas.microsoft.com/sharepoint/events"/>
  </ds:schemaRefs>
</ds:datastoreItem>
</file>

<file path=customXml/itemProps5.xml><?xml version="1.0" encoding="utf-8"?>
<ds:datastoreItem xmlns:ds="http://schemas.openxmlformats.org/officeDocument/2006/customXml" ds:itemID="{D22D2348-EFA7-4964-96D5-9E85DF7BF10E}">
  <ds:schemaRefs>
    <ds:schemaRef ds:uri="http://schemas.microsoft.com/office/2006/metadata/properties"/>
    <ds:schemaRef ds:uri="http://schemas.microsoft.com/office/infopath/2007/PartnerControls"/>
    <ds:schemaRef ds:uri="1a73ffe2-5c47-46d7-8504-2cffc598988b"/>
    <ds:schemaRef ds:uri="da90cb3d-2bcc-4e96-8eaa-9d3b3922fe62"/>
  </ds:schemaRefs>
</ds:datastoreItem>
</file>

<file path=customXml/itemProps6.xml><?xml version="1.0" encoding="utf-8"?>
<ds:datastoreItem xmlns:ds="http://schemas.openxmlformats.org/officeDocument/2006/customXml" ds:itemID="{63CC9226-C88A-4909-A007-B7ACF4F13A33}">
  <ds:schemaRefs>
    <ds:schemaRef ds:uri="http://schemas.microsoft.com/sharepoint/v3/contenttype/forms"/>
  </ds:schemaRefs>
</ds:datastoreItem>
</file>

<file path=customXml/itemProps7.xml><?xml version="1.0" encoding="utf-8"?>
<ds:datastoreItem xmlns:ds="http://schemas.openxmlformats.org/officeDocument/2006/customXml" ds:itemID="{E1742F70-F584-48DE-8C1F-C017C340A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3ffe2-5c47-46d7-8504-2cffc598988b"/>
    <ds:schemaRef ds:uri="da90cb3d-2bcc-4e96-8eaa-9d3b3922f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 HQSC template blue headings.dotx</Template>
  <TotalTime>1</TotalTime>
  <Pages>18</Pages>
  <Words>7114</Words>
  <Characters>40554</Characters>
  <Application>Microsoft Office Word</Application>
  <DocSecurity>0</DocSecurity>
  <Lines>337</Lines>
  <Paragraphs>95</Paragraphs>
  <ScaleCrop>false</ScaleCrop>
  <Company>Ministry of Health</Company>
  <LinksUpToDate>false</LinksUpToDate>
  <CharactersWithSpaces>47573</CharactersWithSpaces>
  <SharedDoc>false</SharedDoc>
  <HLinks>
    <vt:vector size="66" baseType="variant">
      <vt:variant>
        <vt:i4>7405665</vt:i4>
      </vt:variant>
      <vt:variant>
        <vt:i4>30</vt:i4>
      </vt:variant>
      <vt:variant>
        <vt:i4>0</vt:i4>
      </vt:variant>
      <vt:variant>
        <vt:i4>5</vt:i4>
      </vt:variant>
      <vt:variant>
        <vt:lpwstr>https://www.legislation.govt.nz/act/public/2022/0030/latest/whole.html</vt:lpwstr>
      </vt:variant>
      <vt:variant>
        <vt:lpwstr>LMS575549</vt:lpwstr>
      </vt:variant>
      <vt:variant>
        <vt:i4>7405665</vt:i4>
      </vt:variant>
      <vt:variant>
        <vt:i4>27</vt:i4>
      </vt:variant>
      <vt:variant>
        <vt:i4>0</vt:i4>
      </vt:variant>
      <vt:variant>
        <vt:i4>5</vt:i4>
      </vt:variant>
      <vt:variant>
        <vt:lpwstr>https://www.legislation.govt.nz/act/public/2022/0030/latest/whole.html</vt:lpwstr>
      </vt:variant>
      <vt:variant>
        <vt:lpwstr>LMS575547</vt:lpwstr>
      </vt:variant>
      <vt:variant>
        <vt:i4>5177425</vt:i4>
      </vt:variant>
      <vt:variant>
        <vt:i4>24</vt:i4>
      </vt:variant>
      <vt:variant>
        <vt:i4>0</vt:i4>
      </vt:variant>
      <vt:variant>
        <vt:i4>5</vt:i4>
      </vt:variant>
      <vt:variant>
        <vt:lpwstr>https://www.southernhealth.nz/publications/otago-pasifika-secondary-students-visited-dunedin-hospital-explore-health-career?fbclid=IwAR05X_c9YgIbs0JAnnRtGVKU8aeDq7LL0BVtsOV_B7JKP051S0ICmIO7Z4M</vt:lpwstr>
      </vt:variant>
      <vt:variant>
        <vt:lpwstr/>
      </vt:variant>
      <vt:variant>
        <vt:i4>4522075</vt:i4>
      </vt:variant>
      <vt:variant>
        <vt:i4>21</vt:i4>
      </vt:variant>
      <vt:variant>
        <vt:i4>0</vt:i4>
      </vt:variant>
      <vt:variant>
        <vt:i4>5</vt:i4>
      </vt:variant>
      <vt:variant>
        <vt:lpwstr>https://vaccinatecanterburywestcoast.nz/covid-19-vaccination-clinic-locations-on-the-west-coast/</vt:lpwstr>
      </vt:variant>
      <vt:variant>
        <vt:lpwstr/>
      </vt:variant>
      <vt:variant>
        <vt:i4>4522075</vt:i4>
      </vt:variant>
      <vt:variant>
        <vt:i4>18</vt:i4>
      </vt:variant>
      <vt:variant>
        <vt:i4>0</vt:i4>
      </vt:variant>
      <vt:variant>
        <vt:i4>5</vt:i4>
      </vt:variant>
      <vt:variant>
        <vt:lpwstr>https://vaccinatecanterburywestcoast.nz/covid-19-vaccination-clinic-locations-on-the-west-coast/</vt:lpwstr>
      </vt:variant>
      <vt:variant>
        <vt:lpwstr/>
      </vt:variant>
      <vt:variant>
        <vt:i4>196690</vt:i4>
      </vt:variant>
      <vt:variant>
        <vt:i4>15</vt:i4>
      </vt:variant>
      <vt:variant>
        <vt:i4>0</vt:i4>
      </vt:variant>
      <vt:variant>
        <vt:i4>5</vt:i4>
      </vt:variant>
      <vt:variant>
        <vt:lpwstr>https://www.hqsc.govt.nz/consumer-hub/consumer-health-forum-aotearoa/consumer-opportunities/</vt:lpwstr>
      </vt:variant>
      <vt:variant>
        <vt:lpwstr/>
      </vt:variant>
      <vt:variant>
        <vt:i4>196690</vt:i4>
      </vt:variant>
      <vt:variant>
        <vt:i4>12</vt:i4>
      </vt:variant>
      <vt:variant>
        <vt:i4>0</vt:i4>
      </vt:variant>
      <vt:variant>
        <vt:i4>5</vt:i4>
      </vt:variant>
      <vt:variant>
        <vt:lpwstr>https://www.hqsc.govt.nz/consumer-hub/consumer-health-forum-aotearoa/consumer-opportunities/</vt:lpwstr>
      </vt:variant>
      <vt:variant>
        <vt:lpwstr/>
      </vt:variant>
      <vt:variant>
        <vt:i4>5177722</vt:i4>
      </vt:variant>
      <vt:variant>
        <vt:i4>9</vt:i4>
      </vt:variant>
      <vt:variant>
        <vt:i4>0</vt:i4>
      </vt:variant>
      <vt:variant>
        <vt:i4>5</vt:i4>
      </vt:variant>
      <vt:variant>
        <vt:lpwstr>https://hqsc.sharepoint.com/sites/dms-programmes/ConsumerEngagement/Programme Planning/Programme Planning/11. 2022-23 Year 2 - consumer and whānau voice/Q3 reporting/PIC quarterly report Q3(Draft).docx</vt:lpwstr>
      </vt:variant>
      <vt:variant>
        <vt:lpwstr/>
      </vt:variant>
      <vt:variant>
        <vt:i4>2359396</vt:i4>
      </vt:variant>
      <vt:variant>
        <vt:i4>6</vt:i4>
      </vt:variant>
      <vt:variant>
        <vt:i4>0</vt:i4>
      </vt:variant>
      <vt:variant>
        <vt:i4>5</vt:i4>
      </vt:variant>
      <vt:variant>
        <vt:lpwstr>https://www.hqsc.govt.nz/consumer-hub/engaging-consumers-and-whanau/consumer-engagement-quality-and-safety-marker/</vt:lpwstr>
      </vt:variant>
      <vt:variant>
        <vt:lpwstr/>
      </vt:variant>
      <vt:variant>
        <vt:i4>3211384</vt:i4>
      </vt:variant>
      <vt:variant>
        <vt:i4>3</vt:i4>
      </vt:variant>
      <vt:variant>
        <vt:i4>0</vt:i4>
      </vt:variant>
      <vt:variant>
        <vt:i4>5</vt:i4>
      </vt:variant>
      <vt:variant>
        <vt:lpwstr>https://www.hqsc.govt.nz/resources/resource-library/co-design-in-health-free-e-learning-courses-available/</vt:lpwstr>
      </vt:variant>
      <vt:variant>
        <vt:lpwstr/>
      </vt:variant>
      <vt:variant>
        <vt:i4>6815844</vt:i4>
      </vt:variant>
      <vt:variant>
        <vt:i4>0</vt:i4>
      </vt:variant>
      <vt:variant>
        <vt:i4>0</vt:i4>
      </vt:variant>
      <vt:variant>
        <vt:i4>5</vt:i4>
      </vt:variant>
      <vt:variant>
        <vt:lpwstr>https://aus01.safelinks.protection.outlook.com/?url=https%3A%2F%2Fwww.hqsc.govt.nz%2Fnews%2Fa-successful-conclusion-of-our-voices-the-journey-to-healthy-futures-o-matou-reo-te-huarahi-ki-pae-ora%2F&amp;data=05%7C01%7CAllison.Anderson%40hqsc.govt.nz%7C42c0cebbd40240ae521108db9871b099%7C701cefdf35f44444863855f0e12ab1c4%7C0%7C0%7C638271386293173037%7CUnknown%7CTWFpbGZsb3d8eyJWIjoiMC4wLjAwMDAiLCJQIjoiV2luMzIiLCJBTiI6Ik1haWwiLCJXVCI6Mn0%3D%7C3000%7C%7C%7C&amp;sdata=rVWfto2DZvJj21u5RC73yA8YThSb6hD4cJqQQDasQSM%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advisory group minutes September 2023</dc:title>
  <dc:subject/>
  <dc:creator>LIZ BENTLEY</dc:creator>
  <cp:keywords/>
  <cp:lastModifiedBy>Falyn Cranston</cp:lastModifiedBy>
  <cp:revision>3</cp:revision>
  <cp:lastPrinted>2023-02-20T19:48:00Z</cp:lastPrinted>
  <dcterms:created xsi:type="dcterms:W3CDTF">2023-12-07T03:16:00Z</dcterms:created>
  <dcterms:modified xsi:type="dcterms:W3CDTF">2023-12-07T03:16:00Z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HQSC-300-142</vt:lpwstr>
  </property>
  <property fmtid="{D5CDD505-2E9C-101B-9397-08002B2CF9AE}" pid="3" name="_dlc_DocIdItemGuid">
    <vt:lpwstr>4784fab1-46b9-4bcb-954e-626f0a4c865c</vt:lpwstr>
  </property>
  <property fmtid="{D5CDD505-2E9C-101B-9397-08002B2CF9AE}" pid="4" name="_dlc_DocIdUrl">
    <vt:lpwstr>http://intranet.hqsc.local/DMS/Administration/_layouts/DocIdRedir.aspx?ID=HQSC-300-142, HQSC-300-142</vt:lpwstr>
  </property>
  <property fmtid="{D5CDD505-2E9C-101B-9397-08002B2CF9AE}" pid="5" name="ContentTypeId">
    <vt:lpwstr>0x010100EAB69D05848A7E41901D98E2D3D9B5AA</vt:lpwstr>
  </property>
  <property fmtid="{D5CDD505-2E9C-101B-9397-08002B2CF9AE}" pid="6" name="MediaServiceImageTags">
    <vt:lpwstr/>
  </property>
</Properties>
</file>