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1869A" w14:textId="77777777" w:rsidR="0062308A" w:rsidRPr="00091FF8" w:rsidRDefault="0062308A" w:rsidP="00D12FC1">
      <w:pPr>
        <w:jc w:val="center"/>
        <w:rPr>
          <w:rFonts w:cs="Arial"/>
        </w:rPr>
      </w:pPr>
    </w:p>
    <w:p w14:paraId="60D561A3" w14:textId="77777777" w:rsidR="00D12FC1" w:rsidRPr="00091FF8" w:rsidRDefault="004846B0" w:rsidP="00D12FC1">
      <w:pPr>
        <w:jc w:val="center"/>
        <w:rPr>
          <w:rFonts w:cs="Arial"/>
        </w:rPr>
      </w:pPr>
      <w:r w:rsidRPr="00091FF8">
        <w:rPr>
          <w:rFonts w:ascii="Times New Roman"/>
          <w:noProof/>
          <w:sz w:val="20"/>
          <w:lang w:eastAsia="en-NZ"/>
        </w:rPr>
        <w:drawing>
          <wp:anchor distT="0" distB="0" distL="114300" distR="114300" simplePos="0" relativeHeight="251659264" behindDoc="1" locked="0" layoutInCell="1" allowOverlap="1" wp14:anchorId="346012AF" wp14:editId="64B99339">
            <wp:simplePos x="0" y="0"/>
            <wp:positionH relativeFrom="margin">
              <wp:posOffset>1371600</wp:posOffset>
            </wp:positionH>
            <wp:positionV relativeFrom="paragraph">
              <wp:posOffset>32385</wp:posOffset>
            </wp:positionV>
            <wp:extent cx="2849880" cy="845820"/>
            <wp:effectExtent l="0" t="0" r="7620" b="0"/>
            <wp:wrapTight wrapText="bothSides">
              <wp:wrapPolygon edited="0">
                <wp:start x="0" y="0"/>
                <wp:lineTo x="0" y="20919"/>
                <wp:lineTo x="21513" y="20919"/>
                <wp:lineTo x="21513"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9880" cy="845820"/>
                    </a:xfrm>
                    <a:prstGeom prst="rect">
                      <a:avLst/>
                    </a:prstGeom>
                  </pic:spPr>
                </pic:pic>
              </a:graphicData>
            </a:graphic>
            <wp14:sizeRelH relativeFrom="margin">
              <wp14:pctWidth>0</wp14:pctWidth>
            </wp14:sizeRelH>
            <wp14:sizeRelV relativeFrom="margin">
              <wp14:pctHeight>0</wp14:pctHeight>
            </wp14:sizeRelV>
          </wp:anchor>
        </w:drawing>
      </w:r>
    </w:p>
    <w:p w14:paraId="750FA40C" w14:textId="77777777" w:rsidR="00D12FC1" w:rsidRPr="00091FF8" w:rsidRDefault="00D12FC1" w:rsidP="00D12FC1">
      <w:pPr>
        <w:jc w:val="center"/>
        <w:rPr>
          <w:rFonts w:cs="Arial"/>
          <w:color w:val="365F91" w:themeColor="accent1" w:themeShade="BF"/>
          <w:sz w:val="56"/>
          <w:szCs w:val="56"/>
        </w:rPr>
      </w:pPr>
    </w:p>
    <w:p w14:paraId="74154788" w14:textId="77777777" w:rsidR="00D12FC1" w:rsidRPr="00091FF8" w:rsidRDefault="00D12FC1" w:rsidP="00D12FC1">
      <w:pPr>
        <w:jc w:val="center"/>
        <w:rPr>
          <w:rFonts w:cs="Arial"/>
          <w:color w:val="365F91" w:themeColor="accent1" w:themeShade="BF"/>
          <w:sz w:val="56"/>
          <w:szCs w:val="56"/>
        </w:rPr>
      </w:pPr>
    </w:p>
    <w:p w14:paraId="6F663140" w14:textId="77777777" w:rsidR="001D0822" w:rsidRPr="00091FF8" w:rsidRDefault="001D0822" w:rsidP="001D0822">
      <w:pPr>
        <w:jc w:val="center"/>
        <w:rPr>
          <w:rFonts w:cs="Arial"/>
          <w:color w:val="365F91" w:themeColor="accent1" w:themeShade="BF"/>
          <w:sz w:val="56"/>
          <w:szCs w:val="56"/>
        </w:rPr>
      </w:pPr>
    </w:p>
    <w:p w14:paraId="3E7C6667" w14:textId="77777777" w:rsidR="00433D6F" w:rsidRPr="00091FF8" w:rsidRDefault="00433D6F" w:rsidP="00D12FC1">
      <w:pPr>
        <w:jc w:val="center"/>
        <w:rPr>
          <w:rFonts w:cs="Arial"/>
          <w:b/>
          <w:sz w:val="36"/>
          <w:szCs w:val="36"/>
        </w:rPr>
      </w:pPr>
    </w:p>
    <w:p w14:paraId="45714486" w14:textId="6FF62345" w:rsidR="00D12FC1" w:rsidRPr="00091FF8" w:rsidRDefault="005E1603" w:rsidP="00D12FC1">
      <w:pPr>
        <w:jc w:val="center"/>
        <w:rPr>
          <w:rFonts w:cs="Arial"/>
          <w:b/>
          <w:sz w:val="36"/>
          <w:szCs w:val="36"/>
        </w:rPr>
      </w:pPr>
      <w:r w:rsidRPr="00091FF8">
        <w:rPr>
          <w:rFonts w:cs="Arial"/>
          <w:b/>
          <w:sz w:val="36"/>
          <w:szCs w:val="36"/>
        </w:rPr>
        <w:t>Partners in Care co-design programme</w:t>
      </w:r>
      <w:r w:rsidR="00A97FAA">
        <w:rPr>
          <w:rFonts w:cs="Arial"/>
          <w:b/>
          <w:sz w:val="36"/>
          <w:szCs w:val="36"/>
        </w:rPr>
        <w:t>:</w:t>
      </w:r>
    </w:p>
    <w:p w14:paraId="3CB86107" w14:textId="61D53BD8" w:rsidR="00D12FC1" w:rsidRPr="00091FF8" w:rsidRDefault="00971A85" w:rsidP="00D12FC1">
      <w:pPr>
        <w:jc w:val="center"/>
        <w:rPr>
          <w:rFonts w:cs="Arial"/>
          <w:b/>
          <w:sz w:val="36"/>
          <w:szCs w:val="36"/>
        </w:rPr>
      </w:pPr>
      <w:r w:rsidRPr="00091FF8">
        <w:rPr>
          <w:rFonts w:cs="Arial"/>
          <w:b/>
          <w:sz w:val="36"/>
          <w:szCs w:val="36"/>
        </w:rPr>
        <w:t xml:space="preserve">Participant </w:t>
      </w:r>
      <w:r w:rsidR="00E70CF5" w:rsidRPr="00091FF8">
        <w:rPr>
          <w:rFonts w:cs="Arial"/>
          <w:b/>
          <w:sz w:val="36"/>
          <w:szCs w:val="36"/>
        </w:rPr>
        <w:t>feedback report</w:t>
      </w:r>
    </w:p>
    <w:p w14:paraId="2C25C755" w14:textId="3FD89BD4" w:rsidR="002E1666" w:rsidRPr="00091FF8" w:rsidRDefault="005E1603" w:rsidP="00D12FC1">
      <w:pPr>
        <w:jc w:val="center"/>
        <w:rPr>
          <w:rFonts w:cs="Arial"/>
          <w:b/>
          <w:color w:val="365F91" w:themeColor="accent1" w:themeShade="BF"/>
          <w:sz w:val="36"/>
          <w:szCs w:val="36"/>
        </w:rPr>
      </w:pPr>
      <w:r w:rsidRPr="00091FF8">
        <w:rPr>
          <w:rFonts w:cs="Arial"/>
          <w:b/>
          <w:sz w:val="36"/>
          <w:szCs w:val="36"/>
        </w:rPr>
        <w:t>June 2021</w:t>
      </w:r>
    </w:p>
    <w:p w14:paraId="405CDE7F" w14:textId="084AAE45" w:rsidR="002E1666" w:rsidRDefault="005C48F2">
      <w:pPr>
        <w:rPr>
          <w:rFonts w:cs="Arial"/>
          <w:color w:val="365F91" w:themeColor="accent1" w:themeShade="BF"/>
          <w:sz w:val="56"/>
          <w:szCs w:val="56"/>
        </w:rPr>
      </w:pPr>
      <w:r w:rsidRPr="00091FF8">
        <w:rPr>
          <w:noProof/>
        </w:rPr>
        <w:drawing>
          <wp:anchor distT="0" distB="0" distL="114300" distR="114300" simplePos="0" relativeHeight="251660288" behindDoc="0" locked="0" layoutInCell="1" allowOverlap="1" wp14:anchorId="3E51CEC5" wp14:editId="389059A9">
            <wp:simplePos x="0" y="0"/>
            <wp:positionH relativeFrom="page">
              <wp:posOffset>-6992620</wp:posOffset>
            </wp:positionH>
            <wp:positionV relativeFrom="paragraph">
              <wp:posOffset>4388925</wp:posOffset>
            </wp:positionV>
            <wp:extent cx="21636000" cy="1630913"/>
            <wp:effectExtent l="0" t="0" r="508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alphaModFix amt="20000"/>
                      <a:extLst>
                        <a:ext uri="{28A0092B-C50C-407E-A947-70E740481C1C}">
                          <a14:useLocalDpi xmlns:a14="http://schemas.microsoft.com/office/drawing/2010/main" val="0"/>
                        </a:ext>
                      </a:extLst>
                    </a:blip>
                    <a:stretch>
                      <a:fillRect/>
                    </a:stretch>
                  </pic:blipFill>
                  <pic:spPr>
                    <a:xfrm>
                      <a:off x="0" y="0"/>
                      <a:ext cx="21636000" cy="1630913"/>
                    </a:xfrm>
                    <a:prstGeom prst="rect">
                      <a:avLst/>
                    </a:prstGeom>
                  </pic:spPr>
                </pic:pic>
              </a:graphicData>
            </a:graphic>
            <wp14:sizeRelH relativeFrom="margin">
              <wp14:pctWidth>0</wp14:pctWidth>
            </wp14:sizeRelH>
            <wp14:sizeRelV relativeFrom="margin">
              <wp14:pctHeight>0</wp14:pctHeight>
            </wp14:sizeRelV>
          </wp:anchor>
        </w:drawing>
      </w:r>
      <w:r w:rsidR="002E1666" w:rsidRPr="00091FF8">
        <w:rPr>
          <w:rFonts w:cs="Arial"/>
          <w:color w:val="365F91" w:themeColor="accent1" w:themeShade="BF"/>
          <w:sz w:val="56"/>
          <w:szCs w:val="56"/>
        </w:rPr>
        <w:br w:type="page"/>
      </w:r>
    </w:p>
    <w:p w14:paraId="103FEC22" w14:textId="462574ED" w:rsidR="0098410C" w:rsidRPr="0098410C" w:rsidRDefault="0098410C" w:rsidP="004F6B93">
      <w:pPr>
        <w:rPr>
          <w:b/>
          <w:sz w:val="36"/>
          <w:szCs w:val="36"/>
        </w:rPr>
      </w:pPr>
      <w:bookmarkStart w:id="0" w:name="_Toc75167303"/>
      <w:r w:rsidRPr="0098410C">
        <w:rPr>
          <w:b/>
          <w:sz w:val="36"/>
          <w:szCs w:val="36"/>
        </w:rPr>
        <w:lastRenderedPageBreak/>
        <w:t>Contents</w:t>
      </w:r>
    </w:p>
    <w:sdt>
      <w:sdtPr>
        <w:rPr>
          <w:b/>
        </w:rPr>
        <w:id w:val="-344779145"/>
        <w:docPartObj>
          <w:docPartGallery w:val="Table of Contents"/>
          <w:docPartUnique/>
        </w:docPartObj>
      </w:sdtPr>
      <w:sdtEndPr>
        <w:rPr>
          <w:rFonts w:cs="Arial"/>
          <w:b w:val="0"/>
          <w:bCs/>
        </w:rPr>
      </w:sdtEndPr>
      <w:sdtContent>
        <w:bookmarkEnd w:id="0" w:displacedByCustomXml="prev"/>
        <w:p w14:paraId="3C633EE2" w14:textId="2F59BD5A" w:rsidR="005C28AB" w:rsidRDefault="00BB7FC7">
          <w:pPr>
            <w:pStyle w:val="TOC1"/>
            <w:rPr>
              <w:rFonts w:asciiTheme="minorHAnsi" w:eastAsiaTheme="minorEastAsia" w:hAnsiTheme="minorHAnsi"/>
              <w:noProof/>
              <w:lang w:eastAsia="en-NZ"/>
            </w:rPr>
          </w:pPr>
          <w:r w:rsidRPr="00091FF8">
            <w:fldChar w:fldCharType="begin"/>
          </w:r>
          <w:r w:rsidRPr="00091FF8">
            <w:instrText xml:space="preserve"> TOC \o "1-3" \h \z \u </w:instrText>
          </w:r>
          <w:r w:rsidRPr="00091FF8">
            <w:fldChar w:fldCharType="separate"/>
          </w:r>
          <w:hyperlink w:anchor="_Toc75944398" w:history="1">
            <w:r w:rsidR="005C28AB" w:rsidRPr="008949AA">
              <w:rPr>
                <w:rStyle w:val="Hyperlink"/>
                <w:noProof/>
              </w:rPr>
              <w:t>Background</w:t>
            </w:r>
            <w:r w:rsidR="005C28AB">
              <w:rPr>
                <w:noProof/>
                <w:webHidden/>
              </w:rPr>
              <w:tab/>
            </w:r>
            <w:r w:rsidR="005C28AB">
              <w:rPr>
                <w:noProof/>
                <w:webHidden/>
              </w:rPr>
              <w:fldChar w:fldCharType="begin"/>
            </w:r>
            <w:r w:rsidR="005C28AB">
              <w:rPr>
                <w:noProof/>
                <w:webHidden/>
              </w:rPr>
              <w:instrText xml:space="preserve"> PAGEREF _Toc75944398 \h </w:instrText>
            </w:r>
            <w:r w:rsidR="005C28AB">
              <w:rPr>
                <w:noProof/>
                <w:webHidden/>
              </w:rPr>
            </w:r>
            <w:r w:rsidR="005C28AB">
              <w:rPr>
                <w:noProof/>
                <w:webHidden/>
              </w:rPr>
              <w:fldChar w:fldCharType="separate"/>
            </w:r>
            <w:r w:rsidR="00B81915">
              <w:rPr>
                <w:noProof/>
                <w:webHidden/>
              </w:rPr>
              <w:t>3</w:t>
            </w:r>
            <w:r w:rsidR="005C28AB">
              <w:rPr>
                <w:noProof/>
                <w:webHidden/>
              </w:rPr>
              <w:fldChar w:fldCharType="end"/>
            </w:r>
          </w:hyperlink>
        </w:p>
        <w:p w14:paraId="46702D28" w14:textId="1A57F456" w:rsidR="005C28AB" w:rsidRDefault="005C28AB">
          <w:pPr>
            <w:pStyle w:val="TOC2"/>
            <w:rPr>
              <w:rFonts w:asciiTheme="minorHAnsi" w:eastAsiaTheme="minorEastAsia" w:hAnsiTheme="minorHAnsi"/>
              <w:noProof/>
              <w:lang w:eastAsia="en-NZ"/>
            </w:rPr>
          </w:pPr>
          <w:hyperlink w:anchor="_Toc75944399" w:history="1">
            <w:r w:rsidRPr="008949AA">
              <w:rPr>
                <w:rStyle w:val="Hyperlink"/>
                <w:noProof/>
              </w:rPr>
              <w:t>Understanding co-design participants’ knowledge</w:t>
            </w:r>
            <w:r>
              <w:rPr>
                <w:noProof/>
                <w:webHidden/>
              </w:rPr>
              <w:tab/>
            </w:r>
            <w:r>
              <w:rPr>
                <w:noProof/>
                <w:webHidden/>
              </w:rPr>
              <w:fldChar w:fldCharType="begin"/>
            </w:r>
            <w:r>
              <w:rPr>
                <w:noProof/>
                <w:webHidden/>
              </w:rPr>
              <w:instrText xml:space="preserve"> PAGEREF _Toc75944399 \h </w:instrText>
            </w:r>
            <w:r>
              <w:rPr>
                <w:noProof/>
                <w:webHidden/>
              </w:rPr>
            </w:r>
            <w:r>
              <w:rPr>
                <w:noProof/>
                <w:webHidden/>
              </w:rPr>
              <w:fldChar w:fldCharType="separate"/>
            </w:r>
            <w:r w:rsidR="00B81915">
              <w:rPr>
                <w:noProof/>
                <w:webHidden/>
              </w:rPr>
              <w:t>3</w:t>
            </w:r>
            <w:r>
              <w:rPr>
                <w:noProof/>
                <w:webHidden/>
              </w:rPr>
              <w:fldChar w:fldCharType="end"/>
            </w:r>
          </w:hyperlink>
        </w:p>
        <w:p w14:paraId="5D9F8BE3" w14:textId="6C3A9BDF" w:rsidR="005C28AB" w:rsidRDefault="005C28AB">
          <w:pPr>
            <w:pStyle w:val="TOC2"/>
            <w:rPr>
              <w:rFonts w:asciiTheme="minorHAnsi" w:eastAsiaTheme="minorEastAsia" w:hAnsiTheme="minorHAnsi"/>
              <w:noProof/>
              <w:lang w:eastAsia="en-NZ"/>
            </w:rPr>
          </w:pPr>
          <w:hyperlink w:anchor="_Toc75944402" w:history="1">
            <w:r w:rsidRPr="008949AA">
              <w:rPr>
                <w:rStyle w:val="Hyperlink"/>
                <w:noProof/>
              </w:rPr>
              <w:t>Comparing pre- and post-programme confidence ratings</w:t>
            </w:r>
            <w:r>
              <w:rPr>
                <w:noProof/>
                <w:webHidden/>
              </w:rPr>
              <w:tab/>
            </w:r>
            <w:r>
              <w:rPr>
                <w:noProof/>
                <w:webHidden/>
              </w:rPr>
              <w:fldChar w:fldCharType="begin"/>
            </w:r>
            <w:r>
              <w:rPr>
                <w:noProof/>
                <w:webHidden/>
              </w:rPr>
              <w:instrText xml:space="preserve"> PAGEREF _Toc75944402 \h </w:instrText>
            </w:r>
            <w:r>
              <w:rPr>
                <w:noProof/>
                <w:webHidden/>
              </w:rPr>
            </w:r>
            <w:r>
              <w:rPr>
                <w:noProof/>
                <w:webHidden/>
              </w:rPr>
              <w:fldChar w:fldCharType="separate"/>
            </w:r>
            <w:r w:rsidR="00B81915">
              <w:rPr>
                <w:noProof/>
                <w:webHidden/>
              </w:rPr>
              <w:t>5</w:t>
            </w:r>
            <w:r>
              <w:rPr>
                <w:noProof/>
                <w:webHidden/>
              </w:rPr>
              <w:fldChar w:fldCharType="end"/>
            </w:r>
          </w:hyperlink>
        </w:p>
        <w:p w14:paraId="4CC664CC" w14:textId="4177AB0A" w:rsidR="005C28AB" w:rsidRDefault="005C28AB">
          <w:pPr>
            <w:pStyle w:val="TOC1"/>
            <w:rPr>
              <w:rFonts w:asciiTheme="minorHAnsi" w:eastAsiaTheme="minorEastAsia" w:hAnsiTheme="minorHAnsi"/>
              <w:noProof/>
              <w:lang w:eastAsia="en-NZ"/>
            </w:rPr>
          </w:pPr>
          <w:hyperlink w:anchor="_Toc75944403" w:history="1">
            <w:r w:rsidRPr="008949AA">
              <w:rPr>
                <w:rStyle w:val="Hyperlink"/>
                <w:noProof/>
              </w:rPr>
              <w:t>Insights from case studies</w:t>
            </w:r>
            <w:r>
              <w:rPr>
                <w:noProof/>
                <w:webHidden/>
              </w:rPr>
              <w:tab/>
            </w:r>
            <w:r>
              <w:rPr>
                <w:noProof/>
                <w:webHidden/>
              </w:rPr>
              <w:fldChar w:fldCharType="begin"/>
            </w:r>
            <w:r>
              <w:rPr>
                <w:noProof/>
                <w:webHidden/>
              </w:rPr>
              <w:instrText xml:space="preserve"> PAGEREF _Toc75944403 \h </w:instrText>
            </w:r>
            <w:r>
              <w:rPr>
                <w:noProof/>
                <w:webHidden/>
              </w:rPr>
            </w:r>
            <w:r>
              <w:rPr>
                <w:noProof/>
                <w:webHidden/>
              </w:rPr>
              <w:fldChar w:fldCharType="separate"/>
            </w:r>
            <w:r w:rsidR="00B81915">
              <w:rPr>
                <w:noProof/>
                <w:webHidden/>
              </w:rPr>
              <w:t>5</w:t>
            </w:r>
            <w:r>
              <w:rPr>
                <w:noProof/>
                <w:webHidden/>
              </w:rPr>
              <w:fldChar w:fldCharType="end"/>
            </w:r>
          </w:hyperlink>
        </w:p>
        <w:p w14:paraId="0CC22AC1" w14:textId="6532B1F7" w:rsidR="005C28AB" w:rsidRDefault="005C28AB">
          <w:pPr>
            <w:pStyle w:val="TOC1"/>
            <w:rPr>
              <w:rFonts w:asciiTheme="minorHAnsi" w:eastAsiaTheme="minorEastAsia" w:hAnsiTheme="minorHAnsi"/>
              <w:noProof/>
              <w:lang w:eastAsia="en-NZ"/>
            </w:rPr>
          </w:pPr>
          <w:hyperlink w:anchor="_Toc75944408" w:history="1">
            <w:r w:rsidRPr="008949AA">
              <w:rPr>
                <w:rStyle w:val="Hyperlink"/>
                <w:noProof/>
              </w:rPr>
              <w:t>Conclusions</w:t>
            </w:r>
            <w:r>
              <w:rPr>
                <w:noProof/>
                <w:webHidden/>
              </w:rPr>
              <w:tab/>
            </w:r>
            <w:r>
              <w:rPr>
                <w:noProof/>
                <w:webHidden/>
              </w:rPr>
              <w:fldChar w:fldCharType="begin"/>
            </w:r>
            <w:r>
              <w:rPr>
                <w:noProof/>
                <w:webHidden/>
              </w:rPr>
              <w:instrText xml:space="preserve"> PAGEREF _Toc75944408 \h </w:instrText>
            </w:r>
            <w:r>
              <w:rPr>
                <w:noProof/>
                <w:webHidden/>
              </w:rPr>
            </w:r>
            <w:r>
              <w:rPr>
                <w:noProof/>
                <w:webHidden/>
              </w:rPr>
              <w:fldChar w:fldCharType="separate"/>
            </w:r>
            <w:r w:rsidR="00B81915">
              <w:rPr>
                <w:noProof/>
                <w:webHidden/>
              </w:rPr>
              <w:t>7</w:t>
            </w:r>
            <w:r>
              <w:rPr>
                <w:noProof/>
                <w:webHidden/>
              </w:rPr>
              <w:fldChar w:fldCharType="end"/>
            </w:r>
          </w:hyperlink>
        </w:p>
        <w:p w14:paraId="40F57120" w14:textId="0FEEE484" w:rsidR="007E0634" w:rsidRPr="00091FF8" w:rsidRDefault="00BB7FC7" w:rsidP="00433D6F">
          <w:pPr>
            <w:pStyle w:val="TOC1"/>
            <w:rPr>
              <w:rFonts w:cs="Arial"/>
              <w:b/>
              <w:bCs/>
            </w:rPr>
          </w:pPr>
          <w:r w:rsidRPr="00091FF8">
            <w:rPr>
              <w:rFonts w:cs="Arial"/>
              <w:b/>
              <w:bCs/>
            </w:rPr>
            <w:fldChar w:fldCharType="end"/>
          </w:r>
        </w:p>
        <w:p w14:paraId="2301AF3F" w14:textId="77777777" w:rsidR="007E0634" w:rsidRPr="00091FF8" w:rsidRDefault="007E0634" w:rsidP="007E0634"/>
        <w:p w14:paraId="12ACB677" w14:textId="77777777" w:rsidR="007E0634" w:rsidRPr="00091FF8" w:rsidRDefault="007E0634" w:rsidP="007E0634">
          <w:pPr>
            <w:pStyle w:val="BodyText"/>
          </w:pPr>
        </w:p>
        <w:p w14:paraId="06E0BE03" w14:textId="77777777" w:rsidR="00BB7084" w:rsidRPr="00091FF8" w:rsidRDefault="00BB7084" w:rsidP="007E0634">
          <w:pPr>
            <w:pStyle w:val="BodyText"/>
          </w:pPr>
        </w:p>
        <w:p w14:paraId="76E63734" w14:textId="77777777" w:rsidR="00BB7084" w:rsidRPr="00091FF8" w:rsidRDefault="00BB7084" w:rsidP="007E0634">
          <w:pPr>
            <w:pStyle w:val="BodyText"/>
          </w:pPr>
        </w:p>
        <w:p w14:paraId="78E0B5FB" w14:textId="77777777" w:rsidR="00BB7084" w:rsidRPr="00091FF8" w:rsidRDefault="00BB7084" w:rsidP="007E0634">
          <w:pPr>
            <w:pStyle w:val="BodyText"/>
          </w:pPr>
        </w:p>
        <w:p w14:paraId="1B1D3DCB" w14:textId="77777777" w:rsidR="00FD606E" w:rsidRDefault="00FD606E" w:rsidP="00A97FAA">
          <w:pPr>
            <w:pStyle w:val="BodyText"/>
          </w:pPr>
        </w:p>
        <w:p w14:paraId="463A4324" w14:textId="77777777" w:rsidR="00FD606E" w:rsidRDefault="00FD606E" w:rsidP="00A97FAA">
          <w:pPr>
            <w:pStyle w:val="BodyText"/>
          </w:pPr>
        </w:p>
        <w:p w14:paraId="4C6AB0D3" w14:textId="77777777" w:rsidR="00FD606E" w:rsidRDefault="00FD606E" w:rsidP="00A97FAA">
          <w:pPr>
            <w:pStyle w:val="BodyText"/>
          </w:pPr>
        </w:p>
        <w:p w14:paraId="2807D8BB" w14:textId="77777777" w:rsidR="00FD606E" w:rsidRDefault="00FD606E" w:rsidP="00A97FAA">
          <w:pPr>
            <w:pStyle w:val="BodyText"/>
          </w:pPr>
        </w:p>
        <w:p w14:paraId="69344A51" w14:textId="77777777" w:rsidR="00FD606E" w:rsidRDefault="00FD606E" w:rsidP="00A97FAA">
          <w:pPr>
            <w:pStyle w:val="BodyText"/>
          </w:pPr>
        </w:p>
        <w:p w14:paraId="1776B6B1" w14:textId="77777777" w:rsidR="00FD606E" w:rsidRDefault="00FD606E" w:rsidP="00A97FAA">
          <w:pPr>
            <w:pStyle w:val="BodyText"/>
          </w:pPr>
        </w:p>
        <w:p w14:paraId="26A6D121" w14:textId="77777777" w:rsidR="00FD606E" w:rsidRDefault="00FD606E" w:rsidP="00A97FAA">
          <w:pPr>
            <w:pStyle w:val="BodyText"/>
          </w:pPr>
        </w:p>
        <w:p w14:paraId="0223F030" w14:textId="77777777" w:rsidR="00FD606E" w:rsidRDefault="00FD606E" w:rsidP="00A97FAA">
          <w:pPr>
            <w:pStyle w:val="BodyText"/>
          </w:pPr>
        </w:p>
        <w:p w14:paraId="2A35FDF7" w14:textId="77777777" w:rsidR="00FD606E" w:rsidRDefault="00FD606E" w:rsidP="00A97FAA">
          <w:pPr>
            <w:pStyle w:val="BodyText"/>
          </w:pPr>
        </w:p>
        <w:p w14:paraId="2201D157" w14:textId="77777777" w:rsidR="00FD606E" w:rsidRDefault="00FD606E" w:rsidP="00A97FAA">
          <w:pPr>
            <w:pStyle w:val="BodyText"/>
          </w:pPr>
        </w:p>
        <w:p w14:paraId="41651FF4" w14:textId="77777777" w:rsidR="00FD606E" w:rsidRDefault="00FD606E" w:rsidP="00A97FAA">
          <w:pPr>
            <w:pStyle w:val="BodyText"/>
          </w:pPr>
        </w:p>
        <w:p w14:paraId="7D0F64C1" w14:textId="32DA812B" w:rsidR="00A97FAA" w:rsidRDefault="007E0634" w:rsidP="00A97FAA">
          <w:pPr>
            <w:pStyle w:val="BodyText"/>
          </w:pPr>
          <w:r w:rsidRPr="00091FF8">
            <w:t xml:space="preserve">Published </w:t>
          </w:r>
          <w:r w:rsidR="005E1603" w:rsidRPr="00091FF8">
            <w:t>30 June 2021</w:t>
          </w:r>
          <w:r w:rsidR="00A97FAA">
            <w:t xml:space="preserve"> by the H</w:t>
          </w:r>
          <w:r w:rsidRPr="00091FF8">
            <w:t>ealth Quality &amp; Safety Commission New Zealand</w:t>
          </w:r>
        </w:p>
        <w:p w14:paraId="529947CF" w14:textId="77777777" w:rsidR="00A97FAA" w:rsidRDefault="00A97FAA" w:rsidP="00A97FAA">
          <w:pPr>
            <w:pStyle w:val="BodyText"/>
          </w:pPr>
          <w:r>
            <w:t>PO Box 25496, Wellington, New Zealand</w:t>
          </w:r>
        </w:p>
        <w:p w14:paraId="5D64A83D" w14:textId="77777777" w:rsidR="00A97FAA" w:rsidRDefault="00A97FAA" w:rsidP="00A97FAA">
          <w:pPr>
            <w:pStyle w:val="BodyText"/>
          </w:pPr>
          <w:r>
            <w:t>This document is available on the Health Quality &amp; Safety Commission’s website:</w:t>
          </w:r>
        </w:p>
        <w:p w14:paraId="6E075E58" w14:textId="3A52590C" w:rsidR="007E0634" w:rsidRPr="00091FF8" w:rsidRDefault="00A97FAA" w:rsidP="00A97FAA">
          <w:pPr>
            <w:pStyle w:val="BodyText"/>
          </w:pPr>
          <w:hyperlink r:id="rId14" w:history="1">
            <w:r w:rsidRPr="00613795">
              <w:rPr>
                <w:rStyle w:val="Hyperlink"/>
              </w:rPr>
              <w:t>www.hqsc.govt.nz</w:t>
            </w:r>
          </w:hyperlink>
          <w:r>
            <w:t xml:space="preserve"> </w:t>
          </w:r>
        </w:p>
        <w:p w14:paraId="48A7189E" w14:textId="08383913" w:rsidR="007E0634" w:rsidRDefault="007E0634" w:rsidP="007E0634">
          <w:pPr>
            <w:pStyle w:val="BodyText"/>
          </w:pPr>
          <w:r w:rsidRPr="00091FF8">
            <w:t xml:space="preserve">Enquiries to: </w:t>
          </w:r>
          <w:hyperlink r:id="rId15" w:history="1">
            <w:r w:rsidR="00A97FAA" w:rsidRPr="00613795">
              <w:rPr>
                <w:rStyle w:val="Hyperlink"/>
              </w:rPr>
              <w:t>info@hqsc.govt.nz</w:t>
            </w:r>
          </w:hyperlink>
          <w:r w:rsidR="00A97FAA">
            <w:t xml:space="preserve"> </w:t>
          </w:r>
        </w:p>
        <w:p w14:paraId="6FF24DF7" w14:textId="3DA5E22F" w:rsidR="001C7D98" w:rsidRDefault="001C7D98" w:rsidP="007E0634">
          <w:pPr>
            <w:pStyle w:val="BodyText"/>
          </w:pPr>
        </w:p>
        <w:p w14:paraId="1FE2FCD1" w14:textId="77777777" w:rsidR="001C7D98" w:rsidRPr="00091FF8" w:rsidRDefault="001C7D98" w:rsidP="007E0634">
          <w:pPr>
            <w:pStyle w:val="BodyText"/>
          </w:pPr>
        </w:p>
        <w:p w14:paraId="2378A8EF" w14:textId="0E7FA830" w:rsidR="007922E7" w:rsidRPr="00091FF8" w:rsidRDefault="001C7D98" w:rsidP="001C7D98">
          <w:pPr>
            <w:jc w:val="center"/>
          </w:pPr>
          <w:r>
            <w:rPr>
              <w:noProof/>
            </w:rPr>
            <w:drawing>
              <wp:inline distT="0" distB="0" distL="0" distR="0" wp14:anchorId="5263E412" wp14:editId="5C9E2C56">
                <wp:extent cx="2795954" cy="713571"/>
                <wp:effectExtent l="0" t="0" r="444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8691" cy="719374"/>
                        </a:xfrm>
                        <a:prstGeom prst="rect">
                          <a:avLst/>
                        </a:prstGeom>
                      </pic:spPr>
                    </pic:pic>
                  </a:graphicData>
                </a:graphic>
              </wp:inline>
            </w:drawing>
          </w:r>
        </w:p>
      </w:sdtContent>
    </w:sdt>
    <w:p w14:paraId="6FDAF371" w14:textId="288F5F87" w:rsidR="005E1603" w:rsidRPr="00091FF8" w:rsidRDefault="005E1603" w:rsidP="00551B95">
      <w:pPr>
        <w:pStyle w:val="Heading1"/>
        <w:pageBreakBefore/>
      </w:pPr>
      <w:bookmarkStart w:id="1" w:name="_Toc75944398"/>
      <w:r w:rsidRPr="00091FF8">
        <w:lastRenderedPageBreak/>
        <w:t>Background</w:t>
      </w:r>
      <w:bookmarkEnd w:id="1"/>
    </w:p>
    <w:p w14:paraId="3DBA32E2" w14:textId="0514586F" w:rsidR="005E1603" w:rsidRPr="00091FF8" w:rsidRDefault="005E1603" w:rsidP="00882AFF">
      <w:bookmarkStart w:id="2" w:name="_Hlk75945510"/>
      <w:r w:rsidRPr="00091FF8">
        <w:t xml:space="preserve">The </w:t>
      </w:r>
      <w:r w:rsidR="002B755B">
        <w:t xml:space="preserve">Health </w:t>
      </w:r>
      <w:r w:rsidR="002B755B" w:rsidRPr="002B755B">
        <w:t>Quality &amp; Safety Commission</w:t>
      </w:r>
      <w:r w:rsidR="002B755B">
        <w:t>’s</w:t>
      </w:r>
      <w:r w:rsidR="002B755B" w:rsidRPr="002B755B">
        <w:t xml:space="preserve"> </w:t>
      </w:r>
      <w:r w:rsidR="002B755B">
        <w:t xml:space="preserve">(the </w:t>
      </w:r>
      <w:r w:rsidRPr="00091FF8">
        <w:t>Commission’s</w:t>
      </w:r>
      <w:r w:rsidR="002B755B">
        <w:t>)</w:t>
      </w:r>
      <w:r w:rsidRPr="00091FF8">
        <w:t xml:space="preserve"> consumer and whānau engagement programme, Partners in Care, has been delivering a co-design programme to the health and disability sector in collaboration with Dr Lynne Maher (Ko </w:t>
      </w:r>
      <w:proofErr w:type="spellStart"/>
      <w:r w:rsidRPr="00091FF8">
        <w:t>Awatea</w:t>
      </w:r>
      <w:proofErr w:type="spellEnd"/>
      <w:r w:rsidRPr="00091FF8">
        <w:t>, Counties</w:t>
      </w:r>
      <w:r w:rsidR="00A97FAA">
        <w:t xml:space="preserve"> </w:t>
      </w:r>
      <w:r w:rsidRPr="00091FF8">
        <w:t>Manukau Health) for nine years.</w:t>
      </w:r>
      <w:bookmarkEnd w:id="2"/>
      <w:r w:rsidRPr="00091FF8">
        <w:t xml:space="preserve"> Previous case studies and evaluations can be found on the Commission’s website</w:t>
      </w:r>
      <w:r w:rsidR="00A97FAA">
        <w:t xml:space="preserve"> (</w:t>
      </w:r>
      <w:hyperlink r:id="rId17" w:history="1">
        <w:r w:rsidR="00A97FAA" w:rsidRPr="00613795">
          <w:rPr>
            <w:rStyle w:val="Hyperlink"/>
          </w:rPr>
          <w:t>www.hqsc.govt.nz</w:t>
        </w:r>
      </w:hyperlink>
      <w:r w:rsidR="00A97FAA">
        <w:t>)</w:t>
      </w:r>
      <w:r w:rsidRPr="00091FF8">
        <w:t>.</w:t>
      </w:r>
    </w:p>
    <w:p w14:paraId="243B4593" w14:textId="23B6C8BD" w:rsidR="005E1603" w:rsidRPr="00091FF8" w:rsidRDefault="005E1603" w:rsidP="00882AFF">
      <w:r w:rsidRPr="00091FF8">
        <w:t xml:space="preserve">This year (2020/21) the programme sought </w:t>
      </w:r>
      <w:r w:rsidR="00543EB3">
        <w:t>the following outcomes</w:t>
      </w:r>
      <w:r w:rsidRPr="00091FF8">
        <w:t xml:space="preserve"> from the </w:t>
      </w:r>
      <w:bookmarkStart w:id="3" w:name="_Hlk75945443"/>
      <w:r w:rsidRPr="00091FF8">
        <w:t xml:space="preserve">co-design </w:t>
      </w:r>
      <w:r w:rsidR="00655F25" w:rsidRPr="00655F25">
        <w:t xml:space="preserve">in primary care </w:t>
      </w:r>
      <w:r w:rsidRPr="00091FF8">
        <w:t>programme</w:t>
      </w:r>
      <w:bookmarkEnd w:id="3"/>
      <w:r w:rsidRPr="00091FF8">
        <w:t>:</w:t>
      </w:r>
    </w:p>
    <w:p w14:paraId="10E8CD88" w14:textId="7A04C0A7" w:rsidR="005E1603" w:rsidRPr="00091FF8" w:rsidRDefault="007B132B" w:rsidP="00C82B68">
      <w:pPr>
        <w:pStyle w:val="ListNumber"/>
        <w:ind w:left="357" w:hanging="357"/>
        <w:contextualSpacing w:val="0"/>
        <w:rPr>
          <w:lang w:eastAsia="en-NZ"/>
        </w:rPr>
      </w:pPr>
      <w:r>
        <w:rPr>
          <w:lang w:eastAsia="en-NZ"/>
        </w:rPr>
        <w:t xml:space="preserve">Eighty percent </w:t>
      </w:r>
      <w:r w:rsidR="005E1603" w:rsidRPr="00091FF8">
        <w:rPr>
          <w:lang w:eastAsia="en-NZ"/>
        </w:rPr>
        <w:t>of participants will report having a greater understanding of co-design in primary care and how it contributes to improving health outcomes and addressing inequity</w:t>
      </w:r>
      <w:r>
        <w:rPr>
          <w:lang w:eastAsia="en-NZ"/>
        </w:rPr>
        <w:t>.</w:t>
      </w:r>
    </w:p>
    <w:p w14:paraId="4E218590" w14:textId="235FBC62" w:rsidR="005E1603" w:rsidRPr="00091FF8" w:rsidRDefault="005E1603" w:rsidP="00882AFF">
      <w:pPr>
        <w:pStyle w:val="ListNumber"/>
        <w:rPr>
          <w:lang w:eastAsia="en-NZ"/>
        </w:rPr>
      </w:pPr>
      <w:r w:rsidRPr="00091FF8">
        <w:rPr>
          <w:lang w:eastAsia="en-NZ"/>
        </w:rPr>
        <w:t>Case studies will be collected from teams participating in the sessions and workshops and published on the Commission</w:t>
      </w:r>
      <w:r w:rsidR="007B132B">
        <w:rPr>
          <w:lang w:eastAsia="en-NZ"/>
        </w:rPr>
        <w:t>’</w:t>
      </w:r>
      <w:r w:rsidRPr="00091FF8">
        <w:rPr>
          <w:lang w:eastAsia="en-NZ"/>
        </w:rPr>
        <w:t>s website by 30 June 2021.</w:t>
      </w:r>
    </w:p>
    <w:p w14:paraId="770DD720" w14:textId="2ACABCDE" w:rsidR="005E1603" w:rsidRPr="00091FF8" w:rsidRDefault="005E1603" w:rsidP="00882AFF">
      <w:r w:rsidRPr="00091FF8">
        <w:t xml:space="preserve">The following summary responds to </w:t>
      </w:r>
      <w:r w:rsidR="00543EB3">
        <w:t>the first outcome</w:t>
      </w:r>
      <w:r w:rsidRPr="00091FF8">
        <w:t>.</w:t>
      </w:r>
    </w:p>
    <w:p w14:paraId="6902E374" w14:textId="24742B71" w:rsidR="005E1603" w:rsidRPr="00091FF8" w:rsidRDefault="005E1603" w:rsidP="005E1603">
      <w:pPr>
        <w:pStyle w:val="Heading2"/>
      </w:pPr>
      <w:bookmarkStart w:id="4" w:name="_Toc75944399"/>
      <w:r w:rsidRPr="00091FF8">
        <w:t>Understanding co-design participants’ knowledge</w:t>
      </w:r>
      <w:bookmarkEnd w:id="4"/>
    </w:p>
    <w:p w14:paraId="2EDCCAA9" w14:textId="488612A8" w:rsidR="005E1603" w:rsidRPr="00091FF8" w:rsidRDefault="005E1603" w:rsidP="00882AFF">
      <w:r w:rsidRPr="00091FF8">
        <w:t>Face-to-face workshops for the co-design in primary care programme took place in Auckland, Tauranga, Hawke’s Bay and Wellington. A pre</w:t>
      </w:r>
      <w:r w:rsidR="007B132B">
        <w:t>-</w:t>
      </w:r>
      <w:r w:rsidRPr="00091FF8">
        <w:t>programme survey (completed by 35 participants across the four</w:t>
      </w:r>
      <w:r w:rsidR="00C82B68">
        <w:t xml:space="preserve"> face-to-face</w:t>
      </w:r>
      <w:r w:rsidRPr="00091FF8">
        <w:t xml:space="preserve"> workshops) was administered at each workshop. Questions were asked about ethnicity</w:t>
      </w:r>
      <w:r w:rsidR="00B16816">
        <w:t xml:space="preserve"> (Table 1)</w:t>
      </w:r>
      <w:r w:rsidRPr="00091FF8">
        <w:t>, whether participants were providers or consumers, the confidence they had in using co-design</w:t>
      </w:r>
      <w:r w:rsidR="007B36F1">
        <w:t xml:space="preserve"> (Table 2)</w:t>
      </w:r>
      <w:r w:rsidRPr="00091FF8">
        <w:t xml:space="preserve"> and their prior experience of it. </w:t>
      </w:r>
    </w:p>
    <w:p w14:paraId="67576FFD" w14:textId="58C1E375" w:rsidR="005E1603" w:rsidRPr="00091FF8" w:rsidRDefault="00CA6D07" w:rsidP="005E1603">
      <w:pPr>
        <w:pStyle w:val="Heading3"/>
      </w:pPr>
      <w:bookmarkStart w:id="5" w:name="_Toc75944400"/>
      <w:r>
        <w:t>Pre-programme</w:t>
      </w:r>
      <w:r w:rsidR="005E1603" w:rsidRPr="00091FF8">
        <w:t xml:space="preserve"> survey</w:t>
      </w:r>
      <w:bookmarkEnd w:id="5"/>
    </w:p>
    <w:p w14:paraId="7B07F213" w14:textId="7D43AD16" w:rsidR="00266E2F" w:rsidRPr="00091FF8" w:rsidRDefault="00551B95" w:rsidP="000C78C6">
      <w:pPr>
        <w:pStyle w:val="Caption"/>
      </w:pPr>
      <w:r>
        <w:t xml:space="preserve">Table 1: </w:t>
      </w:r>
      <w:r w:rsidR="00266E2F" w:rsidRPr="00091FF8">
        <w:t>Participant ethnicity</w:t>
      </w:r>
    </w:p>
    <w:tbl>
      <w:tblPr>
        <w:tblStyle w:val="TableGrid"/>
        <w:tblpPr w:leftFromText="180" w:rightFromText="180" w:vertAnchor="text" w:horzAnchor="margin" w:tblpY="2"/>
        <w:tblW w:w="0" w:type="auto"/>
        <w:tblLook w:val="04A0" w:firstRow="1" w:lastRow="0" w:firstColumn="1" w:lastColumn="0" w:noHBand="0" w:noVBand="1"/>
      </w:tblPr>
      <w:tblGrid>
        <w:gridCol w:w="4485"/>
        <w:gridCol w:w="1350"/>
      </w:tblGrid>
      <w:tr w:rsidR="00266E2F" w:rsidRPr="00551B95" w14:paraId="3FE5CC7C" w14:textId="77777777" w:rsidTr="00882AFF">
        <w:tc>
          <w:tcPr>
            <w:tcW w:w="0" w:type="auto"/>
            <w:tcBorders>
              <w:bottom w:val="single" w:sz="4" w:space="0" w:color="auto"/>
            </w:tcBorders>
            <w:shd w:val="clear" w:color="auto" w:fill="D9D9D9" w:themeFill="background1" w:themeFillShade="D9"/>
          </w:tcPr>
          <w:p w14:paraId="7ADEC2F4" w14:textId="11187CBE" w:rsidR="00266E2F" w:rsidRPr="00551B95" w:rsidRDefault="00266E2F" w:rsidP="00C207F4">
            <w:pPr>
              <w:spacing w:before="60" w:after="60"/>
              <w:rPr>
                <w:rFonts w:cs="Arial"/>
                <w:b/>
                <w:sz w:val="20"/>
                <w:szCs w:val="20"/>
              </w:rPr>
            </w:pPr>
            <w:r w:rsidRPr="00551B95">
              <w:rPr>
                <w:rFonts w:cs="Arial"/>
                <w:b/>
                <w:sz w:val="20"/>
                <w:szCs w:val="20"/>
              </w:rPr>
              <w:t>Ethnicity</w:t>
            </w:r>
          </w:p>
        </w:tc>
        <w:tc>
          <w:tcPr>
            <w:tcW w:w="0" w:type="auto"/>
            <w:tcBorders>
              <w:bottom w:val="single" w:sz="4" w:space="0" w:color="auto"/>
            </w:tcBorders>
            <w:shd w:val="clear" w:color="auto" w:fill="D9D9D9" w:themeFill="background1" w:themeFillShade="D9"/>
          </w:tcPr>
          <w:p w14:paraId="4EE9F4D0" w14:textId="32EE4774" w:rsidR="00266E2F" w:rsidRPr="00551B95" w:rsidRDefault="00266E2F" w:rsidP="00882AFF">
            <w:pPr>
              <w:spacing w:before="60" w:after="60"/>
              <w:jc w:val="center"/>
              <w:rPr>
                <w:rFonts w:cs="Arial"/>
                <w:b/>
                <w:sz w:val="20"/>
                <w:szCs w:val="20"/>
              </w:rPr>
            </w:pPr>
            <w:r w:rsidRPr="00551B95">
              <w:rPr>
                <w:rFonts w:cs="Arial"/>
                <w:b/>
                <w:sz w:val="20"/>
                <w:szCs w:val="20"/>
              </w:rPr>
              <w:t>Number of</w:t>
            </w:r>
            <w:r w:rsidR="00882AFF" w:rsidRPr="00551B95">
              <w:rPr>
                <w:rFonts w:cs="Arial"/>
                <w:b/>
                <w:sz w:val="20"/>
                <w:szCs w:val="20"/>
              </w:rPr>
              <w:br/>
            </w:r>
            <w:r w:rsidRPr="00551B95">
              <w:rPr>
                <w:rFonts w:cs="Arial"/>
                <w:b/>
                <w:sz w:val="20"/>
                <w:szCs w:val="20"/>
              </w:rPr>
              <w:t>participants</w:t>
            </w:r>
          </w:p>
        </w:tc>
      </w:tr>
      <w:tr w:rsidR="00266E2F" w:rsidRPr="00551B95" w14:paraId="6F1C5795" w14:textId="77777777" w:rsidTr="00882AFF">
        <w:tc>
          <w:tcPr>
            <w:tcW w:w="0" w:type="auto"/>
            <w:tcBorders>
              <w:bottom w:val="single" w:sz="4" w:space="0" w:color="auto"/>
            </w:tcBorders>
          </w:tcPr>
          <w:p w14:paraId="6DE28018" w14:textId="5664C403" w:rsidR="00266E2F" w:rsidRPr="00551B95" w:rsidRDefault="00266E2F" w:rsidP="00C207F4">
            <w:pPr>
              <w:spacing w:before="60" w:after="60"/>
              <w:rPr>
                <w:rFonts w:cs="Arial"/>
                <w:sz w:val="20"/>
                <w:szCs w:val="20"/>
              </w:rPr>
            </w:pPr>
            <w:r w:rsidRPr="00551B95">
              <w:rPr>
                <w:rFonts w:cs="Arial"/>
                <w:sz w:val="20"/>
                <w:szCs w:val="20"/>
              </w:rPr>
              <w:t>Māori</w:t>
            </w:r>
          </w:p>
        </w:tc>
        <w:tc>
          <w:tcPr>
            <w:tcW w:w="0" w:type="auto"/>
            <w:tcBorders>
              <w:bottom w:val="single" w:sz="4" w:space="0" w:color="auto"/>
            </w:tcBorders>
          </w:tcPr>
          <w:p w14:paraId="25591926" w14:textId="50712513" w:rsidR="00266E2F" w:rsidRPr="00551B95" w:rsidRDefault="00266E2F" w:rsidP="00882AFF">
            <w:pPr>
              <w:spacing w:before="60" w:after="60"/>
              <w:jc w:val="center"/>
              <w:rPr>
                <w:rFonts w:cs="Arial"/>
                <w:sz w:val="20"/>
                <w:szCs w:val="20"/>
              </w:rPr>
            </w:pPr>
            <w:r w:rsidRPr="00551B95">
              <w:rPr>
                <w:rFonts w:cs="Arial"/>
                <w:sz w:val="20"/>
                <w:szCs w:val="20"/>
              </w:rPr>
              <w:t>11</w:t>
            </w:r>
          </w:p>
        </w:tc>
      </w:tr>
      <w:tr w:rsidR="00266E2F" w:rsidRPr="00551B95" w14:paraId="28B36776" w14:textId="77777777" w:rsidTr="00882AFF">
        <w:tc>
          <w:tcPr>
            <w:tcW w:w="0" w:type="auto"/>
            <w:tcBorders>
              <w:top w:val="single" w:sz="4" w:space="0" w:color="auto"/>
              <w:bottom w:val="single" w:sz="4" w:space="0" w:color="auto"/>
            </w:tcBorders>
          </w:tcPr>
          <w:p w14:paraId="2D58DC9A" w14:textId="27DD75BC" w:rsidR="00266E2F" w:rsidRPr="00551B95" w:rsidRDefault="00266E2F" w:rsidP="00C207F4">
            <w:pPr>
              <w:spacing w:before="60" w:after="60"/>
              <w:rPr>
                <w:rFonts w:cs="Arial"/>
                <w:sz w:val="20"/>
                <w:szCs w:val="20"/>
              </w:rPr>
            </w:pPr>
            <w:r w:rsidRPr="00551B95">
              <w:rPr>
                <w:rFonts w:cs="Arial"/>
                <w:sz w:val="20"/>
                <w:szCs w:val="20"/>
              </w:rPr>
              <w:t>Pacific</w:t>
            </w:r>
            <w:r w:rsidR="00A97FAA">
              <w:rPr>
                <w:rFonts w:cs="Arial"/>
                <w:sz w:val="20"/>
                <w:szCs w:val="20"/>
              </w:rPr>
              <w:t xml:space="preserve"> peoples</w:t>
            </w:r>
          </w:p>
        </w:tc>
        <w:tc>
          <w:tcPr>
            <w:tcW w:w="0" w:type="auto"/>
            <w:tcBorders>
              <w:top w:val="single" w:sz="4" w:space="0" w:color="auto"/>
              <w:bottom w:val="single" w:sz="4" w:space="0" w:color="auto"/>
            </w:tcBorders>
          </w:tcPr>
          <w:p w14:paraId="4513C1F5" w14:textId="1FA823BE" w:rsidR="00266E2F" w:rsidRPr="00551B95" w:rsidRDefault="00266E2F" w:rsidP="00882AFF">
            <w:pPr>
              <w:spacing w:before="60" w:after="60"/>
              <w:jc w:val="center"/>
              <w:rPr>
                <w:rFonts w:cs="Arial"/>
                <w:sz w:val="20"/>
                <w:szCs w:val="20"/>
              </w:rPr>
            </w:pPr>
            <w:r w:rsidRPr="00551B95">
              <w:rPr>
                <w:rFonts w:cs="Arial"/>
                <w:sz w:val="20"/>
                <w:szCs w:val="20"/>
              </w:rPr>
              <w:t>4</w:t>
            </w:r>
          </w:p>
        </w:tc>
      </w:tr>
      <w:tr w:rsidR="00266E2F" w:rsidRPr="00551B95" w14:paraId="795CEBC1" w14:textId="77777777" w:rsidTr="00882AFF">
        <w:tc>
          <w:tcPr>
            <w:tcW w:w="0" w:type="auto"/>
            <w:tcBorders>
              <w:top w:val="single" w:sz="4" w:space="0" w:color="auto"/>
              <w:bottom w:val="single" w:sz="4" w:space="0" w:color="auto"/>
            </w:tcBorders>
          </w:tcPr>
          <w:p w14:paraId="0594E40D" w14:textId="765531B6" w:rsidR="00266E2F" w:rsidRPr="00551B95" w:rsidRDefault="00266E2F" w:rsidP="00C207F4">
            <w:pPr>
              <w:spacing w:before="60" w:after="60"/>
              <w:rPr>
                <w:rFonts w:cs="Arial"/>
                <w:sz w:val="20"/>
                <w:szCs w:val="20"/>
              </w:rPr>
            </w:pPr>
            <w:r w:rsidRPr="00551B95">
              <w:rPr>
                <w:rFonts w:cs="Arial"/>
                <w:sz w:val="20"/>
                <w:szCs w:val="20"/>
              </w:rPr>
              <w:t>Asian</w:t>
            </w:r>
          </w:p>
        </w:tc>
        <w:tc>
          <w:tcPr>
            <w:tcW w:w="0" w:type="auto"/>
            <w:tcBorders>
              <w:top w:val="single" w:sz="4" w:space="0" w:color="auto"/>
              <w:bottom w:val="single" w:sz="4" w:space="0" w:color="auto"/>
            </w:tcBorders>
          </w:tcPr>
          <w:p w14:paraId="3BFD7375" w14:textId="2DFC5E50" w:rsidR="00266E2F" w:rsidRPr="00551B95" w:rsidRDefault="00266E2F" w:rsidP="00882AFF">
            <w:pPr>
              <w:spacing w:before="60" w:after="60"/>
              <w:jc w:val="center"/>
              <w:rPr>
                <w:rFonts w:cs="Arial"/>
                <w:sz w:val="20"/>
                <w:szCs w:val="20"/>
              </w:rPr>
            </w:pPr>
            <w:r w:rsidRPr="00551B95">
              <w:rPr>
                <w:rFonts w:cs="Arial"/>
                <w:sz w:val="20"/>
                <w:szCs w:val="20"/>
              </w:rPr>
              <w:t>2</w:t>
            </w:r>
          </w:p>
        </w:tc>
      </w:tr>
      <w:tr w:rsidR="00266E2F" w:rsidRPr="00551B95" w14:paraId="32A08CFA" w14:textId="77777777" w:rsidTr="00882AFF">
        <w:tc>
          <w:tcPr>
            <w:tcW w:w="0" w:type="auto"/>
            <w:tcBorders>
              <w:top w:val="single" w:sz="4" w:space="0" w:color="auto"/>
              <w:bottom w:val="single" w:sz="4" w:space="0" w:color="auto"/>
            </w:tcBorders>
          </w:tcPr>
          <w:p w14:paraId="7CCD4458" w14:textId="7E314BDD" w:rsidR="00266E2F" w:rsidRPr="00551B95" w:rsidRDefault="00551B95" w:rsidP="00C207F4">
            <w:pPr>
              <w:spacing w:before="60" w:after="60"/>
              <w:rPr>
                <w:rFonts w:cs="Arial"/>
                <w:sz w:val="20"/>
                <w:szCs w:val="20"/>
              </w:rPr>
            </w:pPr>
            <w:r w:rsidRPr="00551B95">
              <w:rPr>
                <w:rFonts w:cs="Arial"/>
                <w:sz w:val="20"/>
                <w:szCs w:val="20"/>
              </w:rPr>
              <w:t xml:space="preserve">Middle Eastern/Latin American/African </w:t>
            </w:r>
            <w:r>
              <w:rPr>
                <w:rFonts w:cs="Arial"/>
                <w:sz w:val="20"/>
                <w:szCs w:val="20"/>
              </w:rPr>
              <w:t>(</w:t>
            </w:r>
            <w:r w:rsidR="00266E2F" w:rsidRPr="00551B95">
              <w:rPr>
                <w:rFonts w:cs="Arial"/>
                <w:sz w:val="20"/>
                <w:szCs w:val="20"/>
              </w:rPr>
              <w:t>MELAA</w:t>
            </w:r>
            <w:r>
              <w:rPr>
                <w:rFonts w:cs="Arial"/>
                <w:sz w:val="20"/>
                <w:szCs w:val="20"/>
              </w:rPr>
              <w:t>)</w:t>
            </w:r>
          </w:p>
        </w:tc>
        <w:tc>
          <w:tcPr>
            <w:tcW w:w="0" w:type="auto"/>
            <w:tcBorders>
              <w:top w:val="single" w:sz="4" w:space="0" w:color="auto"/>
              <w:bottom w:val="single" w:sz="4" w:space="0" w:color="auto"/>
            </w:tcBorders>
          </w:tcPr>
          <w:p w14:paraId="69C3E046" w14:textId="45BAEED1" w:rsidR="00266E2F" w:rsidRPr="00551B95" w:rsidRDefault="00266E2F" w:rsidP="00882AFF">
            <w:pPr>
              <w:spacing w:before="60" w:after="60"/>
              <w:jc w:val="center"/>
              <w:rPr>
                <w:rFonts w:cs="Arial"/>
                <w:sz w:val="20"/>
                <w:szCs w:val="20"/>
              </w:rPr>
            </w:pPr>
            <w:r w:rsidRPr="00551B95">
              <w:rPr>
                <w:rFonts w:cs="Arial"/>
                <w:sz w:val="20"/>
                <w:szCs w:val="20"/>
              </w:rPr>
              <w:t>1</w:t>
            </w:r>
          </w:p>
        </w:tc>
      </w:tr>
      <w:tr w:rsidR="00266E2F" w:rsidRPr="00551B95" w14:paraId="0C634B6C" w14:textId="77777777" w:rsidTr="00882AFF">
        <w:tc>
          <w:tcPr>
            <w:tcW w:w="0" w:type="auto"/>
            <w:tcBorders>
              <w:top w:val="single" w:sz="4" w:space="0" w:color="auto"/>
              <w:bottom w:val="single" w:sz="4" w:space="0" w:color="auto"/>
            </w:tcBorders>
          </w:tcPr>
          <w:p w14:paraId="544D2FCE" w14:textId="745F5E17" w:rsidR="00266E2F" w:rsidRPr="00551B95" w:rsidRDefault="00266E2F" w:rsidP="00C207F4">
            <w:pPr>
              <w:spacing w:before="60" w:after="60"/>
              <w:rPr>
                <w:rFonts w:cs="Arial"/>
                <w:sz w:val="20"/>
                <w:szCs w:val="20"/>
              </w:rPr>
            </w:pPr>
            <w:r w:rsidRPr="00551B95">
              <w:rPr>
                <w:rFonts w:cs="Arial"/>
                <w:sz w:val="20"/>
                <w:szCs w:val="20"/>
              </w:rPr>
              <w:t>NZ European</w:t>
            </w:r>
          </w:p>
        </w:tc>
        <w:tc>
          <w:tcPr>
            <w:tcW w:w="0" w:type="auto"/>
            <w:tcBorders>
              <w:top w:val="single" w:sz="4" w:space="0" w:color="auto"/>
              <w:bottom w:val="single" w:sz="4" w:space="0" w:color="auto"/>
            </w:tcBorders>
          </w:tcPr>
          <w:p w14:paraId="302FDBA3" w14:textId="462CA74A" w:rsidR="00266E2F" w:rsidRPr="00551B95" w:rsidRDefault="00266E2F" w:rsidP="00882AFF">
            <w:pPr>
              <w:spacing w:before="60" w:after="60"/>
              <w:jc w:val="center"/>
              <w:rPr>
                <w:rFonts w:cs="Arial"/>
                <w:sz w:val="20"/>
                <w:szCs w:val="20"/>
              </w:rPr>
            </w:pPr>
            <w:r w:rsidRPr="00551B95">
              <w:rPr>
                <w:rFonts w:cs="Arial"/>
                <w:sz w:val="20"/>
                <w:szCs w:val="20"/>
              </w:rPr>
              <w:t>16</w:t>
            </w:r>
          </w:p>
        </w:tc>
      </w:tr>
    </w:tbl>
    <w:p w14:paraId="665F8F43" w14:textId="77777777" w:rsidR="00266E2F" w:rsidRPr="00091FF8" w:rsidRDefault="00266E2F" w:rsidP="00266E2F"/>
    <w:p w14:paraId="4A1A5E7B" w14:textId="77777777" w:rsidR="005E1603" w:rsidRPr="00091FF8" w:rsidRDefault="005E1603" w:rsidP="005E1603">
      <w:pPr>
        <w:rPr>
          <w:rFonts w:cs="Arial"/>
          <w:b/>
          <w:bCs/>
          <w:sz w:val="20"/>
          <w:szCs w:val="20"/>
        </w:rPr>
      </w:pPr>
    </w:p>
    <w:p w14:paraId="7A0EB951" w14:textId="77777777" w:rsidR="005E1603" w:rsidRPr="00091FF8" w:rsidRDefault="005E1603" w:rsidP="005E1603">
      <w:pPr>
        <w:rPr>
          <w:rFonts w:cs="Arial"/>
          <w:sz w:val="20"/>
          <w:szCs w:val="20"/>
        </w:rPr>
      </w:pPr>
    </w:p>
    <w:p w14:paraId="099DF5B1" w14:textId="77777777" w:rsidR="00266E2F" w:rsidRPr="00091FF8" w:rsidRDefault="00266E2F" w:rsidP="005E1603">
      <w:pPr>
        <w:rPr>
          <w:rFonts w:cs="Arial"/>
          <w:sz w:val="20"/>
          <w:szCs w:val="20"/>
        </w:rPr>
      </w:pPr>
    </w:p>
    <w:p w14:paraId="42A6C05E" w14:textId="77777777" w:rsidR="00266E2F" w:rsidRPr="00091FF8" w:rsidRDefault="00266E2F" w:rsidP="005E1603">
      <w:pPr>
        <w:rPr>
          <w:rFonts w:cs="Arial"/>
          <w:sz w:val="20"/>
          <w:szCs w:val="20"/>
        </w:rPr>
      </w:pPr>
    </w:p>
    <w:p w14:paraId="246A2B5A" w14:textId="77777777" w:rsidR="00266E2F" w:rsidRPr="00091FF8" w:rsidRDefault="00266E2F" w:rsidP="005E1603">
      <w:pPr>
        <w:rPr>
          <w:rFonts w:cs="Arial"/>
          <w:sz w:val="20"/>
          <w:szCs w:val="20"/>
        </w:rPr>
      </w:pPr>
    </w:p>
    <w:p w14:paraId="505B8DC6" w14:textId="3E095F5F" w:rsidR="00FA4E1A" w:rsidRPr="00091FF8" w:rsidRDefault="008B291C" w:rsidP="00A97FAA">
      <w:pPr>
        <w:spacing w:before="240"/>
      </w:pPr>
      <w:r>
        <w:t>Twenty-nine</w:t>
      </w:r>
      <w:r w:rsidR="00266E2F" w:rsidRPr="00091FF8">
        <w:t xml:space="preserve"> </w:t>
      </w:r>
      <w:r>
        <w:t xml:space="preserve">participants </w:t>
      </w:r>
      <w:r w:rsidR="00266E2F" w:rsidRPr="00091FF8">
        <w:t xml:space="preserve">categorised themselves as a provider, </w:t>
      </w:r>
      <w:r>
        <w:t>four</w:t>
      </w:r>
      <w:r w:rsidR="00266E2F" w:rsidRPr="00091FF8">
        <w:t xml:space="preserve"> </w:t>
      </w:r>
      <w:r w:rsidR="007B36F1">
        <w:t xml:space="preserve">as </w:t>
      </w:r>
      <w:r w:rsidR="00266E2F" w:rsidRPr="00091FF8">
        <w:t xml:space="preserve">a consumer, and one as ‘both’. </w:t>
      </w:r>
    </w:p>
    <w:p w14:paraId="34D4B35C" w14:textId="4835AEA3" w:rsidR="00E46190" w:rsidRPr="00091FF8" w:rsidRDefault="005E1603" w:rsidP="000C78C6">
      <w:r w:rsidRPr="00091FF8">
        <w:t>Of the 3</w:t>
      </w:r>
      <w:r w:rsidR="00E46190" w:rsidRPr="00091FF8">
        <w:t>4</w:t>
      </w:r>
      <w:r w:rsidRPr="00091FF8">
        <w:t xml:space="preserve"> participants who completed the </w:t>
      </w:r>
      <w:r w:rsidR="00793A41">
        <w:t>p</w:t>
      </w:r>
      <w:r w:rsidR="00CA6D07" w:rsidRPr="00CA6D07">
        <w:t>re-programme</w:t>
      </w:r>
      <w:r w:rsidR="00CA6D07">
        <w:t xml:space="preserve"> </w:t>
      </w:r>
      <w:r w:rsidRPr="00091FF8">
        <w:t>survey</w:t>
      </w:r>
      <w:r w:rsidR="008B291C">
        <w:t>,</w:t>
      </w:r>
      <w:r w:rsidRPr="00091FF8">
        <w:t xml:space="preserve"> 26 had no experience of co-design, while the remainder had some experience. Not surprisingly, confidence ratings in using co-design were low</w:t>
      </w:r>
      <w:r w:rsidR="008B291C">
        <w:t>,</w:t>
      </w:r>
      <w:r w:rsidRPr="00091FF8">
        <w:t xml:space="preserve"> with only </w:t>
      </w:r>
      <w:r w:rsidR="008B291C">
        <w:t>six</w:t>
      </w:r>
      <w:r w:rsidRPr="00091FF8">
        <w:t xml:space="preserve"> participants indicating some degree of confidence</w:t>
      </w:r>
      <w:r w:rsidR="00E67B1A">
        <w:t xml:space="preserve"> (Table 2)</w:t>
      </w:r>
      <w:r w:rsidRPr="00091FF8">
        <w:t>.</w:t>
      </w:r>
    </w:p>
    <w:p w14:paraId="38EA2DD3" w14:textId="4E798F56" w:rsidR="00E46190" w:rsidRPr="00091FF8" w:rsidRDefault="00551B95" w:rsidP="000C78C6">
      <w:pPr>
        <w:pStyle w:val="Caption"/>
      </w:pPr>
      <w:bookmarkStart w:id="6" w:name="_Hlk75166897"/>
      <w:bookmarkStart w:id="7" w:name="_Hlk75166758"/>
      <w:r>
        <w:lastRenderedPageBreak/>
        <w:t xml:space="preserve">Table 2: </w:t>
      </w:r>
      <w:r w:rsidR="00793A41" w:rsidRPr="00793A41">
        <w:t>Pre-programme</w:t>
      </w:r>
      <w:r w:rsidR="00793A41">
        <w:t xml:space="preserve"> </w:t>
      </w:r>
      <w:r w:rsidR="00E46190" w:rsidRPr="00091FF8">
        <w:t>confidence ratings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057"/>
        <w:gridCol w:w="317"/>
        <w:gridCol w:w="317"/>
        <w:gridCol w:w="317"/>
        <w:gridCol w:w="317"/>
        <w:gridCol w:w="1216"/>
        <w:gridCol w:w="317"/>
        <w:gridCol w:w="317"/>
        <w:gridCol w:w="317"/>
        <w:gridCol w:w="317"/>
        <w:gridCol w:w="1114"/>
        <w:gridCol w:w="1777"/>
      </w:tblGrid>
      <w:tr w:rsidR="00E67B1A" w:rsidRPr="00882AFF" w14:paraId="2A36FAA4" w14:textId="77777777" w:rsidTr="00C82B68">
        <w:trPr>
          <w:trHeight w:val="20"/>
        </w:trPr>
        <w:tc>
          <w:tcPr>
            <w:tcW w:w="751" w:type="pct"/>
            <w:shd w:val="clear" w:color="auto" w:fill="D9D9D9" w:themeFill="background1" w:themeFillShade="D9"/>
          </w:tcPr>
          <w:p w14:paraId="46C5EF36" w14:textId="77777777" w:rsidR="00E67B1A" w:rsidRPr="00882AFF" w:rsidRDefault="00E67B1A" w:rsidP="00C82B68">
            <w:pPr>
              <w:keepNext/>
              <w:spacing w:before="60" w:after="60" w:line="240" w:lineRule="auto"/>
              <w:rPr>
                <w:rFonts w:cs="Arial"/>
                <w:b/>
                <w:sz w:val="18"/>
                <w:szCs w:val="18"/>
              </w:rPr>
            </w:pPr>
          </w:p>
        </w:tc>
        <w:tc>
          <w:tcPr>
            <w:tcW w:w="584" w:type="pct"/>
            <w:shd w:val="clear" w:color="auto" w:fill="D9D9D9" w:themeFill="background1" w:themeFillShade="D9"/>
            <w:vAlign w:val="bottom"/>
            <w:hideMark/>
          </w:tcPr>
          <w:p w14:paraId="0AECC834" w14:textId="4FECB418" w:rsidR="00E67B1A" w:rsidRPr="00882AFF" w:rsidRDefault="00E67B1A" w:rsidP="00C82B68">
            <w:pPr>
              <w:keepNext/>
              <w:spacing w:before="60" w:after="60" w:line="240" w:lineRule="auto"/>
              <w:rPr>
                <w:rFonts w:cs="Arial"/>
                <w:b/>
                <w:sz w:val="18"/>
                <w:szCs w:val="18"/>
              </w:rPr>
            </w:pPr>
            <w:r w:rsidRPr="00882AFF">
              <w:rPr>
                <w:rFonts w:cs="Arial"/>
                <w:b/>
                <w:sz w:val="18"/>
                <w:szCs w:val="18"/>
              </w:rPr>
              <w:t>Not at all confident</w:t>
            </w:r>
          </w:p>
        </w:tc>
        <w:tc>
          <w:tcPr>
            <w:tcW w:w="175" w:type="pct"/>
            <w:shd w:val="clear" w:color="auto" w:fill="D9D9D9" w:themeFill="background1" w:themeFillShade="D9"/>
            <w:noWrap/>
            <w:vAlign w:val="bottom"/>
            <w:hideMark/>
          </w:tcPr>
          <w:p w14:paraId="38C9307C" w14:textId="77777777" w:rsidR="00E67B1A" w:rsidRPr="00882AFF" w:rsidRDefault="00E67B1A" w:rsidP="00C82B68">
            <w:pPr>
              <w:keepNext/>
              <w:spacing w:before="60" w:after="60" w:line="240" w:lineRule="auto"/>
              <w:rPr>
                <w:rFonts w:cs="Arial"/>
                <w:b/>
                <w:sz w:val="18"/>
                <w:szCs w:val="18"/>
              </w:rPr>
            </w:pPr>
          </w:p>
        </w:tc>
        <w:tc>
          <w:tcPr>
            <w:tcW w:w="175" w:type="pct"/>
            <w:shd w:val="clear" w:color="auto" w:fill="D9D9D9" w:themeFill="background1" w:themeFillShade="D9"/>
            <w:noWrap/>
            <w:vAlign w:val="bottom"/>
            <w:hideMark/>
          </w:tcPr>
          <w:p w14:paraId="1955C45D" w14:textId="77777777" w:rsidR="00E67B1A" w:rsidRPr="00882AFF" w:rsidRDefault="00E67B1A" w:rsidP="00C82B68">
            <w:pPr>
              <w:keepNext/>
              <w:spacing w:before="60" w:after="60" w:line="240" w:lineRule="auto"/>
              <w:rPr>
                <w:rFonts w:cs="Arial"/>
                <w:b/>
                <w:sz w:val="18"/>
                <w:szCs w:val="18"/>
              </w:rPr>
            </w:pPr>
          </w:p>
        </w:tc>
        <w:tc>
          <w:tcPr>
            <w:tcW w:w="175" w:type="pct"/>
            <w:shd w:val="clear" w:color="auto" w:fill="D9D9D9" w:themeFill="background1" w:themeFillShade="D9"/>
            <w:noWrap/>
            <w:vAlign w:val="bottom"/>
            <w:hideMark/>
          </w:tcPr>
          <w:p w14:paraId="0A5AE9EC" w14:textId="77777777" w:rsidR="00E67B1A" w:rsidRPr="00882AFF" w:rsidRDefault="00E67B1A" w:rsidP="00C82B68">
            <w:pPr>
              <w:keepNext/>
              <w:spacing w:before="60" w:after="60" w:line="240" w:lineRule="auto"/>
              <w:rPr>
                <w:rFonts w:cs="Arial"/>
                <w:b/>
                <w:sz w:val="18"/>
                <w:szCs w:val="18"/>
              </w:rPr>
            </w:pPr>
          </w:p>
        </w:tc>
        <w:tc>
          <w:tcPr>
            <w:tcW w:w="175" w:type="pct"/>
            <w:shd w:val="clear" w:color="auto" w:fill="D9D9D9" w:themeFill="background1" w:themeFillShade="D9"/>
            <w:noWrap/>
            <w:vAlign w:val="bottom"/>
            <w:hideMark/>
          </w:tcPr>
          <w:p w14:paraId="5CCCB6CF" w14:textId="77777777" w:rsidR="00E67B1A" w:rsidRPr="00882AFF" w:rsidRDefault="00E67B1A" w:rsidP="00C82B68">
            <w:pPr>
              <w:keepNext/>
              <w:spacing w:before="60" w:after="60" w:line="240" w:lineRule="auto"/>
              <w:rPr>
                <w:rFonts w:cs="Arial"/>
                <w:b/>
                <w:sz w:val="18"/>
                <w:szCs w:val="18"/>
              </w:rPr>
            </w:pPr>
          </w:p>
        </w:tc>
        <w:tc>
          <w:tcPr>
            <w:tcW w:w="671" w:type="pct"/>
            <w:shd w:val="clear" w:color="auto" w:fill="D9D9D9" w:themeFill="background1" w:themeFillShade="D9"/>
            <w:vAlign w:val="bottom"/>
            <w:hideMark/>
          </w:tcPr>
          <w:p w14:paraId="348E0641" w14:textId="77777777" w:rsidR="00E67B1A" w:rsidRPr="00882AFF" w:rsidRDefault="00E67B1A" w:rsidP="00C82B68">
            <w:pPr>
              <w:keepNext/>
              <w:spacing w:before="60" w:after="60" w:line="240" w:lineRule="auto"/>
              <w:rPr>
                <w:rFonts w:cs="Arial"/>
                <w:b/>
                <w:sz w:val="18"/>
                <w:szCs w:val="18"/>
              </w:rPr>
            </w:pPr>
            <w:r w:rsidRPr="00882AFF">
              <w:rPr>
                <w:rFonts w:cs="Arial"/>
                <w:b/>
                <w:sz w:val="18"/>
                <w:szCs w:val="18"/>
              </w:rPr>
              <w:t>Moderately confident</w:t>
            </w:r>
          </w:p>
        </w:tc>
        <w:tc>
          <w:tcPr>
            <w:tcW w:w="175" w:type="pct"/>
            <w:shd w:val="clear" w:color="auto" w:fill="D9D9D9" w:themeFill="background1" w:themeFillShade="D9"/>
            <w:noWrap/>
            <w:vAlign w:val="bottom"/>
            <w:hideMark/>
          </w:tcPr>
          <w:p w14:paraId="4792CA66" w14:textId="77777777" w:rsidR="00E67B1A" w:rsidRPr="00882AFF" w:rsidRDefault="00E67B1A" w:rsidP="00C82B68">
            <w:pPr>
              <w:keepNext/>
              <w:spacing w:before="60" w:after="60" w:line="240" w:lineRule="auto"/>
              <w:rPr>
                <w:rFonts w:cs="Arial"/>
                <w:b/>
                <w:sz w:val="18"/>
                <w:szCs w:val="18"/>
              </w:rPr>
            </w:pPr>
          </w:p>
        </w:tc>
        <w:tc>
          <w:tcPr>
            <w:tcW w:w="175" w:type="pct"/>
            <w:shd w:val="clear" w:color="auto" w:fill="D9D9D9" w:themeFill="background1" w:themeFillShade="D9"/>
            <w:noWrap/>
            <w:vAlign w:val="bottom"/>
            <w:hideMark/>
          </w:tcPr>
          <w:p w14:paraId="656B7C46" w14:textId="77777777" w:rsidR="00E67B1A" w:rsidRPr="00882AFF" w:rsidRDefault="00E67B1A" w:rsidP="00C82B68">
            <w:pPr>
              <w:keepNext/>
              <w:spacing w:before="60" w:after="60" w:line="240" w:lineRule="auto"/>
              <w:rPr>
                <w:rFonts w:cs="Arial"/>
                <w:b/>
                <w:sz w:val="18"/>
                <w:szCs w:val="18"/>
              </w:rPr>
            </w:pPr>
          </w:p>
        </w:tc>
        <w:tc>
          <w:tcPr>
            <w:tcW w:w="175" w:type="pct"/>
            <w:shd w:val="clear" w:color="auto" w:fill="D9D9D9" w:themeFill="background1" w:themeFillShade="D9"/>
            <w:noWrap/>
            <w:vAlign w:val="bottom"/>
            <w:hideMark/>
          </w:tcPr>
          <w:p w14:paraId="678B85BC" w14:textId="77777777" w:rsidR="00E67B1A" w:rsidRPr="00882AFF" w:rsidRDefault="00E67B1A" w:rsidP="00C82B68">
            <w:pPr>
              <w:keepNext/>
              <w:spacing w:before="60" w:after="60" w:line="240" w:lineRule="auto"/>
              <w:rPr>
                <w:rFonts w:cs="Arial"/>
                <w:b/>
                <w:sz w:val="18"/>
                <w:szCs w:val="18"/>
              </w:rPr>
            </w:pPr>
          </w:p>
        </w:tc>
        <w:tc>
          <w:tcPr>
            <w:tcW w:w="175" w:type="pct"/>
            <w:shd w:val="clear" w:color="auto" w:fill="D9D9D9" w:themeFill="background1" w:themeFillShade="D9"/>
            <w:noWrap/>
            <w:vAlign w:val="bottom"/>
            <w:hideMark/>
          </w:tcPr>
          <w:p w14:paraId="6E96643F" w14:textId="77777777" w:rsidR="00E67B1A" w:rsidRPr="00882AFF" w:rsidRDefault="00E67B1A" w:rsidP="00C82B68">
            <w:pPr>
              <w:keepNext/>
              <w:spacing w:before="60" w:after="60" w:line="240" w:lineRule="auto"/>
              <w:rPr>
                <w:rFonts w:cs="Arial"/>
                <w:b/>
                <w:sz w:val="18"/>
                <w:szCs w:val="18"/>
              </w:rPr>
            </w:pPr>
          </w:p>
        </w:tc>
        <w:tc>
          <w:tcPr>
            <w:tcW w:w="615" w:type="pct"/>
            <w:shd w:val="clear" w:color="auto" w:fill="D9D9D9" w:themeFill="background1" w:themeFillShade="D9"/>
            <w:vAlign w:val="bottom"/>
            <w:hideMark/>
          </w:tcPr>
          <w:p w14:paraId="1A90B4C2" w14:textId="77777777" w:rsidR="00E67B1A" w:rsidRPr="00882AFF" w:rsidRDefault="00E67B1A" w:rsidP="00C82B68">
            <w:pPr>
              <w:keepNext/>
              <w:spacing w:before="60" w:after="60" w:line="240" w:lineRule="auto"/>
              <w:rPr>
                <w:rFonts w:cs="Arial"/>
                <w:b/>
                <w:sz w:val="18"/>
                <w:szCs w:val="18"/>
              </w:rPr>
            </w:pPr>
            <w:r w:rsidRPr="00882AFF">
              <w:rPr>
                <w:rFonts w:cs="Arial"/>
                <w:b/>
                <w:sz w:val="18"/>
                <w:szCs w:val="18"/>
              </w:rPr>
              <w:t>Extremely confident</w:t>
            </w:r>
          </w:p>
        </w:tc>
        <w:tc>
          <w:tcPr>
            <w:tcW w:w="981" w:type="pct"/>
            <w:vMerge w:val="restart"/>
            <w:shd w:val="clear" w:color="auto" w:fill="D9D9D9" w:themeFill="background1" w:themeFillShade="D9"/>
            <w:noWrap/>
            <w:vAlign w:val="center"/>
            <w:hideMark/>
          </w:tcPr>
          <w:p w14:paraId="3C73314C" w14:textId="77777777" w:rsidR="00E67B1A" w:rsidRPr="00882AFF" w:rsidRDefault="00E67B1A" w:rsidP="00C82B68">
            <w:pPr>
              <w:keepNext/>
              <w:spacing w:before="60" w:after="60" w:line="240" w:lineRule="auto"/>
              <w:jc w:val="center"/>
              <w:rPr>
                <w:rFonts w:cs="Arial"/>
                <w:b/>
                <w:sz w:val="18"/>
                <w:szCs w:val="18"/>
              </w:rPr>
            </w:pPr>
            <w:r w:rsidRPr="00882AFF">
              <w:rPr>
                <w:rFonts w:cs="Arial"/>
                <w:b/>
                <w:sz w:val="18"/>
                <w:szCs w:val="18"/>
              </w:rPr>
              <w:t>Total respondents</w:t>
            </w:r>
          </w:p>
        </w:tc>
      </w:tr>
      <w:tr w:rsidR="00E67B1A" w:rsidRPr="00882AFF" w14:paraId="102C5302" w14:textId="77777777" w:rsidTr="00E67B1A">
        <w:trPr>
          <w:trHeight w:val="20"/>
        </w:trPr>
        <w:tc>
          <w:tcPr>
            <w:tcW w:w="751" w:type="pct"/>
            <w:shd w:val="clear" w:color="auto" w:fill="D9D9D9" w:themeFill="background1" w:themeFillShade="D9"/>
          </w:tcPr>
          <w:p w14:paraId="0EC0AC2F" w14:textId="1B9DD567" w:rsidR="00E67B1A" w:rsidRPr="00882AFF" w:rsidRDefault="00E67B1A" w:rsidP="00C82B68">
            <w:pPr>
              <w:keepNext/>
              <w:spacing w:before="60" w:after="60" w:line="240" w:lineRule="auto"/>
              <w:rPr>
                <w:rFonts w:cs="Arial"/>
                <w:b/>
                <w:sz w:val="18"/>
                <w:szCs w:val="18"/>
              </w:rPr>
            </w:pPr>
            <w:r w:rsidRPr="00882AFF">
              <w:rPr>
                <w:rFonts w:cs="Arial"/>
                <w:b/>
                <w:sz w:val="18"/>
                <w:szCs w:val="18"/>
              </w:rPr>
              <w:t>Rating</w:t>
            </w:r>
          </w:p>
        </w:tc>
        <w:tc>
          <w:tcPr>
            <w:tcW w:w="584" w:type="pct"/>
            <w:shd w:val="clear" w:color="auto" w:fill="D9D9D9" w:themeFill="background1" w:themeFillShade="D9"/>
            <w:noWrap/>
            <w:vAlign w:val="bottom"/>
            <w:hideMark/>
          </w:tcPr>
          <w:p w14:paraId="1A3A2ABD" w14:textId="3276B313"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0</w:t>
            </w:r>
          </w:p>
        </w:tc>
        <w:tc>
          <w:tcPr>
            <w:tcW w:w="175" w:type="pct"/>
            <w:shd w:val="clear" w:color="auto" w:fill="D9D9D9" w:themeFill="background1" w:themeFillShade="D9"/>
            <w:noWrap/>
            <w:vAlign w:val="bottom"/>
            <w:hideMark/>
          </w:tcPr>
          <w:p w14:paraId="4486613D"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1</w:t>
            </w:r>
          </w:p>
        </w:tc>
        <w:tc>
          <w:tcPr>
            <w:tcW w:w="175" w:type="pct"/>
            <w:shd w:val="clear" w:color="auto" w:fill="D9D9D9" w:themeFill="background1" w:themeFillShade="D9"/>
            <w:noWrap/>
            <w:vAlign w:val="bottom"/>
            <w:hideMark/>
          </w:tcPr>
          <w:p w14:paraId="724D2D0F"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2</w:t>
            </w:r>
          </w:p>
        </w:tc>
        <w:tc>
          <w:tcPr>
            <w:tcW w:w="175" w:type="pct"/>
            <w:shd w:val="clear" w:color="auto" w:fill="D9D9D9" w:themeFill="background1" w:themeFillShade="D9"/>
            <w:noWrap/>
            <w:vAlign w:val="bottom"/>
            <w:hideMark/>
          </w:tcPr>
          <w:p w14:paraId="15C698BB"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3</w:t>
            </w:r>
          </w:p>
        </w:tc>
        <w:tc>
          <w:tcPr>
            <w:tcW w:w="175" w:type="pct"/>
            <w:shd w:val="clear" w:color="auto" w:fill="D9D9D9" w:themeFill="background1" w:themeFillShade="D9"/>
            <w:noWrap/>
            <w:vAlign w:val="bottom"/>
            <w:hideMark/>
          </w:tcPr>
          <w:p w14:paraId="7EDDF035"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4</w:t>
            </w:r>
          </w:p>
        </w:tc>
        <w:tc>
          <w:tcPr>
            <w:tcW w:w="671" w:type="pct"/>
            <w:shd w:val="clear" w:color="auto" w:fill="D9D9D9" w:themeFill="background1" w:themeFillShade="D9"/>
            <w:noWrap/>
            <w:vAlign w:val="bottom"/>
            <w:hideMark/>
          </w:tcPr>
          <w:p w14:paraId="23551CE3"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5</w:t>
            </w:r>
          </w:p>
        </w:tc>
        <w:tc>
          <w:tcPr>
            <w:tcW w:w="175" w:type="pct"/>
            <w:shd w:val="clear" w:color="auto" w:fill="D9D9D9" w:themeFill="background1" w:themeFillShade="D9"/>
            <w:noWrap/>
            <w:vAlign w:val="bottom"/>
            <w:hideMark/>
          </w:tcPr>
          <w:p w14:paraId="1341FF38"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6</w:t>
            </w:r>
          </w:p>
        </w:tc>
        <w:tc>
          <w:tcPr>
            <w:tcW w:w="175" w:type="pct"/>
            <w:shd w:val="clear" w:color="auto" w:fill="D9D9D9" w:themeFill="background1" w:themeFillShade="D9"/>
            <w:noWrap/>
            <w:vAlign w:val="bottom"/>
            <w:hideMark/>
          </w:tcPr>
          <w:p w14:paraId="65E8B725"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7</w:t>
            </w:r>
          </w:p>
        </w:tc>
        <w:tc>
          <w:tcPr>
            <w:tcW w:w="175" w:type="pct"/>
            <w:shd w:val="clear" w:color="auto" w:fill="D9D9D9" w:themeFill="background1" w:themeFillShade="D9"/>
            <w:noWrap/>
            <w:vAlign w:val="bottom"/>
            <w:hideMark/>
          </w:tcPr>
          <w:p w14:paraId="2BC7024D"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8</w:t>
            </w:r>
          </w:p>
        </w:tc>
        <w:tc>
          <w:tcPr>
            <w:tcW w:w="175" w:type="pct"/>
            <w:shd w:val="clear" w:color="auto" w:fill="D9D9D9" w:themeFill="background1" w:themeFillShade="D9"/>
            <w:noWrap/>
            <w:vAlign w:val="bottom"/>
            <w:hideMark/>
          </w:tcPr>
          <w:p w14:paraId="0CB0011E"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9</w:t>
            </w:r>
          </w:p>
        </w:tc>
        <w:tc>
          <w:tcPr>
            <w:tcW w:w="615" w:type="pct"/>
            <w:shd w:val="clear" w:color="auto" w:fill="D9D9D9" w:themeFill="background1" w:themeFillShade="D9"/>
            <w:noWrap/>
            <w:vAlign w:val="bottom"/>
            <w:hideMark/>
          </w:tcPr>
          <w:p w14:paraId="572797C4" w14:textId="77777777" w:rsidR="00E67B1A" w:rsidRPr="00C82B68" w:rsidRDefault="00E67B1A" w:rsidP="00C82B68">
            <w:pPr>
              <w:keepNext/>
              <w:spacing w:before="60" w:after="60" w:line="240" w:lineRule="auto"/>
              <w:jc w:val="center"/>
              <w:rPr>
                <w:rFonts w:cs="Arial"/>
                <w:b/>
                <w:sz w:val="18"/>
                <w:szCs w:val="18"/>
              </w:rPr>
            </w:pPr>
            <w:r w:rsidRPr="00C82B68">
              <w:rPr>
                <w:rFonts w:cs="Arial"/>
                <w:b/>
                <w:sz w:val="18"/>
                <w:szCs w:val="18"/>
              </w:rPr>
              <w:t>10</w:t>
            </w:r>
          </w:p>
        </w:tc>
        <w:tc>
          <w:tcPr>
            <w:tcW w:w="981" w:type="pct"/>
            <w:vMerge/>
            <w:shd w:val="clear" w:color="auto" w:fill="D9D9D9" w:themeFill="background1" w:themeFillShade="D9"/>
            <w:noWrap/>
            <w:vAlign w:val="bottom"/>
            <w:hideMark/>
          </w:tcPr>
          <w:p w14:paraId="24F61910" w14:textId="77777777" w:rsidR="00E67B1A" w:rsidRPr="00C82B68" w:rsidRDefault="00E67B1A" w:rsidP="00C82B68">
            <w:pPr>
              <w:keepNext/>
              <w:spacing w:before="60" w:after="60" w:line="240" w:lineRule="auto"/>
              <w:jc w:val="center"/>
              <w:rPr>
                <w:rFonts w:cs="Arial"/>
                <w:b/>
                <w:sz w:val="18"/>
                <w:szCs w:val="18"/>
              </w:rPr>
            </w:pPr>
          </w:p>
        </w:tc>
      </w:tr>
      <w:tr w:rsidR="002E6E5B" w:rsidRPr="00882AFF" w14:paraId="763D5AA5" w14:textId="77777777" w:rsidTr="00E67B1A">
        <w:trPr>
          <w:trHeight w:val="20"/>
        </w:trPr>
        <w:tc>
          <w:tcPr>
            <w:tcW w:w="751" w:type="pct"/>
            <w:shd w:val="clear" w:color="auto" w:fill="auto"/>
          </w:tcPr>
          <w:p w14:paraId="0740CAD9" w14:textId="4FDF7CE9" w:rsidR="002E6E5B" w:rsidRPr="00882AFF" w:rsidRDefault="002E6E5B" w:rsidP="00CB469F">
            <w:pPr>
              <w:spacing w:before="60" w:after="60" w:line="240" w:lineRule="auto"/>
              <w:rPr>
                <w:rFonts w:cs="Arial"/>
                <w:b/>
                <w:sz w:val="18"/>
                <w:szCs w:val="18"/>
              </w:rPr>
            </w:pPr>
            <w:r w:rsidRPr="00882AFF">
              <w:rPr>
                <w:rFonts w:cs="Arial"/>
                <w:b/>
                <w:sz w:val="18"/>
                <w:szCs w:val="18"/>
              </w:rPr>
              <w:t>Number of respondents</w:t>
            </w:r>
          </w:p>
        </w:tc>
        <w:tc>
          <w:tcPr>
            <w:tcW w:w="584" w:type="pct"/>
            <w:shd w:val="clear" w:color="auto" w:fill="auto"/>
            <w:noWrap/>
            <w:vAlign w:val="bottom"/>
            <w:hideMark/>
          </w:tcPr>
          <w:p w14:paraId="0F791F30" w14:textId="109A371B"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4</w:t>
            </w:r>
          </w:p>
        </w:tc>
        <w:tc>
          <w:tcPr>
            <w:tcW w:w="175" w:type="pct"/>
            <w:shd w:val="clear" w:color="auto" w:fill="auto"/>
            <w:noWrap/>
            <w:vAlign w:val="bottom"/>
            <w:hideMark/>
          </w:tcPr>
          <w:p w14:paraId="34AE3567" w14:textId="77777777"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3</w:t>
            </w:r>
          </w:p>
        </w:tc>
        <w:tc>
          <w:tcPr>
            <w:tcW w:w="175" w:type="pct"/>
            <w:shd w:val="clear" w:color="auto" w:fill="auto"/>
            <w:noWrap/>
            <w:vAlign w:val="bottom"/>
            <w:hideMark/>
          </w:tcPr>
          <w:p w14:paraId="1A437667" w14:textId="77777777"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3</w:t>
            </w:r>
          </w:p>
        </w:tc>
        <w:tc>
          <w:tcPr>
            <w:tcW w:w="175" w:type="pct"/>
            <w:shd w:val="clear" w:color="auto" w:fill="auto"/>
            <w:noWrap/>
            <w:vAlign w:val="bottom"/>
            <w:hideMark/>
          </w:tcPr>
          <w:p w14:paraId="292219EC" w14:textId="77777777"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4</w:t>
            </w:r>
          </w:p>
        </w:tc>
        <w:tc>
          <w:tcPr>
            <w:tcW w:w="175" w:type="pct"/>
            <w:shd w:val="clear" w:color="auto" w:fill="auto"/>
            <w:noWrap/>
            <w:vAlign w:val="bottom"/>
            <w:hideMark/>
          </w:tcPr>
          <w:p w14:paraId="1C4937AC" w14:textId="77777777"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9</w:t>
            </w:r>
          </w:p>
        </w:tc>
        <w:tc>
          <w:tcPr>
            <w:tcW w:w="671" w:type="pct"/>
            <w:shd w:val="clear" w:color="auto" w:fill="auto"/>
            <w:noWrap/>
            <w:vAlign w:val="bottom"/>
            <w:hideMark/>
          </w:tcPr>
          <w:p w14:paraId="3FE97928" w14:textId="77777777"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4</w:t>
            </w:r>
          </w:p>
        </w:tc>
        <w:tc>
          <w:tcPr>
            <w:tcW w:w="175" w:type="pct"/>
            <w:shd w:val="clear" w:color="auto" w:fill="auto"/>
            <w:noWrap/>
            <w:vAlign w:val="bottom"/>
            <w:hideMark/>
          </w:tcPr>
          <w:p w14:paraId="7AD9CBCB" w14:textId="77777777"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3</w:t>
            </w:r>
          </w:p>
        </w:tc>
        <w:tc>
          <w:tcPr>
            <w:tcW w:w="175" w:type="pct"/>
            <w:shd w:val="clear" w:color="auto" w:fill="auto"/>
            <w:noWrap/>
            <w:vAlign w:val="bottom"/>
            <w:hideMark/>
          </w:tcPr>
          <w:p w14:paraId="106C29E7" w14:textId="77777777"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3</w:t>
            </w:r>
          </w:p>
        </w:tc>
        <w:tc>
          <w:tcPr>
            <w:tcW w:w="175" w:type="pct"/>
            <w:shd w:val="clear" w:color="auto" w:fill="auto"/>
            <w:noWrap/>
            <w:vAlign w:val="bottom"/>
            <w:hideMark/>
          </w:tcPr>
          <w:p w14:paraId="20903FD6" w14:textId="2E3C4286" w:rsidR="002E6E5B" w:rsidRPr="00882AFF" w:rsidRDefault="00647963" w:rsidP="00C207F4">
            <w:pPr>
              <w:spacing w:before="60" w:after="60" w:line="240" w:lineRule="auto"/>
              <w:jc w:val="center"/>
              <w:rPr>
                <w:rFonts w:cs="Arial"/>
                <w:bCs/>
                <w:sz w:val="18"/>
                <w:szCs w:val="18"/>
              </w:rPr>
            </w:pPr>
            <w:r>
              <w:rPr>
                <w:rFonts w:cs="Arial"/>
                <w:bCs/>
                <w:sz w:val="18"/>
                <w:szCs w:val="18"/>
              </w:rPr>
              <w:t>0</w:t>
            </w:r>
          </w:p>
        </w:tc>
        <w:tc>
          <w:tcPr>
            <w:tcW w:w="175" w:type="pct"/>
            <w:shd w:val="clear" w:color="auto" w:fill="auto"/>
            <w:noWrap/>
            <w:vAlign w:val="bottom"/>
            <w:hideMark/>
          </w:tcPr>
          <w:p w14:paraId="58EDC211" w14:textId="58D0D855" w:rsidR="002E6E5B" w:rsidRPr="00882AFF" w:rsidRDefault="00647963" w:rsidP="00C207F4">
            <w:pPr>
              <w:spacing w:before="60" w:after="60" w:line="240" w:lineRule="auto"/>
              <w:rPr>
                <w:rFonts w:cs="Arial"/>
                <w:bCs/>
                <w:sz w:val="18"/>
                <w:szCs w:val="18"/>
              </w:rPr>
            </w:pPr>
            <w:r>
              <w:rPr>
                <w:rFonts w:cs="Arial"/>
                <w:bCs/>
                <w:sz w:val="18"/>
                <w:szCs w:val="18"/>
              </w:rPr>
              <w:t>0</w:t>
            </w:r>
          </w:p>
        </w:tc>
        <w:tc>
          <w:tcPr>
            <w:tcW w:w="615" w:type="pct"/>
            <w:shd w:val="clear" w:color="auto" w:fill="auto"/>
            <w:noWrap/>
            <w:vAlign w:val="bottom"/>
            <w:hideMark/>
          </w:tcPr>
          <w:p w14:paraId="343AF166" w14:textId="77777777"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1</w:t>
            </w:r>
          </w:p>
        </w:tc>
        <w:tc>
          <w:tcPr>
            <w:tcW w:w="981" w:type="pct"/>
            <w:shd w:val="clear" w:color="auto" w:fill="auto"/>
            <w:noWrap/>
            <w:vAlign w:val="bottom"/>
            <w:hideMark/>
          </w:tcPr>
          <w:p w14:paraId="544BAD1F" w14:textId="77777777" w:rsidR="002E6E5B" w:rsidRPr="00882AFF" w:rsidRDefault="002E6E5B" w:rsidP="00C207F4">
            <w:pPr>
              <w:spacing w:before="60" w:after="60" w:line="240" w:lineRule="auto"/>
              <w:jc w:val="center"/>
              <w:rPr>
                <w:rFonts w:cs="Arial"/>
                <w:bCs/>
                <w:sz w:val="18"/>
                <w:szCs w:val="18"/>
              </w:rPr>
            </w:pPr>
            <w:r w:rsidRPr="00882AFF">
              <w:rPr>
                <w:rFonts w:cs="Arial"/>
                <w:bCs/>
                <w:sz w:val="18"/>
                <w:szCs w:val="18"/>
              </w:rPr>
              <w:t>34</w:t>
            </w:r>
          </w:p>
        </w:tc>
      </w:tr>
    </w:tbl>
    <w:p w14:paraId="4599CEBB" w14:textId="287CB434" w:rsidR="005E1603" w:rsidRPr="00091FF8" w:rsidRDefault="00793A41" w:rsidP="000C78C6">
      <w:pPr>
        <w:pStyle w:val="Heading3"/>
      </w:pPr>
      <w:bookmarkStart w:id="8" w:name="_Toc75944401"/>
      <w:bookmarkEnd w:id="6"/>
      <w:bookmarkEnd w:id="7"/>
      <w:r>
        <w:t>Post</w:t>
      </w:r>
      <w:r w:rsidRPr="00793A41">
        <w:t>-programme</w:t>
      </w:r>
      <w:r>
        <w:t xml:space="preserve"> </w:t>
      </w:r>
      <w:r w:rsidR="005E1603" w:rsidRPr="00091FF8">
        <w:t>survey</w:t>
      </w:r>
      <w:bookmarkEnd w:id="8"/>
    </w:p>
    <w:p w14:paraId="2AD4B6AE" w14:textId="7D6CB513" w:rsidR="003264D9" w:rsidRPr="00091FF8" w:rsidRDefault="005E1603" w:rsidP="000C78C6">
      <w:r w:rsidRPr="00091FF8">
        <w:t>A post</w:t>
      </w:r>
      <w:r w:rsidR="00647963">
        <w:t>-</w:t>
      </w:r>
      <w:r w:rsidRPr="00091FF8">
        <w:t>programme survey (completed by 25 participants) administered at the second full</w:t>
      </w:r>
      <w:r w:rsidR="000579EE">
        <w:t>-</w:t>
      </w:r>
      <w:r w:rsidRPr="00091FF8">
        <w:t xml:space="preserve">day set of workshops sought information on the relevance of the content and acquisition of new knowledge and skills. </w:t>
      </w:r>
      <w:r w:rsidRPr="00091FF8">
        <w:rPr>
          <w:rFonts w:eastAsia="Times New Roman"/>
          <w:color w:val="000000"/>
          <w:lang w:eastAsia="en-NZ"/>
        </w:rPr>
        <w:t>All participants agreed that the content of the workshop was relevant to them or their workplace</w:t>
      </w:r>
      <w:r w:rsidR="007D493F">
        <w:rPr>
          <w:rFonts w:eastAsia="Times New Roman"/>
          <w:color w:val="000000"/>
          <w:lang w:eastAsia="en-NZ"/>
        </w:rPr>
        <w:t xml:space="preserve">, and all reported </w:t>
      </w:r>
      <w:r w:rsidR="007D493F" w:rsidRPr="007D493F">
        <w:rPr>
          <w:rFonts w:eastAsia="Times New Roman"/>
          <w:color w:val="000000"/>
          <w:lang w:eastAsia="en-NZ"/>
        </w:rPr>
        <w:t>some degree of confidence</w:t>
      </w:r>
      <w:r w:rsidR="00541981">
        <w:rPr>
          <w:rFonts w:eastAsia="Times New Roman"/>
          <w:color w:val="000000"/>
          <w:lang w:eastAsia="en-NZ"/>
        </w:rPr>
        <w:t xml:space="preserve"> in </w:t>
      </w:r>
      <w:r w:rsidR="00541981" w:rsidRPr="00091FF8">
        <w:t>using co-design</w:t>
      </w:r>
      <w:r w:rsidR="00541981">
        <w:t xml:space="preserve"> </w:t>
      </w:r>
      <w:r w:rsidR="007D493F">
        <w:rPr>
          <w:rFonts w:eastAsia="Times New Roman"/>
          <w:color w:val="000000"/>
          <w:lang w:eastAsia="en-NZ"/>
        </w:rPr>
        <w:t>(Table 3).</w:t>
      </w:r>
    </w:p>
    <w:p w14:paraId="16992279" w14:textId="4E6B91C9" w:rsidR="00E46190" w:rsidRPr="00091FF8" w:rsidRDefault="00551B95" w:rsidP="000C78C6">
      <w:pPr>
        <w:pStyle w:val="Caption"/>
      </w:pPr>
      <w:bookmarkStart w:id="9" w:name="_Hlk75166771"/>
      <w:r>
        <w:t xml:space="preserve">Table 3: </w:t>
      </w:r>
      <w:r w:rsidR="00793A41" w:rsidRPr="00793A41">
        <w:t xml:space="preserve">Post-programme </w:t>
      </w:r>
      <w:r w:rsidR="00E46190" w:rsidRPr="00091FF8">
        <w:t>confidence ratings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068"/>
        <w:gridCol w:w="317"/>
        <w:gridCol w:w="317"/>
        <w:gridCol w:w="317"/>
        <w:gridCol w:w="317"/>
        <w:gridCol w:w="1211"/>
        <w:gridCol w:w="317"/>
        <w:gridCol w:w="317"/>
        <w:gridCol w:w="317"/>
        <w:gridCol w:w="317"/>
        <w:gridCol w:w="1121"/>
        <w:gridCol w:w="1777"/>
      </w:tblGrid>
      <w:tr w:rsidR="00647963" w:rsidRPr="00882AFF" w14:paraId="239BC9BE" w14:textId="77777777" w:rsidTr="00C82B68">
        <w:trPr>
          <w:trHeight w:val="20"/>
        </w:trPr>
        <w:tc>
          <w:tcPr>
            <w:tcW w:w="0" w:type="auto"/>
            <w:shd w:val="clear" w:color="auto" w:fill="D9D9D9" w:themeFill="background1" w:themeFillShade="D9"/>
          </w:tcPr>
          <w:p w14:paraId="4E00C162" w14:textId="77777777" w:rsidR="00647963" w:rsidRPr="00882AFF" w:rsidRDefault="00647963" w:rsidP="002E6E5B">
            <w:pPr>
              <w:spacing w:before="60" w:after="60" w:line="240" w:lineRule="auto"/>
              <w:rPr>
                <w:rFonts w:cs="Arial"/>
                <w:b/>
                <w:sz w:val="18"/>
                <w:szCs w:val="18"/>
              </w:rPr>
            </w:pPr>
          </w:p>
        </w:tc>
        <w:tc>
          <w:tcPr>
            <w:tcW w:w="0" w:type="auto"/>
            <w:shd w:val="clear" w:color="auto" w:fill="D9D9D9" w:themeFill="background1" w:themeFillShade="D9"/>
            <w:vAlign w:val="bottom"/>
            <w:hideMark/>
          </w:tcPr>
          <w:p w14:paraId="0BCC2ACA" w14:textId="0CF1BA3A" w:rsidR="00647963" w:rsidRPr="00882AFF" w:rsidRDefault="00647963" w:rsidP="002E6E5B">
            <w:pPr>
              <w:spacing w:before="60" w:after="60" w:line="240" w:lineRule="auto"/>
              <w:rPr>
                <w:rFonts w:cs="Arial"/>
                <w:b/>
                <w:sz w:val="18"/>
                <w:szCs w:val="18"/>
              </w:rPr>
            </w:pPr>
            <w:r w:rsidRPr="00882AFF">
              <w:rPr>
                <w:rFonts w:cs="Arial"/>
                <w:b/>
                <w:sz w:val="18"/>
                <w:szCs w:val="18"/>
              </w:rPr>
              <w:t>Not at all confident</w:t>
            </w:r>
          </w:p>
        </w:tc>
        <w:tc>
          <w:tcPr>
            <w:tcW w:w="0" w:type="auto"/>
            <w:shd w:val="clear" w:color="auto" w:fill="D9D9D9" w:themeFill="background1" w:themeFillShade="D9"/>
            <w:noWrap/>
            <w:vAlign w:val="bottom"/>
            <w:hideMark/>
          </w:tcPr>
          <w:p w14:paraId="32924F04" w14:textId="77777777" w:rsidR="00647963" w:rsidRPr="00882AFF" w:rsidRDefault="00647963" w:rsidP="002E6E5B">
            <w:pPr>
              <w:spacing w:before="60" w:after="60" w:line="240" w:lineRule="auto"/>
              <w:rPr>
                <w:rFonts w:cs="Arial"/>
                <w:b/>
                <w:sz w:val="18"/>
                <w:szCs w:val="18"/>
              </w:rPr>
            </w:pPr>
          </w:p>
        </w:tc>
        <w:tc>
          <w:tcPr>
            <w:tcW w:w="0" w:type="auto"/>
            <w:shd w:val="clear" w:color="auto" w:fill="D9D9D9" w:themeFill="background1" w:themeFillShade="D9"/>
            <w:noWrap/>
            <w:vAlign w:val="bottom"/>
            <w:hideMark/>
          </w:tcPr>
          <w:p w14:paraId="31EE18CE" w14:textId="77777777" w:rsidR="00647963" w:rsidRPr="00882AFF" w:rsidRDefault="00647963" w:rsidP="002E6E5B">
            <w:pPr>
              <w:spacing w:before="60" w:after="60" w:line="240" w:lineRule="auto"/>
              <w:rPr>
                <w:rFonts w:cs="Arial"/>
                <w:b/>
                <w:sz w:val="18"/>
                <w:szCs w:val="18"/>
              </w:rPr>
            </w:pPr>
          </w:p>
        </w:tc>
        <w:tc>
          <w:tcPr>
            <w:tcW w:w="0" w:type="auto"/>
            <w:shd w:val="clear" w:color="auto" w:fill="D9D9D9" w:themeFill="background1" w:themeFillShade="D9"/>
            <w:noWrap/>
            <w:vAlign w:val="bottom"/>
            <w:hideMark/>
          </w:tcPr>
          <w:p w14:paraId="163A7433" w14:textId="77777777" w:rsidR="00647963" w:rsidRPr="00882AFF" w:rsidRDefault="00647963" w:rsidP="002E6E5B">
            <w:pPr>
              <w:spacing w:before="60" w:after="60" w:line="240" w:lineRule="auto"/>
              <w:rPr>
                <w:rFonts w:cs="Arial"/>
                <w:b/>
                <w:sz w:val="18"/>
                <w:szCs w:val="18"/>
              </w:rPr>
            </w:pPr>
          </w:p>
        </w:tc>
        <w:tc>
          <w:tcPr>
            <w:tcW w:w="0" w:type="auto"/>
            <w:shd w:val="clear" w:color="auto" w:fill="D9D9D9" w:themeFill="background1" w:themeFillShade="D9"/>
            <w:noWrap/>
            <w:vAlign w:val="bottom"/>
            <w:hideMark/>
          </w:tcPr>
          <w:p w14:paraId="5B888871" w14:textId="77777777" w:rsidR="00647963" w:rsidRPr="00882AFF" w:rsidRDefault="00647963" w:rsidP="002E6E5B">
            <w:pPr>
              <w:spacing w:before="60" w:after="60" w:line="240" w:lineRule="auto"/>
              <w:rPr>
                <w:rFonts w:cs="Arial"/>
                <w:b/>
                <w:sz w:val="18"/>
                <w:szCs w:val="18"/>
              </w:rPr>
            </w:pPr>
          </w:p>
        </w:tc>
        <w:tc>
          <w:tcPr>
            <w:tcW w:w="0" w:type="auto"/>
            <w:shd w:val="clear" w:color="auto" w:fill="D9D9D9" w:themeFill="background1" w:themeFillShade="D9"/>
            <w:vAlign w:val="bottom"/>
            <w:hideMark/>
          </w:tcPr>
          <w:p w14:paraId="1FE72E92" w14:textId="77777777" w:rsidR="00647963" w:rsidRPr="00882AFF" w:rsidRDefault="00647963" w:rsidP="002E6E5B">
            <w:pPr>
              <w:spacing w:before="60" w:after="60" w:line="240" w:lineRule="auto"/>
              <w:rPr>
                <w:rFonts w:cs="Arial"/>
                <w:b/>
                <w:sz w:val="18"/>
                <w:szCs w:val="18"/>
              </w:rPr>
            </w:pPr>
            <w:r w:rsidRPr="00882AFF">
              <w:rPr>
                <w:rFonts w:cs="Arial"/>
                <w:b/>
                <w:sz w:val="18"/>
                <w:szCs w:val="18"/>
              </w:rPr>
              <w:t>Moderately confident</w:t>
            </w:r>
          </w:p>
        </w:tc>
        <w:tc>
          <w:tcPr>
            <w:tcW w:w="0" w:type="auto"/>
            <w:shd w:val="clear" w:color="auto" w:fill="D9D9D9" w:themeFill="background1" w:themeFillShade="D9"/>
            <w:noWrap/>
            <w:vAlign w:val="bottom"/>
            <w:hideMark/>
          </w:tcPr>
          <w:p w14:paraId="02F25083" w14:textId="77777777" w:rsidR="00647963" w:rsidRPr="00882AFF" w:rsidRDefault="00647963" w:rsidP="002E6E5B">
            <w:pPr>
              <w:spacing w:before="60" w:after="60" w:line="240" w:lineRule="auto"/>
              <w:rPr>
                <w:rFonts w:cs="Arial"/>
                <w:b/>
                <w:sz w:val="18"/>
                <w:szCs w:val="18"/>
              </w:rPr>
            </w:pPr>
          </w:p>
        </w:tc>
        <w:tc>
          <w:tcPr>
            <w:tcW w:w="0" w:type="auto"/>
            <w:shd w:val="clear" w:color="auto" w:fill="D9D9D9" w:themeFill="background1" w:themeFillShade="D9"/>
            <w:noWrap/>
            <w:vAlign w:val="bottom"/>
            <w:hideMark/>
          </w:tcPr>
          <w:p w14:paraId="25077148" w14:textId="77777777" w:rsidR="00647963" w:rsidRPr="00882AFF" w:rsidRDefault="00647963" w:rsidP="002E6E5B">
            <w:pPr>
              <w:spacing w:before="60" w:after="60" w:line="240" w:lineRule="auto"/>
              <w:rPr>
                <w:rFonts w:cs="Arial"/>
                <w:b/>
                <w:sz w:val="18"/>
                <w:szCs w:val="18"/>
              </w:rPr>
            </w:pPr>
          </w:p>
        </w:tc>
        <w:tc>
          <w:tcPr>
            <w:tcW w:w="0" w:type="auto"/>
            <w:shd w:val="clear" w:color="auto" w:fill="D9D9D9" w:themeFill="background1" w:themeFillShade="D9"/>
            <w:noWrap/>
            <w:vAlign w:val="bottom"/>
            <w:hideMark/>
          </w:tcPr>
          <w:p w14:paraId="299199C6" w14:textId="77777777" w:rsidR="00647963" w:rsidRPr="00882AFF" w:rsidRDefault="00647963" w:rsidP="002E6E5B">
            <w:pPr>
              <w:spacing w:before="60" w:after="60" w:line="240" w:lineRule="auto"/>
              <w:rPr>
                <w:rFonts w:cs="Arial"/>
                <w:b/>
                <w:sz w:val="18"/>
                <w:szCs w:val="18"/>
              </w:rPr>
            </w:pPr>
          </w:p>
        </w:tc>
        <w:tc>
          <w:tcPr>
            <w:tcW w:w="0" w:type="auto"/>
            <w:shd w:val="clear" w:color="auto" w:fill="D9D9D9" w:themeFill="background1" w:themeFillShade="D9"/>
            <w:noWrap/>
            <w:vAlign w:val="bottom"/>
            <w:hideMark/>
          </w:tcPr>
          <w:p w14:paraId="51C4F767" w14:textId="77777777" w:rsidR="00647963" w:rsidRPr="00882AFF" w:rsidRDefault="00647963" w:rsidP="002E6E5B">
            <w:pPr>
              <w:spacing w:before="60" w:after="60" w:line="240" w:lineRule="auto"/>
              <w:rPr>
                <w:rFonts w:cs="Arial"/>
                <w:b/>
                <w:sz w:val="18"/>
                <w:szCs w:val="18"/>
              </w:rPr>
            </w:pPr>
          </w:p>
        </w:tc>
        <w:tc>
          <w:tcPr>
            <w:tcW w:w="0" w:type="auto"/>
            <w:shd w:val="clear" w:color="auto" w:fill="D9D9D9" w:themeFill="background1" w:themeFillShade="D9"/>
            <w:vAlign w:val="bottom"/>
            <w:hideMark/>
          </w:tcPr>
          <w:p w14:paraId="0C540649" w14:textId="77777777" w:rsidR="00647963" w:rsidRPr="00882AFF" w:rsidRDefault="00647963" w:rsidP="002E6E5B">
            <w:pPr>
              <w:spacing w:before="60" w:after="60" w:line="240" w:lineRule="auto"/>
              <w:rPr>
                <w:rFonts w:cs="Arial"/>
                <w:b/>
                <w:sz w:val="18"/>
                <w:szCs w:val="18"/>
              </w:rPr>
            </w:pPr>
            <w:r w:rsidRPr="00882AFF">
              <w:rPr>
                <w:rFonts w:cs="Arial"/>
                <w:b/>
                <w:sz w:val="18"/>
                <w:szCs w:val="18"/>
              </w:rPr>
              <w:t>Extremely confident</w:t>
            </w:r>
          </w:p>
        </w:tc>
        <w:tc>
          <w:tcPr>
            <w:tcW w:w="0" w:type="auto"/>
            <w:vMerge w:val="restart"/>
            <w:shd w:val="clear" w:color="auto" w:fill="D9D9D9" w:themeFill="background1" w:themeFillShade="D9"/>
            <w:noWrap/>
            <w:vAlign w:val="center"/>
            <w:hideMark/>
          </w:tcPr>
          <w:p w14:paraId="0E81C629" w14:textId="77777777" w:rsidR="00647963" w:rsidRPr="00882AFF" w:rsidRDefault="00647963" w:rsidP="00C82B68">
            <w:pPr>
              <w:spacing w:before="60" w:after="60" w:line="240" w:lineRule="auto"/>
              <w:jc w:val="center"/>
              <w:rPr>
                <w:rFonts w:cs="Arial"/>
                <w:b/>
                <w:sz w:val="18"/>
                <w:szCs w:val="18"/>
              </w:rPr>
            </w:pPr>
            <w:r w:rsidRPr="00882AFF">
              <w:rPr>
                <w:rFonts w:cs="Arial"/>
                <w:b/>
                <w:sz w:val="18"/>
                <w:szCs w:val="18"/>
              </w:rPr>
              <w:t>Total respondents</w:t>
            </w:r>
          </w:p>
        </w:tc>
      </w:tr>
      <w:tr w:rsidR="00647963" w:rsidRPr="00882AFF" w14:paraId="268C7A09" w14:textId="77777777" w:rsidTr="009D5604">
        <w:trPr>
          <w:trHeight w:val="20"/>
        </w:trPr>
        <w:tc>
          <w:tcPr>
            <w:tcW w:w="0" w:type="auto"/>
            <w:shd w:val="clear" w:color="auto" w:fill="D9D9D9" w:themeFill="background1" w:themeFillShade="D9"/>
          </w:tcPr>
          <w:p w14:paraId="56ABA42C" w14:textId="70528EDC" w:rsidR="00647963" w:rsidRPr="00882AFF" w:rsidRDefault="00647963" w:rsidP="00CB469F">
            <w:pPr>
              <w:spacing w:before="60" w:after="60" w:line="240" w:lineRule="auto"/>
              <w:rPr>
                <w:rFonts w:cs="Arial"/>
                <w:b/>
                <w:sz w:val="18"/>
                <w:szCs w:val="18"/>
              </w:rPr>
            </w:pPr>
            <w:r w:rsidRPr="00882AFF">
              <w:rPr>
                <w:rFonts w:cs="Arial"/>
                <w:b/>
                <w:sz w:val="18"/>
                <w:szCs w:val="18"/>
              </w:rPr>
              <w:t>Rating</w:t>
            </w:r>
          </w:p>
        </w:tc>
        <w:tc>
          <w:tcPr>
            <w:tcW w:w="0" w:type="auto"/>
            <w:shd w:val="clear" w:color="auto" w:fill="D9D9D9" w:themeFill="background1" w:themeFillShade="D9"/>
            <w:noWrap/>
            <w:vAlign w:val="bottom"/>
            <w:hideMark/>
          </w:tcPr>
          <w:p w14:paraId="2A97565E" w14:textId="070131D5" w:rsidR="00647963" w:rsidRPr="00C82B68" w:rsidRDefault="00647963" w:rsidP="002E6E5B">
            <w:pPr>
              <w:spacing w:before="60" w:after="60" w:line="240" w:lineRule="auto"/>
              <w:jc w:val="center"/>
              <w:rPr>
                <w:rFonts w:cs="Arial"/>
                <w:b/>
                <w:sz w:val="18"/>
                <w:szCs w:val="18"/>
              </w:rPr>
            </w:pPr>
            <w:r w:rsidRPr="00C82B68">
              <w:rPr>
                <w:rFonts w:cs="Arial"/>
                <w:b/>
                <w:sz w:val="18"/>
                <w:szCs w:val="18"/>
              </w:rPr>
              <w:t>0</w:t>
            </w:r>
          </w:p>
        </w:tc>
        <w:tc>
          <w:tcPr>
            <w:tcW w:w="0" w:type="auto"/>
            <w:shd w:val="clear" w:color="auto" w:fill="D9D9D9" w:themeFill="background1" w:themeFillShade="D9"/>
            <w:noWrap/>
            <w:vAlign w:val="bottom"/>
            <w:hideMark/>
          </w:tcPr>
          <w:p w14:paraId="0AD90D8C"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1</w:t>
            </w:r>
          </w:p>
        </w:tc>
        <w:tc>
          <w:tcPr>
            <w:tcW w:w="0" w:type="auto"/>
            <w:shd w:val="clear" w:color="auto" w:fill="D9D9D9" w:themeFill="background1" w:themeFillShade="D9"/>
            <w:noWrap/>
            <w:vAlign w:val="bottom"/>
            <w:hideMark/>
          </w:tcPr>
          <w:p w14:paraId="43E96C95"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2</w:t>
            </w:r>
          </w:p>
        </w:tc>
        <w:tc>
          <w:tcPr>
            <w:tcW w:w="0" w:type="auto"/>
            <w:shd w:val="clear" w:color="auto" w:fill="D9D9D9" w:themeFill="background1" w:themeFillShade="D9"/>
            <w:noWrap/>
            <w:vAlign w:val="bottom"/>
            <w:hideMark/>
          </w:tcPr>
          <w:p w14:paraId="6CF756DC"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3</w:t>
            </w:r>
          </w:p>
        </w:tc>
        <w:tc>
          <w:tcPr>
            <w:tcW w:w="0" w:type="auto"/>
            <w:shd w:val="clear" w:color="auto" w:fill="D9D9D9" w:themeFill="background1" w:themeFillShade="D9"/>
            <w:noWrap/>
            <w:vAlign w:val="bottom"/>
            <w:hideMark/>
          </w:tcPr>
          <w:p w14:paraId="67CC21BE"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4</w:t>
            </w:r>
          </w:p>
        </w:tc>
        <w:tc>
          <w:tcPr>
            <w:tcW w:w="0" w:type="auto"/>
            <w:shd w:val="clear" w:color="auto" w:fill="D9D9D9" w:themeFill="background1" w:themeFillShade="D9"/>
            <w:noWrap/>
            <w:vAlign w:val="bottom"/>
            <w:hideMark/>
          </w:tcPr>
          <w:p w14:paraId="1D375E8D"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5</w:t>
            </w:r>
          </w:p>
        </w:tc>
        <w:tc>
          <w:tcPr>
            <w:tcW w:w="0" w:type="auto"/>
            <w:shd w:val="clear" w:color="auto" w:fill="D9D9D9" w:themeFill="background1" w:themeFillShade="D9"/>
            <w:noWrap/>
            <w:vAlign w:val="bottom"/>
            <w:hideMark/>
          </w:tcPr>
          <w:p w14:paraId="7033099B"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6</w:t>
            </w:r>
          </w:p>
        </w:tc>
        <w:tc>
          <w:tcPr>
            <w:tcW w:w="0" w:type="auto"/>
            <w:shd w:val="clear" w:color="auto" w:fill="D9D9D9" w:themeFill="background1" w:themeFillShade="D9"/>
            <w:noWrap/>
            <w:vAlign w:val="bottom"/>
            <w:hideMark/>
          </w:tcPr>
          <w:p w14:paraId="71047CF6"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7</w:t>
            </w:r>
          </w:p>
        </w:tc>
        <w:tc>
          <w:tcPr>
            <w:tcW w:w="0" w:type="auto"/>
            <w:shd w:val="clear" w:color="auto" w:fill="D9D9D9" w:themeFill="background1" w:themeFillShade="D9"/>
            <w:noWrap/>
            <w:vAlign w:val="bottom"/>
            <w:hideMark/>
          </w:tcPr>
          <w:p w14:paraId="543ADABC"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8</w:t>
            </w:r>
          </w:p>
        </w:tc>
        <w:tc>
          <w:tcPr>
            <w:tcW w:w="0" w:type="auto"/>
            <w:shd w:val="clear" w:color="auto" w:fill="D9D9D9" w:themeFill="background1" w:themeFillShade="D9"/>
            <w:noWrap/>
            <w:vAlign w:val="bottom"/>
            <w:hideMark/>
          </w:tcPr>
          <w:p w14:paraId="70E63164"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9</w:t>
            </w:r>
          </w:p>
        </w:tc>
        <w:tc>
          <w:tcPr>
            <w:tcW w:w="0" w:type="auto"/>
            <w:shd w:val="clear" w:color="auto" w:fill="D9D9D9" w:themeFill="background1" w:themeFillShade="D9"/>
            <w:noWrap/>
            <w:vAlign w:val="bottom"/>
            <w:hideMark/>
          </w:tcPr>
          <w:p w14:paraId="4A01B407" w14:textId="77777777" w:rsidR="00647963" w:rsidRPr="00C82B68" w:rsidRDefault="00647963" w:rsidP="002E6E5B">
            <w:pPr>
              <w:spacing w:before="60" w:after="60" w:line="240" w:lineRule="auto"/>
              <w:jc w:val="center"/>
              <w:rPr>
                <w:rFonts w:cs="Arial"/>
                <w:b/>
                <w:sz w:val="18"/>
                <w:szCs w:val="18"/>
              </w:rPr>
            </w:pPr>
            <w:r w:rsidRPr="00C82B68">
              <w:rPr>
                <w:rFonts w:cs="Arial"/>
                <w:b/>
                <w:sz w:val="18"/>
                <w:szCs w:val="18"/>
              </w:rPr>
              <w:t>10</w:t>
            </w:r>
          </w:p>
        </w:tc>
        <w:tc>
          <w:tcPr>
            <w:tcW w:w="0" w:type="auto"/>
            <w:vMerge/>
            <w:shd w:val="clear" w:color="auto" w:fill="D9D9D9" w:themeFill="background1" w:themeFillShade="D9"/>
            <w:noWrap/>
            <w:vAlign w:val="bottom"/>
            <w:hideMark/>
          </w:tcPr>
          <w:p w14:paraId="3E643D32" w14:textId="77777777" w:rsidR="00647963" w:rsidRPr="00882AFF" w:rsidRDefault="00647963" w:rsidP="002E6E5B">
            <w:pPr>
              <w:spacing w:before="60" w:after="60" w:line="240" w:lineRule="auto"/>
              <w:jc w:val="center"/>
              <w:rPr>
                <w:rFonts w:cs="Arial"/>
                <w:bCs/>
                <w:sz w:val="18"/>
                <w:szCs w:val="18"/>
              </w:rPr>
            </w:pPr>
          </w:p>
        </w:tc>
      </w:tr>
      <w:tr w:rsidR="002E6E5B" w:rsidRPr="00882AFF" w14:paraId="6249C4CF" w14:textId="77777777" w:rsidTr="00882AFF">
        <w:trPr>
          <w:trHeight w:val="20"/>
        </w:trPr>
        <w:tc>
          <w:tcPr>
            <w:tcW w:w="0" w:type="auto"/>
            <w:shd w:val="clear" w:color="auto" w:fill="auto"/>
          </w:tcPr>
          <w:p w14:paraId="778382AC" w14:textId="2A3F8A3B" w:rsidR="002E6E5B" w:rsidRPr="00882AFF" w:rsidRDefault="002E6E5B" w:rsidP="00CB469F">
            <w:pPr>
              <w:spacing w:before="60" w:after="60" w:line="240" w:lineRule="auto"/>
              <w:rPr>
                <w:rFonts w:cs="Arial"/>
                <w:b/>
                <w:sz w:val="18"/>
                <w:szCs w:val="18"/>
              </w:rPr>
            </w:pPr>
            <w:r w:rsidRPr="00882AFF">
              <w:rPr>
                <w:rFonts w:cs="Arial"/>
                <w:b/>
                <w:sz w:val="18"/>
                <w:szCs w:val="18"/>
              </w:rPr>
              <w:t>Number of respondents</w:t>
            </w:r>
          </w:p>
        </w:tc>
        <w:tc>
          <w:tcPr>
            <w:tcW w:w="0" w:type="auto"/>
            <w:shd w:val="clear" w:color="auto" w:fill="auto"/>
            <w:noWrap/>
            <w:vAlign w:val="bottom"/>
            <w:hideMark/>
          </w:tcPr>
          <w:p w14:paraId="7632810F" w14:textId="5F0823EC" w:rsidR="002E6E5B" w:rsidRPr="00882AFF" w:rsidRDefault="00647963" w:rsidP="002E6E5B">
            <w:pPr>
              <w:spacing w:before="60" w:after="60" w:line="240" w:lineRule="auto"/>
              <w:jc w:val="center"/>
              <w:rPr>
                <w:rFonts w:cs="Arial"/>
                <w:bCs/>
                <w:sz w:val="18"/>
                <w:szCs w:val="18"/>
              </w:rPr>
            </w:pPr>
            <w:r>
              <w:rPr>
                <w:rFonts w:cs="Arial"/>
                <w:bCs/>
                <w:sz w:val="18"/>
                <w:szCs w:val="18"/>
              </w:rPr>
              <w:t>0</w:t>
            </w:r>
          </w:p>
        </w:tc>
        <w:tc>
          <w:tcPr>
            <w:tcW w:w="0" w:type="auto"/>
            <w:shd w:val="clear" w:color="auto" w:fill="auto"/>
            <w:noWrap/>
            <w:vAlign w:val="bottom"/>
            <w:hideMark/>
          </w:tcPr>
          <w:p w14:paraId="0A8E1BD5" w14:textId="5656F5EA" w:rsidR="002E6E5B" w:rsidRPr="00882AFF" w:rsidRDefault="00647963" w:rsidP="002E6E5B">
            <w:pPr>
              <w:spacing w:before="60" w:after="60" w:line="240" w:lineRule="auto"/>
              <w:jc w:val="center"/>
              <w:rPr>
                <w:rFonts w:cs="Arial"/>
                <w:bCs/>
                <w:sz w:val="18"/>
                <w:szCs w:val="18"/>
              </w:rPr>
            </w:pPr>
            <w:r>
              <w:rPr>
                <w:rFonts w:cs="Arial"/>
                <w:bCs/>
                <w:sz w:val="18"/>
                <w:szCs w:val="18"/>
              </w:rPr>
              <w:t>0</w:t>
            </w:r>
          </w:p>
        </w:tc>
        <w:tc>
          <w:tcPr>
            <w:tcW w:w="0" w:type="auto"/>
            <w:shd w:val="clear" w:color="auto" w:fill="auto"/>
            <w:noWrap/>
            <w:vAlign w:val="bottom"/>
            <w:hideMark/>
          </w:tcPr>
          <w:p w14:paraId="08CE65C4" w14:textId="61250266" w:rsidR="002E6E5B" w:rsidRPr="00882AFF" w:rsidRDefault="00647963" w:rsidP="002E6E5B">
            <w:pPr>
              <w:spacing w:before="60" w:after="60" w:line="240" w:lineRule="auto"/>
              <w:jc w:val="center"/>
              <w:rPr>
                <w:rFonts w:cs="Arial"/>
                <w:bCs/>
                <w:sz w:val="18"/>
                <w:szCs w:val="18"/>
              </w:rPr>
            </w:pPr>
            <w:r>
              <w:rPr>
                <w:rFonts w:cs="Arial"/>
                <w:bCs/>
                <w:sz w:val="18"/>
                <w:szCs w:val="18"/>
              </w:rPr>
              <w:t>0</w:t>
            </w:r>
          </w:p>
        </w:tc>
        <w:tc>
          <w:tcPr>
            <w:tcW w:w="0" w:type="auto"/>
            <w:shd w:val="clear" w:color="auto" w:fill="auto"/>
            <w:noWrap/>
            <w:vAlign w:val="bottom"/>
            <w:hideMark/>
          </w:tcPr>
          <w:p w14:paraId="7122CA32" w14:textId="63D9EE93" w:rsidR="002E6E5B" w:rsidRPr="00882AFF" w:rsidRDefault="00647963" w:rsidP="002E6E5B">
            <w:pPr>
              <w:spacing w:before="60" w:after="60" w:line="240" w:lineRule="auto"/>
              <w:jc w:val="center"/>
              <w:rPr>
                <w:rFonts w:cs="Arial"/>
                <w:bCs/>
                <w:sz w:val="18"/>
                <w:szCs w:val="18"/>
              </w:rPr>
            </w:pPr>
            <w:r>
              <w:rPr>
                <w:rFonts w:cs="Arial"/>
                <w:bCs/>
                <w:sz w:val="18"/>
                <w:szCs w:val="18"/>
              </w:rPr>
              <w:t>0</w:t>
            </w:r>
          </w:p>
        </w:tc>
        <w:tc>
          <w:tcPr>
            <w:tcW w:w="0" w:type="auto"/>
            <w:shd w:val="clear" w:color="auto" w:fill="auto"/>
            <w:noWrap/>
            <w:vAlign w:val="bottom"/>
            <w:hideMark/>
          </w:tcPr>
          <w:p w14:paraId="5EB3D0A1" w14:textId="3AA27058" w:rsidR="002E6E5B" w:rsidRPr="00882AFF" w:rsidRDefault="00647963" w:rsidP="002E6E5B">
            <w:pPr>
              <w:spacing w:before="60" w:after="60" w:line="240" w:lineRule="auto"/>
              <w:jc w:val="center"/>
              <w:rPr>
                <w:rFonts w:cs="Arial"/>
                <w:bCs/>
                <w:sz w:val="18"/>
                <w:szCs w:val="18"/>
              </w:rPr>
            </w:pPr>
            <w:r>
              <w:rPr>
                <w:rFonts w:cs="Arial"/>
                <w:bCs/>
                <w:sz w:val="18"/>
                <w:szCs w:val="18"/>
              </w:rPr>
              <w:t>0</w:t>
            </w:r>
          </w:p>
        </w:tc>
        <w:tc>
          <w:tcPr>
            <w:tcW w:w="0" w:type="auto"/>
            <w:shd w:val="clear" w:color="auto" w:fill="auto"/>
            <w:noWrap/>
            <w:vAlign w:val="bottom"/>
            <w:hideMark/>
          </w:tcPr>
          <w:p w14:paraId="3357A30E" w14:textId="77777777" w:rsidR="002E6E5B" w:rsidRPr="00882AFF" w:rsidRDefault="002E6E5B" w:rsidP="002E6E5B">
            <w:pPr>
              <w:spacing w:before="60" w:after="60" w:line="240" w:lineRule="auto"/>
              <w:jc w:val="center"/>
              <w:rPr>
                <w:rFonts w:cs="Arial"/>
                <w:bCs/>
                <w:sz w:val="18"/>
                <w:szCs w:val="18"/>
              </w:rPr>
            </w:pPr>
            <w:r w:rsidRPr="00882AFF">
              <w:rPr>
                <w:rFonts w:cs="Arial"/>
                <w:bCs/>
                <w:sz w:val="18"/>
                <w:szCs w:val="18"/>
              </w:rPr>
              <w:t>6</w:t>
            </w:r>
          </w:p>
        </w:tc>
        <w:tc>
          <w:tcPr>
            <w:tcW w:w="0" w:type="auto"/>
            <w:shd w:val="clear" w:color="auto" w:fill="auto"/>
            <w:noWrap/>
            <w:vAlign w:val="bottom"/>
            <w:hideMark/>
          </w:tcPr>
          <w:p w14:paraId="44171F83" w14:textId="77777777" w:rsidR="002E6E5B" w:rsidRPr="00882AFF" w:rsidRDefault="002E6E5B" w:rsidP="002E6E5B">
            <w:pPr>
              <w:spacing w:before="60" w:after="60" w:line="240" w:lineRule="auto"/>
              <w:jc w:val="center"/>
              <w:rPr>
                <w:rFonts w:cs="Arial"/>
                <w:bCs/>
                <w:sz w:val="18"/>
                <w:szCs w:val="18"/>
              </w:rPr>
            </w:pPr>
            <w:r w:rsidRPr="00882AFF">
              <w:rPr>
                <w:rFonts w:cs="Arial"/>
                <w:bCs/>
                <w:sz w:val="18"/>
                <w:szCs w:val="18"/>
              </w:rPr>
              <w:t>5</w:t>
            </w:r>
          </w:p>
        </w:tc>
        <w:tc>
          <w:tcPr>
            <w:tcW w:w="0" w:type="auto"/>
            <w:shd w:val="clear" w:color="auto" w:fill="auto"/>
            <w:noWrap/>
            <w:vAlign w:val="bottom"/>
            <w:hideMark/>
          </w:tcPr>
          <w:p w14:paraId="4620ACBF" w14:textId="77777777" w:rsidR="002E6E5B" w:rsidRPr="00882AFF" w:rsidRDefault="002E6E5B" w:rsidP="002E6E5B">
            <w:pPr>
              <w:spacing w:before="60" w:after="60" w:line="240" w:lineRule="auto"/>
              <w:jc w:val="center"/>
              <w:rPr>
                <w:rFonts w:cs="Arial"/>
                <w:bCs/>
                <w:sz w:val="18"/>
                <w:szCs w:val="18"/>
              </w:rPr>
            </w:pPr>
            <w:r w:rsidRPr="00882AFF">
              <w:rPr>
                <w:rFonts w:cs="Arial"/>
                <w:bCs/>
                <w:sz w:val="18"/>
                <w:szCs w:val="18"/>
              </w:rPr>
              <w:t>2</w:t>
            </w:r>
          </w:p>
        </w:tc>
        <w:tc>
          <w:tcPr>
            <w:tcW w:w="0" w:type="auto"/>
            <w:shd w:val="clear" w:color="auto" w:fill="auto"/>
            <w:noWrap/>
            <w:vAlign w:val="bottom"/>
            <w:hideMark/>
          </w:tcPr>
          <w:p w14:paraId="6E8FF227" w14:textId="77777777" w:rsidR="002E6E5B" w:rsidRPr="00882AFF" w:rsidRDefault="002E6E5B" w:rsidP="002E6E5B">
            <w:pPr>
              <w:spacing w:before="60" w:after="60" w:line="240" w:lineRule="auto"/>
              <w:jc w:val="center"/>
              <w:rPr>
                <w:rFonts w:cs="Arial"/>
                <w:bCs/>
                <w:sz w:val="18"/>
                <w:szCs w:val="18"/>
              </w:rPr>
            </w:pPr>
            <w:r w:rsidRPr="00882AFF">
              <w:rPr>
                <w:rFonts w:cs="Arial"/>
                <w:bCs/>
                <w:sz w:val="18"/>
                <w:szCs w:val="18"/>
              </w:rPr>
              <w:t>5</w:t>
            </w:r>
          </w:p>
        </w:tc>
        <w:tc>
          <w:tcPr>
            <w:tcW w:w="0" w:type="auto"/>
            <w:shd w:val="clear" w:color="auto" w:fill="auto"/>
            <w:noWrap/>
            <w:vAlign w:val="bottom"/>
            <w:hideMark/>
          </w:tcPr>
          <w:p w14:paraId="2349A90C" w14:textId="77777777" w:rsidR="002E6E5B" w:rsidRPr="00882AFF" w:rsidRDefault="002E6E5B" w:rsidP="002E6E5B">
            <w:pPr>
              <w:spacing w:before="60" w:after="60" w:line="240" w:lineRule="auto"/>
              <w:jc w:val="center"/>
              <w:rPr>
                <w:rFonts w:cs="Arial"/>
                <w:bCs/>
                <w:sz w:val="18"/>
                <w:szCs w:val="18"/>
              </w:rPr>
            </w:pPr>
            <w:r w:rsidRPr="00882AFF">
              <w:rPr>
                <w:rFonts w:cs="Arial"/>
                <w:bCs/>
                <w:sz w:val="18"/>
                <w:szCs w:val="18"/>
              </w:rPr>
              <w:t>4</w:t>
            </w:r>
          </w:p>
        </w:tc>
        <w:tc>
          <w:tcPr>
            <w:tcW w:w="0" w:type="auto"/>
            <w:shd w:val="clear" w:color="auto" w:fill="auto"/>
            <w:noWrap/>
            <w:vAlign w:val="bottom"/>
            <w:hideMark/>
          </w:tcPr>
          <w:p w14:paraId="5BE6F3F8" w14:textId="77777777" w:rsidR="002E6E5B" w:rsidRPr="00882AFF" w:rsidRDefault="002E6E5B" w:rsidP="002E6E5B">
            <w:pPr>
              <w:spacing w:before="60" w:after="60" w:line="240" w:lineRule="auto"/>
              <w:jc w:val="center"/>
              <w:rPr>
                <w:rFonts w:cs="Arial"/>
                <w:bCs/>
                <w:sz w:val="18"/>
                <w:szCs w:val="18"/>
              </w:rPr>
            </w:pPr>
            <w:r w:rsidRPr="00882AFF">
              <w:rPr>
                <w:rFonts w:cs="Arial"/>
                <w:bCs/>
                <w:sz w:val="18"/>
                <w:szCs w:val="18"/>
              </w:rPr>
              <w:t>3</w:t>
            </w:r>
          </w:p>
        </w:tc>
        <w:tc>
          <w:tcPr>
            <w:tcW w:w="0" w:type="auto"/>
            <w:shd w:val="clear" w:color="auto" w:fill="auto"/>
            <w:noWrap/>
            <w:vAlign w:val="bottom"/>
            <w:hideMark/>
          </w:tcPr>
          <w:p w14:paraId="462A5D4A" w14:textId="77777777" w:rsidR="002E6E5B" w:rsidRPr="00882AFF" w:rsidRDefault="002E6E5B" w:rsidP="002E6E5B">
            <w:pPr>
              <w:spacing w:before="60" w:after="60" w:line="240" w:lineRule="auto"/>
              <w:jc w:val="center"/>
              <w:rPr>
                <w:rFonts w:cs="Arial"/>
                <w:bCs/>
                <w:sz w:val="18"/>
                <w:szCs w:val="18"/>
              </w:rPr>
            </w:pPr>
            <w:r w:rsidRPr="00882AFF">
              <w:rPr>
                <w:rFonts w:cs="Arial"/>
                <w:bCs/>
                <w:sz w:val="18"/>
                <w:szCs w:val="18"/>
              </w:rPr>
              <w:t>25</w:t>
            </w:r>
          </w:p>
        </w:tc>
      </w:tr>
    </w:tbl>
    <w:bookmarkEnd w:id="9"/>
    <w:p w14:paraId="018D21DF" w14:textId="4040AFF5" w:rsidR="005E1603" w:rsidRPr="00091FF8" w:rsidRDefault="005E1603" w:rsidP="00A97FAA">
      <w:pPr>
        <w:spacing w:before="240"/>
      </w:pPr>
      <w:r w:rsidRPr="00091FF8">
        <w:t>Twenty-three participants agreed that the content of the workshop was relevant to their role</w:t>
      </w:r>
      <w:r w:rsidR="00541981">
        <w:t>,</w:t>
      </w:r>
      <w:r w:rsidRPr="00091FF8">
        <w:t xml:space="preserve"> while the remaining two neither agreed nor disagreed. Nearly all participants learned new knowledge and skills from the workshop.</w:t>
      </w:r>
    </w:p>
    <w:p w14:paraId="1E5922AF" w14:textId="31287163" w:rsidR="005E1603" w:rsidRPr="00091FF8" w:rsidRDefault="005E1603" w:rsidP="000C78C6">
      <w:pPr>
        <w:rPr>
          <w:lang w:eastAsia="en-NZ"/>
        </w:rPr>
      </w:pPr>
      <w:r w:rsidRPr="00091FF8">
        <w:rPr>
          <w:lang w:eastAsia="en-NZ"/>
        </w:rPr>
        <w:t>Participants made additional comments about the second workshop</w:t>
      </w:r>
      <w:r w:rsidR="00541981">
        <w:rPr>
          <w:lang w:eastAsia="en-NZ"/>
        </w:rPr>
        <w:t>,</w:t>
      </w:r>
      <w:r w:rsidRPr="00091FF8">
        <w:rPr>
          <w:lang w:eastAsia="en-NZ"/>
        </w:rPr>
        <w:t xml:space="preserve"> which were all positive. </w:t>
      </w:r>
    </w:p>
    <w:p w14:paraId="40C12C06" w14:textId="51D8D3EC" w:rsidR="005E1603" w:rsidRPr="00091FF8" w:rsidRDefault="005E1603" w:rsidP="000C78C6">
      <w:pPr>
        <w:rPr>
          <w:lang w:eastAsia="en-NZ"/>
        </w:rPr>
      </w:pPr>
      <w:r w:rsidRPr="00091FF8">
        <w:rPr>
          <w:lang w:eastAsia="en-NZ"/>
        </w:rPr>
        <w:t>Several participants noted increased confidence and new learning in understanding co</w:t>
      </w:r>
      <w:r w:rsidR="00541981">
        <w:rPr>
          <w:lang w:eastAsia="en-NZ"/>
        </w:rPr>
        <w:t>-</w:t>
      </w:r>
      <w:r w:rsidRPr="00091FF8">
        <w:rPr>
          <w:lang w:eastAsia="en-NZ"/>
        </w:rPr>
        <w:t>design:</w:t>
      </w:r>
    </w:p>
    <w:p w14:paraId="69BE96D0" w14:textId="62F0422C" w:rsidR="005E1603" w:rsidRPr="000C78C6" w:rsidRDefault="004122A3" w:rsidP="004122A3">
      <w:pPr>
        <w:pStyle w:val="Quote"/>
      </w:pPr>
      <w:r>
        <w:t>‘</w:t>
      </w:r>
      <w:r w:rsidR="005E1603" w:rsidRPr="000C78C6">
        <w:t>Really enjoyed learning new skills and methods</w:t>
      </w:r>
      <w:r w:rsidR="00541981">
        <w:t>.</w:t>
      </w:r>
      <w:r>
        <w:t>’</w:t>
      </w:r>
    </w:p>
    <w:p w14:paraId="2CBD641A" w14:textId="36277364" w:rsidR="005E1603" w:rsidRPr="000C78C6" w:rsidRDefault="004122A3" w:rsidP="004122A3">
      <w:pPr>
        <w:pStyle w:val="Quote"/>
      </w:pPr>
      <w:r>
        <w:t>‘</w:t>
      </w:r>
      <w:r w:rsidR="005E1603" w:rsidRPr="000C78C6">
        <w:t>Feeling very confident now to be able to progress with the programme</w:t>
      </w:r>
      <w:r w:rsidR="00541981">
        <w:t>.</w:t>
      </w:r>
      <w:r>
        <w:t>’</w:t>
      </w:r>
    </w:p>
    <w:p w14:paraId="78B60BCA" w14:textId="0646D2F7" w:rsidR="005E1603" w:rsidRPr="000C78C6" w:rsidRDefault="004122A3" w:rsidP="004122A3">
      <w:pPr>
        <w:pStyle w:val="Quote"/>
      </w:pPr>
      <w:r>
        <w:t>‘</w:t>
      </w:r>
      <w:r w:rsidR="005E1603" w:rsidRPr="000C78C6">
        <w:t>Learned about the benefits of co</w:t>
      </w:r>
      <w:r w:rsidR="00541981">
        <w:t>-</w:t>
      </w:r>
      <w:r w:rsidR="005E1603" w:rsidRPr="000C78C6">
        <w:t>design, for patients, staff and health professionals</w:t>
      </w:r>
      <w:r w:rsidR="00541981">
        <w:t>.</w:t>
      </w:r>
      <w:r>
        <w:t>’</w:t>
      </w:r>
    </w:p>
    <w:p w14:paraId="45FC3946" w14:textId="6617F31E" w:rsidR="005E1603" w:rsidRPr="00091FF8" w:rsidRDefault="005E1603" w:rsidP="005E1603">
      <w:pPr>
        <w:spacing w:after="0" w:line="240" w:lineRule="auto"/>
        <w:rPr>
          <w:rFonts w:eastAsia="Times New Roman" w:cs="Arial"/>
          <w:color w:val="000000"/>
          <w:lang w:eastAsia="en-NZ"/>
        </w:rPr>
      </w:pPr>
      <w:r w:rsidRPr="00091FF8">
        <w:rPr>
          <w:rFonts w:eastAsia="Times New Roman" w:cs="Arial"/>
          <w:color w:val="000000"/>
          <w:lang w:eastAsia="en-NZ"/>
        </w:rPr>
        <w:t>Others noted the importance of being supported to do co</w:t>
      </w:r>
      <w:r w:rsidR="00541981">
        <w:rPr>
          <w:rFonts w:eastAsia="Times New Roman" w:cs="Arial"/>
          <w:color w:val="000000"/>
          <w:lang w:eastAsia="en-NZ"/>
        </w:rPr>
        <w:t>-</w:t>
      </w:r>
      <w:r w:rsidRPr="00091FF8">
        <w:rPr>
          <w:rFonts w:eastAsia="Times New Roman" w:cs="Arial"/>
          <w:color w:val="000000"/>
          <w:lang w:eastAsia="en-NZ"/>
        </w:rPr>
        <w:t>design:</w:t>
      </w:r>
    </w:p>
    <w:p w14:paraId="1A17FF0D" w14:textId="0897C381" w:rsidR="005E1603" w:rsidRPr="000C78C6" w:rsidRDefault="004122A3" w:rsidP="004122A3">
      <w:pPr>
        <w:pStyle w:val="Quote"/>
      </w:pPr>
      <w:r>
        <w:t>‘</w:t>
      </w:r>
      <w:r w:rsidR="005E1603" w:rsidRPr="000C78C6">
        <w:t xml:space="preserve">Support from </w:t>
      </w:r>
      <w:r w:rsidR="003F1AC3" w:rsidRPr="000C78C6">
        <w:t>the Commission</w:t>
      </w:r>
      <w:r w:rsidR="005E1603" w:rsidRPr="000C78C6">
        <w:t xml:space="preserve"> key to understanding co-design</w:t>
      </w:r>
      <w:r w:rsidR="00541981">
        <w:t>.</w:t>
      </w:r>
      <w:r>
        <w:t>’</w:t>
      </w:r>
    </w:p>
    <w:p w14:paraId="25A05364" w14:textId="47243BD2" w:rsidR="005E1603" w:rsidRPr="000C78C6" w:rsidRDefault="004122A3" w:rsidP="004122A3">
      <w:pPr>
        <w:pStyle w:val="Quote"/>
      </w:pPr>
      <w:r>
        <w:t>‘</w:t>
      </w:r>
      <w:r w:rsidR="005E1603" w:rsidRPr="000C78C6">
        <w:t>Thanks for workshop, to share experiences is amazing</w:t>
      </w:r>
      <w:r w:rsidR="00541981">
        <w:t>.</w:t>
      </w:r>
      <w:r>
        <w:t>’</w:t>
      </w:r>
      <w:r w:rsidR="005E1603" w:rsidRPr="000C78C6">
        <w:t xml:space="preserve"> </w:t>
      </w:r>
    </w:p>
    <w:p w14:paraId="12ABE99D" w14:textId="093802C1" w:rsidR="005E1603" w:rsidRPr="000C78C6" w:rsidRDefault="004122A3" w:rsidP="004122A3">
      <w:pPr>
        <w:pStyle w:val="Quote"/>
      </w:pPr>
      <w:r>
        <w:t>‘</w:t>
      </w:r>
      <w:r w:rsidR="005E1603" w:rsidRPr="000C78C6">
        <w:t>Enjoyed working in a group context. Well facilitated and helped understand what we wanted to improve and how to go about it.</w:t>
      </w:r>
      <w:r>
        <w:t>’</w:t>
      </w:r>
    </w:p>
    <w:p w14:paraId="682DEE0B" w14:textId="37D0DE63" w:rsidR="005E1603" w:rsidRPr="00091FF8" w:rsidRDefault="005E1603" w:rsidP="000C78C6">
      <w:pPr>
        <w:rPr>
          <w:lang w:eastAsia="en-NZ"/>
        </w:rPr>
      </w:pPr>
      <w:r w:rsidRPr="00091FF8">
        <w:rPr>
          <w:lang w:eastAsia="en-NZ"/>
        </w:rPr>
        <w:t>In feedback from participating in the workshops</w:t>
      </w:r>
      <w:r w:rsidR="00541981">
        <w:rPr>
          <w:lang w:eastAsia="en-NZ"/>
        </w:rPr>
        <w:t>,</w:t>
      </w:r>
      <w:r w:rsidRPr="00091FF8">
        <w:rPr>
          <w:lang w:eastAsia="en-NZ"/>
        </w:rPr>
        <w:t xml:space="preserve"> one consumer noted:</w:t>
      </w:r>
    </w:p>
    <w:p w14:paraId="58B5220B" w14:textId="2B66DD0B" w:rsidR="00067C14" w:rsidRPr="000C78C6" w:rsidRDefault="004122A3" w:rsidP="004122A3">
      <w:pPr>
        <w:pStyle w:val="Quote"/>
      </w:pPr>
      <w:r>
        <w:t>‘</w:t>
      </w:r>
      <w:r w:rsidR="005E1603" w:rsidRPr="000C78C6">
        <w:t xml:space="preserve">As a consumer, really interesting to see how other practices are looking to </w:t>
      </w:r>
      <w:r>
        <w:t>i</w:t>
      </w:r>
      <w:r w:rsidR="005E1603" w:rsidRPr="000C78C6">
        <w:t xml:space="preserve">mprove Māori </w:t>
      </w:r>
      <w:r>
        <w:t>h</w:t>
      </w:r>
      <w:r w:rsidR="005E1603" w:rsidRPr="000C78C6">
        <w:t>ealth</w:t>
      </w:r>
      <w:r w:rsidR="00541981">
        <w:t>.</w:t>
      </w:r>
      <w:r>
        <w:t>’</w:t>
      </w:r>
    </w:p>
    <w:p w14:paraId="2278B33C" w14:textId="52525D49" w:rsidR="005E1603" w:rsidRPr="00091FF8" w:rsidRDefault="005E1603" w:rsidP="003F1AC3">
      <w:pPr>
        <w:pStyle w:val="Heading2"/>
      </w:pPr>
      <w:bookmarkStart w:id="10" w:name="_Hlk75255276"/>
      <w:bookmarkStart w:id="11" w:name="_Toc75944402"/>
      <w:r w:rsidRPr="00091FF8">
        <w:lastRenderedPageBreak/>
        <w:t>Comparing pre</w:t>
      </w:r>
      <w:r w:rsidR="003C4090">
        <w:t>-</w:t>
      </w:r>
      <w:r w:rsidRPr="00091FF8">
        <w:t xml:space="preserve"> and post</w:t>
      </w:r>
      <w:r w:rsidR="003C4090">
        <w:t>-programme</w:t>
      </w:r>
      <w:r w:rsidRPr="00091FF8">
        <w:t xml:space="preserve"> confidence ratings</w:t>
      </w:r>
      <w:bookmarkEnd w:id="11"/>
      <w:r w:rsidR="00CA38A2">
        <w:t xml:space="preserve"> </w:t>
      </w:r>
    </w:p>
    <w:p w14:paraId="42772ECF" w14:textId="77777777" w:rsidR="00A97FAA" w:rsidRDefault="00E94D17" w:rsidP="00541981">
      <w:r w:rsidRPr="00091FF8">
        <w:t xml:space="preserve">This year’s co-design participants </w:t>
      </w:r>
      <w:r w:rsidRPr="00541981">
        <w:t>were</w:t>
      </w:r>
      <w:r w:rsidRPr="00091FF8">
        <w:t xml:space="preserve"> asked</w:t>
      </w:r>
      <w:r w:rsidR="003C4090">
        <w:t>,</w:t>
      </w:r>
      <w:r w:rsidR="005E1603" w:rsidRPr="00091FF8">
        <w:t xml:space="preserve"> ‘</w:t>
      </w:r>
      <w:r w:rsidR="00541981">
        <w:t>H</w:t>
      </w:r>
      <w:r w:rsidR="005E1603" w:rsidRPr="00091FF8">
        <w:t>ow do you rate your current confidence level to apply experience-based co-design?’</w:t>
      </w:r>
      <w:r w:rsidRPr="00091FF8">
        <w:t xml:space="preserve"> </w:t>
      </w:r>
    </w:p>
    <w:p w14:paraId="25E49266" w14:textId="1B41B2DB" w:rsidR="00E94D17" w:rsidRPr="00091FF8" w:rsidRDefault="00875E2D" w:rsidP="00541981">
      <w:r>
        <w:t>In the pre-</w:t>
      </w:r>
      <w:r w:rsidR="00F649D4">
        <w:t>programme survey</w:t>
      </w:r>
      <w:r w:rsidR="001065A3">
        <w:t>, t</w:t>
      </w:r>
      <w:r w:rsidR="00E94D17" w:rsidRPr="00091FF8">
        <w:t xml:space="preserve">he median confidence rating was 4. </w:t>
      </w:r>
      <w:r w:rsidR="00F649D4" w:rsidRPr="00F649D4">
        <w:t xml:space="preserve">In the </w:t>
      </w:r>
      <w:r w:rsidR="00F649D4">
        <w:t>post</w:t>
      </w:r>
      <w:r w:rsidR="00F649D4" w:rsidRPr="00F649D4">
        <w:t>-programme survey</w:t>
      </w:r>
      <w:r w:rsidR="001065A3">
        <w:t>, t</w:t>
      </w:r>
      <w:r w:rsidR="00E94D17" w:rsidRPr="00091FF8">
        <w:t xml:space="preserve">he median confidence rating was 7. The median confidence rating of </w:t>
      </w:r>
      <w:r w:rsidR="00D11253">
        <w:t>participants’</w:t>
      </w:r>
      <w:r w:rsidR="00D11253" w:rsidRPr="00091FF8">
        <w:t xml:space="preserve"> </w:t>
      </w:r>
      <w:r w:rsidR="00E94D17" w:rsidRPr="00091FF8">
        <w:t>self-reported understanding of co-design in primary care therefore increased by 75</w:t>
      </w:r>
      <w:r w:rsidR="00B16816">
        <w:t> percent</w:t>
      </w:r>
      <w:r w:rsidR="00E94D17" w:rsidRPr="00091FF8">
        <w:t xml:space="preserve">. Further, the </w:t>
      </w:r>
      <w:r w:rsidR="00F649D4">
        <w:t>pre-programme</w:t>
      </w:r>
      <w:r w:rsidR="00C82B68">
        <w:t xml:space="preserve"> survey</w:t>
      </w:r>
      <w:r w:rsidR="00F649D4">
        <w:t xml:space="preserve"> </w:t>
      </w:r>
      <w:r w:rsidR="00E94D17" w:rsidRPr="00091FF8">
        <w:t>mean rating was 3.7</w:t>
      </w:r>
      <w:r w:rsidR="001065A3">
        <w:t>,</w:t>
      </w:r>
      <w:r w:rsidR="00E94D17" w:rsidRPr="00091FF8">
        <w:t xml:space="preserve"> and </w:t>
      </w:r>
      <w:r w:rsidR="00913A86">
        <w:t xml:space="preserve">the </w:t>
      </w:r>
      <w:r w:rsidR="00913A86" w:rsidRPr="00913A86">
        <w:t>p</w:t>
      </w:r>
      <w:r w:rsidR="00913A86">
        <w:t>ost</w:t>
      </w:r>
      <w:r w:rsidR="00913A86" w:rsidRPr="00913A86">
        <w:t xml:space="preserve">-programme mean rating </w:t>
      </w:r>
      <w:r w:rsidR="00E94D17" w:rsidRPr="00091FF8">
        <w:t>was 7.2. This is a 94</w:t>
      </w:r>
      <w:r w:rsidR="00B16816">
        <w:t> percent</w:t>
      </w:r>
      <w:r w:rsidR="00E94D17" w:rsidRPr="00091FF8">
        <w:t xml:space="preserve"> increase in the mean. Taken together, the increase in confidence equates to around, if not above, 80</w:t>
      </w:r>
      <w:r w:rsidR="00B16816">
        <w:t> percent</w:t>
      </w:r>
      <w:r w:rsidR="00E94D17" w:rsidRPr="00091FF8">
        <w:t>.</w:t>
      </w:r>
    </w:p>
    <w:p w14:paraId="458288AC" w14:textId="3F6926C2" w:rsidR="005E1603" w:rsidRPr="00091FF8" w:rsidRDefault="00FD0E7F" w:rsidP="003F1AC3">
      <w:pPr>
        <w:pStyle w:val="Heading1"/>
      </w:pPr>
      <w:bookmarkStart w:id="12" w:name="_Toc75944403"/>
      <w:bookmarkEnd w:id="10"/>
      <w:r w:rsidRPr="00091FF8">
        <w:t>Insights from</w:t>
      </w:r>
      <w:r w:rsidR="005E1603" w:rsidRPr="00091FF8">
        <w:t xml:space="preserve"> case studies</w:t>
      </w:r>
      <w:bookmarkEnd w:id="12"/>
    </w:p>
    <w:p w14:paraId="1840ABCD" w14:textId="0E1195EC" w:rsidR="003F1AC3" w:rsidRPr="00091FF8" w:rsidRDefault="005E1603" w:rsidP="004122A3">
      <w:r w:rsidRPr="00091FF8">
        <w:t xml:space="preserve">Teams were asked to demonstrate how they have addressed equity in their case studies. </w:t>
      </w:r>
      <w:r w:rsidR="001E374E">
        <w:t xml:space="preserve">The </w:t>
      </w:r>
      <w:r w:rsidRPr="00091FF8">
        <w:t>case studies also helped to illustrate aspects of learning</w:t>
      </w:r>
      <w:r w:rsidR="00913A86">
        <w:t>,</w:t>
      </w:r>
      <w:r w:rsidRPr="00091FF8">
        <w:t xml:space="preserve"> and </w:t>
      </w:r>
      <w:r w:rsidR="00BE7D9E">
        <w:t xml:space="preserve">how </w:t>
      </w:r>
      <w:r w:rsidRPr="00091FF8">
        <w:t xml:space="preserve">teams sought to address equity in </w:t>
      </w:r>
      <w:r w:rsidR="00435DE7">
        <w:t>their</w:t>
      </w:r>
      <w:r w:rsidR="00435DE7" w:rsidRPr="00091FF8">
        <w:t xml:space="preserve"> </w:t>
      </w:r>
      <w:r w:rsidRPr="00091FF8">
        <w:t xml:space="preserve">projects. </w:t>
      </w:r>
      <w:r w:rsidR="00CD279B">
        <w:t>Excerpts</w:t>
      </w:r>
      <w:r w:rsidR="001E374E">
        <w:t xml:space="preserve"> from t</w:t>
      </w:r>
      <w:r w:rsidR="00913A86">
        <w:t>wo case studies</w:t>
      </w:r>
      <w:r w:rsidR="003F4135">
        <w:t xml:space="preserve"> </w:t>
      </w:r>
      <w:r w:rsidR="00913A86">
        <w:t xml:space="preserve">are </w:t>
      </w:r>
      <w:r w:rsidR="00CD279B">
        <w:t>presented</w:t>
      </w:r>
      <w:r w:rsidR="00913A86">
        <w:t xml:space="preserve"> below.</w:t>
      </w:r>
    </w:p>
    <w:p w14:paraId="69C0BA1B" w14:textId="7EDD318D" w:rsidR="005E1603" w:rsidRPr="00A97FAA" w:rsidRDefault="005E1603" w:rsidP="00A97FAA">
      <w:pPr>
        <w:ind w:left="709"/>
        <w:rPr>
          <w:b/>
          <w:bCs/>
        </w:rPr>
      </w:pPr>
      <w:r w:rsidRPr="00A97FAA">
        <w:rPr>
          <w:b/>
          <w:bCs/>
        </w:rPr>
        <w:t xml:space="preserve">Improving access to diabetes care for Māori and Pacific people in the Western Bay of Plenty </w:t>
      </w:r>
    </w:p>
    <w:p w14:paraId="248F0B3F" w14:textId="7815EECC" w:rsidR="00B21646" w:rsidRDefault="005E1603" w:rsidP="00B21646">
      <w:pPr>
        <w:ind w:left="709" w:right="709"/>
      </w:pPr>
      <w:r w:rsidRPr="00B21646">
        <w:t>Western Bay of Plenty Primary Health Organisation</w:t>
      </w:r>
    </w:p>
    <w:p w14:paraId="3176C07D" w14:textId="0AB388AD" w:rsidR="005E1603" w:rsidRPr="00B21646" w:rsidRDefault="005E1603" w:rsidP="00B21646">
      <w:pPr>
        <w:ind w:left="709" w:right="709"/>
      </w:pPr>
      <w:r w:rsidRPr="00B21646">
        <w:t xml:space="preserve">The Doctors </w:t>
      </w:r>
      <w:proofErr w:type="spellStart"/>
      <w:r w:rsidRPr="00B21646">
        <w:t>Bayfair</w:t>
      </w:r>
      <w:proofErr w:type="spellEnd"/>
      <w:r w:rsidRPr="00B21646">
        <w:t xml:space="preserve"> and The Doctors Papamoa </w:t>
      </w:r>
    </w:p>
    <w:p w14:paraId="33C357CC" w14:textId="7C76F0DB" w:rsidR="005E1603" w:rsidRPr="00C344E8" w:rsidRDefault="003F4135" w:rsidP="00780DA6">
      <w:pPr>
        <w:pStyle w:val="Heading3"/>
        <w:spacing w:before="240" w:after="120"/>
        <w:ind w:left="709" w:right="709"/>
        <w:rPr>
          <w:i/>
          <w:iCs/>
          <w:sz w:val="22"/>
          <w:szCs w:val="22"/>
        </w:rPr>
      </w:pPr>
      <w:bookmarkStart w:id="13" w:name="_Toc75944404"/>
      <w:r w:rsidRPr="00C344E8">
        <w:rPr>
          <w:i/>
          <w:iCs/>
          <w:sz w:val="22"/>
          <w:szCs w:val="22"/>
        </w:rPr>
        <w:t>Equity aim</w:t>
      </w:r>
      <w:bookmarkEnd w:id="13"/>
    </w:p>
    <w:p w14:paraId="2020A03F" w14:textId="77777777" w:rsidR="004122A3" w:rsidRDefault="005E1603" w:rsidP="00C82B68">
      <w:pPr>
        <w:ind w:left="709" w:right="709"/>
      </w:pPr>
      <w:r w:rsidRPr="00091FF8">
        <w:t>Our current data illustrates that Māori and Pacific people are less likely to be able to participate in an annual review of their diabetes than others in our two practices. This means that they are not able to receive the care and support they need, which is likely to result in them having greater health risks than others. We aim to engage with Māori and Pacific people to understand how we can develop diabetes services that will enable them to access diabetes care, including the new medications mentioned earlier. We anticipate that this will provide an opportunity to reduce diabetes-related complications for Māori and Pacific people and improve their quality of life for them as individuals and for their whānau.</w:t>
      </w:r>
    </w:p>
    <w:p w14:paraId="303CCC68" w14:textId="4335FC66" w:rsidR="005E1603" w:rsidRPr="00C344E8" w:rsidRDefault="00B87D83" w:rsidP="00780DA6">
      <w:pPr>
        <w:pStyle w:val="Heading3"/>
        <w:spacing w:before="240" w:after="120"/>
        <w:ind w:left="709" w:right="709"/>
        <w:rPr>
          <w:i/>
          <w:iCs/>
          <w:sz w:val="22"/>
          <w:szCs w:val="22"/>
        </w:rPr>
      </w:pPr>
      <w:bookmarkStart w:id="14" w:name="_Toc75944405"/>
      <w:r w:rsidRPr="00C344E8">
        <w:rPr>
          <w:i/>
          <w:iCs/>
          <w:sz w:val="22"/>
          <w:szCs w:val="22"/>
        </w:rPr>
        <w:t>Conclusion</w:t>
      </w:r>
      <w:bookmarkEnd w:id="14"/>
    </w:p>
    <w:p w14:paraId="277A8CBF" w14:textId="77777777" w:rsidR="005E1603" w:rsidRPr="00091FF8" w:rsidRDefault="005E1603" w:rsidP="00C82B68">
      <w:pPr>
        <w:ind w:left="709" w:right="709"/>
      </w:pPr>
      <w:r w:rsidRPr="00091FF8">
        <w:t xml:space="preserve">The team are very pleased that through this co-design project we have been able to better understand the needs of our diabetes patients, especially those who are Māori and Pacific. </w:t>
      </w:r>
    </w:p>
    <w:p w14:paraId="2376427F" w14:textId="771A0C7A" w:rsidR="005E1603" w:rsidRPr="00091FF8" w:rsidRDefault="005E1603" w:rsidP="00C82B68">
      <w:pPr>
        <w:ind w:left="709" w:right="709"/>
      </w:pPr>
      <w:r w:rsidRPr="00091FF8">
        <w:t xml:space="preserve">So far, we have implemented one seemingly small change. However, since our Māori reception team member has been making individual contact with Māori and Pacific people who have previously not responded to invitations for check-ups, we have seen a positive increase in attendance for diabetes annual reviews, especially for Māori. </w:t>
      </w:r>
    </w:p>
    <w:p w14:paraId="0AE1C414" w14:textId="77777777" w:rsidR="005E1603" w:rsidRPr="00091FF8" w:rsidRDefault="005E1603" w:rsidP="00C82B68">
      <w:pPr>
        <w:ind w:left="709" w:right="709"/>
      </w:pPr>
      <w:r w:rsidRPr="00091FF8">
        <w:t xml:space="preserve">This small change aligns with the concept of ‘for Māori by Māori’, tikanga, and manaakitanga (the process of showing respect, generosity and care for others). </w:t>
      </w:r>
    </w:p>
    <w:p w14:paraId="122BE0C0" w14:textId="50B5F0C5" w:rsidR="005E1603" w:rsidRPr="00091FF8" w:rsidRDefault="005E1603" w:rsidP="00C82B68">
      <w:pPr>
        <w:ind w:left="709" w:right="709"/>
      </w:pPr>
      <w:r w:rsidRPr="00091FF8">
        <w:lastRenderedPageBreak/>
        <w:t>The increased engagement with our Māori patients has enabled them to access diabetes care, which in turn has provided an opportunity for them to access medicines, education and support to improve their confidence and ability to live with and manage their diabetes well.</w:t>
      </w:r>
    </w:p>
    <w:p w14:paraId="3859E30B" w14:textId="76C0A7F0" w:rsidR="005E1603" w:rsidRPr="00054E7F" w:rsidRDefault="005E1603" w:rsidP="007A6AAA">
      <w:pPr>
        <w:spacing w:before="240"/>
        <w:ind w:left="709"/>
      </w:pPr>
      <w:r w:rsidRPr="00054E7F">
        <w:t>Further details about how this was achieved can be foun</w:t>
      </w:r>
      <w:r w:rsidR="00EB1524" w:rsidRPr="00054E7F">
        <w:t>d on the Commission’s website</w:t>
      </w:r>
      <w:r w:rsidR="00CD279B" w:rsidRPr="00054E7F">
        <w:t>.</w:t>
      </w:r>
      <w:r w:rsidR="00EB1524" w:rsidRPr="00054E7F">
        <w:t xml:space="preserve"> </w:t>
      </w:r>
    </w:p>
    <w:p w14:paraId="0C0E1D18" w14:textId="432AEBE0" w:rsidR="005E1603" w:rsidRPr="00C344E8" w:rsidRDefault="005E1603" w:rsidP="00C344E8">
      <w:pPr>
        <w:ind w:left="709"/>
        <w:rPr>
          <w:b/>
          <w:bCs/>
        </w:rPr>
      </w:pPr>
      <w:r w:rsidRPr="00C344E8">
        <w:rPr>
          <w:b/>
          <w:bCs/>
        </w:rPr>
        <w:t>He waka eke noa – We are all in this together</w:t>
      </w:r>
    </w:p>
    <w:p w14:paraId="147ED44C" w14:textId="6234C3C7" w:rsidR="005E1603" w:rsidRPr="00BE7D9E" w:rsidRDefault="005E1603" w:rsidP="00054E7F">
      <w:pPr>
        <w:ind w:left="709" w:right="709"/>
      </w:pPr>
      <w:r w:rsidRPr="00054E7F">
        <w:t xml:space="preserve">Chadwick Healthcare Tauranga – Western Bay of Plenty Primary Health Organisation </w:t>
      </w:r>
    </w:p>
    <w:p w14:paraId="7EC4F4F0" w14:textId="2B96495A" w:rsidR="00BE7D9E" w:rsidRPr="00C344E8" w:rsidRDefault="00BE7D9E" w:rsidP="00780DA6">
      <w:pPr>
        <w:pStyle w:val="Heading3"/>
        <w:spacing w:before="240" w:after="120"/>
        <w:ind w:left="709" w:right="709"/>
        <w:rPr>
          <w:i/>
          <w:iCs/>
          <w:sz w:val="22"/>
          <w:szCs w:val="22"/>
        </w:rPr>
      </w:pPr>
      <w:bookmarkStart w:id="15" w:name="_Toc75944406"/>
      <w:r w:rsidRPr="00C344E8">
        <w:rPr>
          <w:i/>
          <w:iCs/>
          <w:sz w:val="22"/>
          <w:szCs w:val="22"/>
        </w:rPr>
        <w:t>Equity aim</w:t>
      </w:r>
      <w:bookmarkEnd w:id="15"/>
    </w:p>
    <w:p w14:paraId="6FD0E471" w14:textId="24FAA14A" w:rsidR="005E1603" w:rsidRPr="00091FF8" w:rsidRDefault="005E1603" w:rsidP="00C82B68">
      <w:pPr>
        <w:ind w:left="709" w:right="709"/>
      </w:pPr>
      <w:r w:rsidRPr="00091FF8">
        <w:t>In a co</w:t>
      </w:r>
      <w:r w:rsidR="003264D9" w:rsidRPr="00091FF8">
        <w:t>-</w:t>
      </w:r>
      <w:r w:rsidRPr="00091FF8">
        <w:t xml:space="preserve">design project led by the equity team the aim was to improve engagement with our Māori patient population and increase Māori enrolment. We hope to achieve equitable health outcomes for Māori here at Chadwick. </w:t>
      </w:r>
    </w:p>
    <w:p w14:paraId="3BD8B325" w14:textId="3E0A6960" w:rsidR="005E1603" w:rsidRPr="00C344E8" w:rsidRDefault="007F4C0F" w:rsidP="00780DA6">
      <w:pPr>
        <w:pStyle w:val="Heading3"/>
        <w:spacing w:before="240" w:after="120"/>
        <w:ind w:left="709" w:right="709"/>
        <w:rPr>
          <w:i/>
          <w:iCs/>
          <w:sz w:val="22"/>
          <w:szCs w:val="22"/>
        </w:rPr>
      </w:pPr>
      <w:bookmarkStart w:id="16" w:name="_Toc75944407"/>
      <w:r w:rsidRPr="00C344E8">
        <w:rPr>
          <w:i/>
          <w:iCs/>
          <w:sz w:val="22"/>
          <w:szCs w:val="22"/>
        </w:rPr>
        <w:t>Improve</w:t>
      </w:r>
      <w:bookmarkEnd w:id="16"/>
    </w:p>
    <w:p w14:paraId="035D6218" w14:textId="77777777" w:rsidR="005E1603" w:rsidRPr="00054E7F" w:rsidRDefault="005E1603" w:rsidP="00054E7F">
      <w:pPr>
        <w:ind w:left="709" w:right="709"/>
      </w:pPr>
      <w:r w:rsidRPr="00054E7F">
        <w:t>From the feedback received, we have worked to increase staff awareness and understanding of Māori culture, values and tikanga through regular intranet updates, including information on pronunciation, unconscious bias, and the background on significant days such as Matariki (which signals the Māori New Year and is a time of renewal and celebration) and Waitangi Day (which commemorates the signing of the Treaty of Waitangi, the nation’s founding document).</w:t>
      </w:r>
    </w:p>
    <w:p w14:paraId="3088E96B" w14:textId="77777777" w:rsidR="005E1603" w:rsidRPr="00054E7F" w:rsidRDefault="005E1603" w:rsidP="00054E7F">
      <w:pPr>
        <w:ind w:left="709" w:right="709"/>
      </w:pPr>
      <w:r w:rsidRPr="00054E7F">
        <w:t xml:space="preserve">We heard from the survey that patients would like our team to acknowledge Māori culture more. Together as a team we enabled staff to participate in the online culture and equity learning modules available to increase cultural awareness. </w:t>
      </w:r>
    </w:p>
    <w:p w14:paraId="0F6F7847" w14:textId="77777777" w:rsidR="005E1603" w:rsidRPr="00054E7F" w:rsidRDefault="005E1603" w:rsidP="00054E7F">
      <w:pPr>
        <w:ind w:left="709" w:right="709"/>
      </w:pPr>
      <w:r w:rsidRPr="00054E7F">
        <w:t xml:space="preserve">We have also undertaken activities such as labelling items throughout the practice in te reo (Māori language). We created fun learning, including a bingo challenge where activities included visiting a pā site (Māori village or defensive settlement) to learn about its history. Staff also committed to learn five new words in te reo. Staff participation was good and the activities proved popular, especially with the reception team. </w:t>
      </w:r>
    </w:p>
    <w:p w14:paraId="4265FD6E" w14:textId="77777777" w:rsidR="005E1603" w:rsidRPr="00054E7F" w:rsidRDefault="005E1603" w:rsidP="00054E7F">
      <w:pPr>
        <w:ind w:left="709" w:right="709"/>
      </w:pPr>
      <w:r w:rsidRPr="00054E7F">
        <w:t xml:space="preserve">Interest has been expressed by 10 staff who have committed to a year-long te reo course. </w:t>
      </w:r>
    </w:p>
    <w:p w14:paraId="5DB8434B" w14:textId="77777777" w:rsidR="005E1603" w:rsidRPr="00054E7F" w:rsidRDefault="005E1603" w:rsidP="00054E7F">
      <w:pPr>
        <w:ind w:left="709" w:right="709"/>
      </w:pPr>
      <w:r w:rsidRPr="00054E7F">
        <w:t>Since this project began, we have seen a greater increase in Māori enrolments than we have ever seen before. We know Māori have very strong relationships and that they appreciate organisations who make progress in focusing on their health needs and their cultural needs. We believe that the work of this project has influenced an increase in enrolments.</w:t>
      </w:r>
    </w:p>
    <w:p w14:paraId="00FA8864" w14:textId="0F61D1E8" w:rsidR="005E1603" w:rsidRPr="00054E7F" w:rsidRDefault="005E1603" w:rsidP="00C344E8">
      <w:pPr>
        <w:ind w:firstLine="709"/>
      </w:pPr>
      <w:r w:rsidRPr="00054E7F">
        <w:t xml:space="preserve">The full case study can be found </w:t>
      </w:r>
      <w:r w:rsidR="00EB1524" w:rsidRPr="00054E7F">
        <w:t>on the Commission’s website.</w:t>
      </w:r>
    </w:p>
    <w:p w14:paraId="264F0646" w14:textId="58FA84DB" w:rsidR="005E1603" w:rsidRPr="00091FF8" w:rsidRDefault="005E1603" w:rsidP="003264D9">
      <w:pPr>
        <w:pStyle w:val="Heading1"/>
      </w:pPr>
      <w:bookmarkStart w:id="17" w:name="_Toc75944408"/>
      <w:r w:rsidRPr="00091FF8">
        <w:lastRenderedPageBreak/>
        <w:t>Conclusion</w:t>
      </w:r>
      <w:r w:rsidR="003264D9" w:rsidRPr="00091FF8">
        <w:t>s</w:t>
      </w:r>
      <w:bookmarkEnd w:id="17"/>
    </w:p>
    <w:p w14:paraId="40B069C5" w14:textId="0418A340" w:rsidR="005E1603" w:rsidRPr="00091FF8" w:rsidRDefault="005E1603" w:rsidP="004122A3">
      <w:r w:rsidRPr="00091FF8">
        <w:t>The impact of COVID</w:t>
      </w:r>
      <w:r w:rsidR="00CF6E5C">
        <w:t>-</w:t>
      </w:r>
      <w:r w:rsidRPr="00091FF8">
        <w:t xml:space="preserve">19 in primary care </w:t>
      </w:r>
      <w:r w:rsidR="00C344E8">
        <w:t>resulted in</w:t>
      </w:r>
      <w:r w:rsidR="006018C3">
        <w:t xml:space="preserve"> </w:t>
      </w:r>
      <w:r w:rsidR="006018C3" w:rsidRPr="00091FF8">
        <w:t xml:space="preserve">attrition </w:t>
      </w:r>
      <w:r w:rsidRPr="00091FF8">
        <w:t xml:space="preserve">from teams, slower progress in completing case studies and changes in teams along the way. </w:t>
      </w:r>
    </w:p>
    <w:p w14:paraId="4AD694B4" w14:textId="0D5C3916" w:rsidR="005E1603" w:rsidRPr="00091FF8" w:rsidRDefault="005E1603" w:rsidP="004122A3">
      <w:r w:rsidRPr="00091FF8">
        <w:t>Despite this</w:t>
      </w:r>
      <w:r w:rsidR="003264D9" w:rsidRPr="00091FF8">
        <w:t>,</w:t>
      </w:r>
      <w:r w:rsidRPr="00091FF8">
        <w:t xml:space="preserve"> participants learnt a lot from undertaking the co</w:t>
      </w:r>
      <w:r w:rsidR="003264D9" w:rsidRPr="00091FF8">
        <w:t>-</w:t>
      </w:r>
      <w:r w:rsidRPr="00091FF8">
        <w:t>design programme and increased their confidence in understanding and working in a co</w:t>
      </w:r>
      <w:r w:rsidR="003264D9" w:rsidRPr="00091FF8">
        <w:t>-</w:t>
      </w:r>
      <w:r w:rsidRPr="00091FF8">
        <w:t>design way.</w:t>
      </w:r>
    </w:p>
    <w:p w14:paraId="25138F5D" w14:textId="1A9D94C9" w:rsidR="005E1603" w:rsidRPr="00091FF8" w:rsidRDefault="005E1603" w:rsidP="004122A3">
      <w:r w:rsidRPr="00091FF8">
        <w:t xml:space="preserve">There </w:t>
      </w:r>
      <w:r w:rsidRPr="004122A3">
        <w:t>is</w:t>
      </w:r>
      <w:r w:rsidRPr="00091FF8">
        <w:t xml:space="preserve"> clear evidence in the case studies of equity being a central theme of the work undertaken</w:t>
      </w:r>
      <w:r w:rsidR="001B66E8" w:rsidRPr="00091FF8">
        <w:t>, and evidence that participants’ knowledge of co-design increased across the course of the programme.</w:t>
      </w:r>
    </w:p>
    <w:p w14:paraId="058C97EE" w14:textId="0CB4EDB1" w:rsidR="00FC4785" w:rsidRPr="00091FF8" w:rsidRDefault="00FC4785" w:rsidP="004122A3">
      <w:pPr>
        <w:rPr>
          <w:rFonts w:ascii="Calibri" w:hAnsi="Calibri"/>
        </w:rPr>
      </w:pPr>
      <w:r w:rsidRPr="004122A3">
        <w:t>Teams</w:t>
      </w:r>
      <w:r w:rsidRPr="00091FF8">
        <w:t xml:space="preserve"> were specifically asked to address inequity within their co</w:t>
      </w:r>
      <w:r w:rsidR="00CF6E5C">
        <w:t>-</w:t>
      </w:r>
      <w:r w:rsidRPr="00091FF8">
        <w:t>design projects. This provided a useful focus for them and an opportunity to engage with M</w:t>
      </w:r>
      <w:r w:rsidR="002B755B">
        <w:t>ā</w:t>
      </w:r>
      <w:r w:rsidRPr="00091FF8">
        <w:t>ori and Pacific peoples around the health issues that often have the most inequities</w:t>
      </w:r>
      <w:r w:rsidR="00CF6E5C">
        <w:t>,</w:t>
      </w:r>
      <w:r w:rsidRPr="00091FF8">
        <w:t xml:space="preserve"> such as diabetes. The </w:t>
      </w:r>
      <w:r w:rsidRPr="004122A3">
        <w:t>small</w:t>
      </w:r>
      <w:r w:rsidRPr="00091FF8">
        <w:t xml:space="preserve"> but significant steps adopted to further understand and address these have provided useful learnings </w:t>
      </w:r>
      <w:r w:rsidR="00CF6E5C">
        <w:t>that</w:t>
      </w:r>
      <w:r w:rsidR="00CF6E5C" w:rsidRPr="00091FF8">
        <w:t xml:space="preserve"> </w:t>
      </w:r>
      <w:r w:rsidRPr="00091FF8">
        <w:t>other practices will also benefit from.</w:t>
      </w:r>
    </w:p>
    <w:p w14:paraId="213CCC3B" w14:textId="76CCE3A6" w:rsidR="00DE3A2D" w:rsidRPr="00091FF8" w:rsidRDefault="00DE3A2D" w:rsidP="004122A3">
      <w:r w:rsidRPr="004122A3">
        <w:t>Hauora</w:t>
      </w:r>
      <w:r w:rsidRPr="00091FF8">
        <w:t xml:space="preserve"> Heretaunga</w:t>
      </w:r>
      <w:r w:rsidR="00E8629A">
        <w:t>’s case study</w:t>
      </w:r>
      <w:r w:rsidRPr="00091FF8">
        <w:t xml:space="preserve"> captures the essence of co-design and its potential to improve health equity:</w:t>
      </w:r>
    </w:p>
    <w:p w14:paraId="2EA8DF60" w14:textId="0398ABA8" w:rsidR="00DE3A2D" w:rsidRPr="00091FF8" w:rsidRDefault="00DE3A2D" w:rsidP="004122A3">
      <w:pPr>
        <w:pStyle w:val="Quote"/>
      </w:pPr>
      <w:r w:rsidRPr="00091FF8">
        <w:t>One of the unintended consequences of the project team consumer</w:t>
      </w:r>
      <w:r w:rsidR="00E8629A">
        <w:t>s’</w:t>
      </w:r>
      <w:r w:rsidRPr="00091FF8">
        <w:t xml:space="preserve"> involvement in the project and subsequent engagement with whānau was that knowledge and health literacy </w:t>
      </w:r>
      <w:r w:rsidR="00D44481">
        <w:t>were</w:t>
      </w:r>
      <w:r w:rsidR="00D44481" w:rsidRPr="00091FF8">
        <w:t xml:space="preserve"> </w:t>
      </w:r>
      <w:r w:rsidRPr="00091FF8">
        <w:t xml:space="preserve">built within </w:t>
      </w:r>
      <w:proofErr w:type="spellStart"/>
      <w:r w:rsidRPr="00091FF8">
        <w:t>whānau</w:t>
      </w:r>
      <w:proofErr w:type="spellEnd"/>
      <w:r w:rsidR="00E8629A">
        <w:t>,</w:t>
      </w:r>
      <w:r w:rsidRPr="00091FF8">
        <w:t xml:space="preserve"> making a difference to their experiences of living with diabetes.</w:t>
      </w:r>
      <w:r w:rsidR="00091FF8" w:rsidRPr="00091FF8">
        <w:t xml:space="preserve"> </w:t>
      </w:r>
      <w:r w:rsidRPr="00091FF8">
        <w:t>They felt empowered and the family culture shifted where the whānau’s 20 years of experience of diabetes had not been talked about.</w:t>
      </w:r>
      <w:r w:rsidR="00091FF8" w:rsidRPr="00091FF8">
        <w:t xml:space="preserve"> </w:t>
      </w:r>
      <w:r w:rsidRPr="00091FF8">
        <w:t>Now there are conversations happening where individual experiences are being shared and they are learning from each other.</w:t>
      </w:r>
    </w:p>
    <w:p w14:paraId="575DA1B5" w14:textId="77777777" w:rsidR="00DE3A2D" w:rsidRPr="00091FF8" w:rsidRDefault="00DE3A2D" w:rsidP="005E1603"/>
    <w:p w14:paraId="5669DFC2" w14:textId="1AAE9899" w:rsidR="005E1603" w:rsidRPr="00091FF8" w:rsidRDefault="005E1603" w:rsidP="006A473A">
      <w:pPr>
        <w:pStyle w:val="Figuretableheading"/>
      </w:pPr>
    </w:p>
    <w:sectPr w:rsidR="005E1603" w:rsidRPr="00091FF8" w:rsidSect="0098410C">
      <w:footerReference w:type="defaul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CF3D3" w14:textId="77777777" w:rsidR="00777DC5" w:rsidRDefault="00777DC5" w:rsidP="003C45E1">
      <w:pPr>
        <w:spacing w:after="0" w:line="240" w:lineRule="auto"/>
      </w:pPr>
      <w:r>
        <w:separator/>
      </w:r>
    </w:p>
  </w:endnote>
  <w:endnote w:type="continuationSeparator" w:id="0">
    <w:p w14:paraId="1A87357C" w14:textId="77777777" w:rsidR="00777DC5" w:rsidRDefault="00777DC5" w:rsidP="003C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AAF9B" w14:textId="76821661" w:rsidR="004F6B93" w:rsidRPr="00AB6812" w:rsidRDefault="0098410C" w:rsidP="0098410C">
    <w:pPr>
      <w:pStyle w:val="Footer"/>
      <w:rPr>
        <w:sz w:val="20"/>
        <w:szCs w:val="20"/>
      </w:rPr>
    </w:pPr>
    <w:r w:rsidRPr="00AB6812">
      <w:rPr>
        <w:sz w:val="20"/>
        <w:szCs w:val="20"/>
      </w:rPr>
      <w:t>Partners in Care co-design programme: Participant feedback report</w:t>
    </w:r>
    <w:r w:rsidR="00A97FAA">
      <w:rPr>
        <w:sz w:val="20"/>
        <w:szCs w:val="20"/>
      </w:rPr>
      <w:t xml:space="preserve"> (June 2021)</w:t>
    </w:r>
    <w:r w:rsidRPr="00AB6812">
      <w:rPr>
        <w:sz w:val="20"/>
        <w:szCs w:val="20"/>
      </w:rPr>
      <w:tab/>
    </w:r>
    <w:r w:rsidRPr="00AB6812">
      <w:rPr>
        <w:rStyle w:val="PageNumber"/>
        <w:sz w:val="20"/>
        <w:szCs w:val="20"/>
      </w:rPr>
      <w:fldChar w:fldCharType="begin"/>
    </w:r>
    <w:r w:rsidRPr="00AB6812">
      <w:rPr>
        <w:rStyle w:val="PageNumber"/>
        <w:sz w:val="20"/>
        <w:szCs w:val="20"/>
      </w:rPr>
      <w:instrText xml:space="preserve"> PAGE </w:instrText>
    </w:r>
    <w:r w:rsidRPr="00AB6812">
      <w:rPr>
        <w:rStyle w:val="PageNumber"/>
        <w:sz w:val="20"/>
        <w:szCs w:val="20"/>
      </w:rPr>
      <w:fldChar w:fldCharType="separate"/>
    </w:r>
    <w:r w:rsidRPr="00AB6812">
      <w:rPr>
        <w:rStyle w:val="PageNumber"/>
        <w:noProof/>
        <w:sz w:val="20"/>
        <w:szCs w:val="20"/>
      </w:rPr>
      <w:t>3</w:t>
    </w:r>
    <w:r w:rsidRPr="00AB6812">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ADFE7" w14:textId="77777777" w:rsidR="00777DC5" w:rsidRDefault="00777DC5" w:rsidP="003C45E1">
      <w:pPr>
        <w:spacing w:after="0" w:line="240" w:lineRule="auto"/>
      </w:pPr>
      <w:r>
        <w:separator/>
      </w:r>
    </w:p>
  </w:footnote>
  <w:footnote w:type="continuationSeparator" w:id="0">
    <w:p w14:paraId="61C0B498" w14:textId="77777777" w:rsidR="00777DC5" w:rsidRDefault="00777DC5" w:rsidP="003C4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D1247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B00B40"/>
    <w:multiLevelType w:val="hybridMultilevel"/>
    <w:tmpl w:val="99F6FA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E05DD9"/>
    <w:multiLevelType w:val="hybridMultilevel"/>
    <w:tmpl w:val="2C9A726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0DE33F4"/>
    <w:multiLevelType w:val="hybridMultilevel"/>
    <w:tmpl w:val="C6AC6DE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EF54F8C"/>
    <w:multiLevelType w:val="hybridMultilevel"/>
    <w:tmpl w:val="D8B64C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4"/>
  </w:num>
  <w:num w:numId="4">
    <w:abstractNumId w:val="11"/>
  </w:num>
  <w:num w:numId="5">
    <w:abstractNumId w:val="15"/>
  </w:num>
  <w:num w:numId="6">
    <w:abstractNumId w:val="9"/>
  </w:num>
  <w:num w:numId="7">
    <w:abstractNumId w:val="19"/>
  </w:num>
  <w:num w:numId="8">
    <w:abstractNumId w:val="12"/>
  </w:num>
  <w:num w:numId="9">
    <w:abstractNumId w:val="6"/>
  </w:num>
  <w:num w:numId="10">
    <w:abstractNumId w:val="5"/>
  </w:num>
  <w:num w:numId="11">
    <w:abstractNumId w:val="3"/>
  </w:num>
  <w:num w:numId="12">
    <w:abstractNumId w:val="18"/>
  </w:num>
  <w:num w:numId="13">
    <w:abstractNumId w:val="16"/>
  </w:num>
  <w:num w:numId="14">
    <w:abstractNumId w:val="4"/>
  </w:num>
  <w:num w:numId="15">
    <w:abstractNumId w:val="2"/>
  </w:num>
  <w:num w:numId="16">
    <w:abstractNumId w:val="1"/>
  </w:num>
  <w:num w:numId="17">
    <w:abstractNumId w:val="0"/>
  </w:num>
  <w:num w:numId="18">
    <w:abstractNumId w:val="0"/>
    <w:lvlOverride w:ilvl="0">
      <w:startOverride w:val="1"/>
    </w:lvlOverride>
  </w:num>
  <w:num w:numId="19">
    <w:abstractNumId w:val="17"/>
  </w:num>
  <w:num w:numId="20">
    <w:abstractNumId w:val="20"/>
  </w:num>
  <w:num w:numId="21">
    <w:abstractNumId w:val="7"/>
  </w:num>
  <w:num w:numId="22">
    <w:abstractNumId w:val="13"/>
  </w:num>
  <w:num w:numId="23">
    <w:abstractNumId w:val="1"/>
  </w:num>
  <w:num w:numId="24">
    <w:abstractNumId w:val="1"/>
  </w:num>
  <w:num w:numId="25">
    <w:abstractNumId w:val="1"/>
  </w:num>
  <w:num w:numId="26">
    <w:abstractNumId w:val="1"/>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03"/>
    <w:rsid w:val="00000224"/>
    <w:rsid w:val="00003978"/>
    <w:rsid w:val="00005986"/>
    <w:rsid w:val="000072B5"/>
    <w:rsid w:val="00012CD3"/>
    <w:rsid w:val="00014BDF"/>
    <w:rsid w:val="000154D5"/>
    <w:rsid w:val="00015F44"/>
    <w:rsid w:val="00017216"/>
    <w:rsid w:val="00021A1A"/>
    <w:rsid w:val="000235D4"/>
    <w:rsid w:val="000257D7"/>
    <w:rsid w:val="00026401"/>
    <w:rsid w:val="00043083"/>
    <w:rsid w:val="00051CC0"/>
    <w:rsid w:val="0005287A"/>
    <w:rsid w:val="00052B4C"/>
    <w:rsid w:val="00054E7F"/>
    <w:rsid w:val="0005504C"/>
    <w:rsid w:val="000579EE"/>
    <w:rsid w:val="00057F11"/>
    <w:rsid w:val="00061B01"/>
    <w:rsid w:val="00062B82"/>
    <w:rsid w:val="00067C14"/>
    <w:rsid w:val="00071CE6"/>
    <w:rsid w:val="00072B90"/>
    <w:rsid w:val="00081524"/>
    <w:rsid w:val="00081E3B"/>
    <w:rsid w:val="0008726B"/>
    <w:rsid w:val="00091FF8"/>
    <w:rsid w:val="00092A37"/>
    <w:rsid w:val="00096C19"/>
    <w:rsid w:val="000A3FF0"/>
    <w:rsid w:val="000A5622"/>
    <w:rsid w:val="000B111C"/>
    <w:rsid w:val="000C1227"/>
    <w:rsid w:val="000C71F5"/>
    <w:rsid w:val="000C78C6"/>
    <w:rsid w:val="000D7E4B"/>
    <w:rsid w:val="000E5B30"/>
    <w:rsid w:val="000F32D0"/>
    <w:rsid w:val="000F7471"/>
    <w:rsid w:val="00101302"/>
    <w:rsid w:val="00104BBC"/>
    <w:rsid w:val="00105E23"/>
    <w:rsid w:val="001065A3"/>
    <w:rsid w:val="00106ECE"/>
    <w:rsid w:val="001111D6"/>
    <w:rsid w:val="00111F0C"/>
    <w:rsid w:val="001123E1"/>
    <w:rsid w:val="00115489"/>
    <w:rsid w:val="00115AEB"/>
    <w:rsid w:val="001203F9"/>
    <w:rsid w:val="001249E2"/>
    <w:rsid w:val="0013118C"/>
    <w:rsid w:val="00131E3D"/>
    <w:rsid w:val="00133F6A"/>
    <w:rsid w:val="00134F5C"/>
    <w:rsid w:val="001378CA"/>
    <w:rsid w:val="00140AAC"/>
    <w:rsid w:val="00144807"/>
    <w:rsid w:val="00147145"/>
    <w:rsid w:val="00150EC1"/>
    <w:rsid w:val="00150EE7"/>
    <w:rsid w:val="00150F2F"/>
    <w:rsid w:val="00153C73"/>
    <w:rsid w:val="001639FA"/>
    <w:rsid w:val="00164036"/>
    <w:rsid w:val="00165B6D"/>
    <w:rsid w:val="001660DE"/>
    <w:rsid w:val="00172C64"/>
    <w:rsid w:val="00173B88"/>
    <w:rsid w:val="00183219"/>
    <w:rsid w:val="00183F98"/>
    <w:rsid w:val="001855EA"/>
    <w:rsid w:val="00185F52"/>
    <w:rsid w:val="00193951"/>
    <w:rsid w:val="0019407B"/>
    <w:rsid w:val="001A02AD"/>
    <w:rsid w:val="001A132C"/>
    <w:rsid w:val="001A44E7"/>
    <w:rsid w:val="001A6553"/>
    <w:rsid w:val="001B161C"/>
    <w:rsid w:val="001B66E8"/>
    <w:rsid w:val="001B6AEC"/>
    <w:rsid w:val="001C2409"/>
    <w:rsid w:val="001C7D98"/>
    <w:rsid w:val="001D0822"/>
    <w:rsid w:val="001D6AAD"/>
    <w:rsid w:val="001E06DF"/>
    <w:rsid w:val="001E0B57"/>
    <w:rsid w:val="001E374E"/>
    <w:rsid w:val="001E6A9F"/>
    <w:rsid w:val="001F1896"/>
    <w:rsid w:val="001F3461"/>
    <w:rsid w:val="0020107E"/>
    <w:rsid w:val="00203EA2"/>
    <w:rsid w:val="00205657"/>
    <w:rsid w:val="00205AD6"/>
    <w:rsid w:val="002121B9"/>
    <w:rsid w:val="0021261B"/>
    <w:rsid w:val="002201B7"/>
    <w:rsid w:val="00225BC0"/>
    <w:rsid w:val="0023054B"/>
    <w:rsid w:val="002339EA"/>
    <w:rsid w:val="002340BF"/>
    <w:rsid w:val="002371B4"/>
    <w:rsid w:val="00237533"/>
    <w:rsid w:val="00244839"/>
    <w:rsid w:val="00245178"/>
    <w:rsid w:val="002514A1"/>
    <w:rsid w:val="00252B7B"/>
    <w:rsid w:val="002665C5"/>
    <w:rsid w:val="00266E2F"/>
    <w:rsid w:val="0027152B"/>
    <w:rsid w:val="00272AA4"/>
    <w:rsid w:val="00273291"/>
    <w:rsid w:val="00284143"/>
    <w:rsid w:val="00287D53"/>
    <w:rsid w:val="0029029C"/>
    <w:rsid w:val="00291E66"/>
    <w:rsid w:val="0029676C"/>
    <w:rsid w:val="002969D8"/>
    <w:rsid w:val="00297582"/>
    <w:rsid w:val="00297676"/>
    <w:rsid w:val="00297B4B"/>
    <w:rsid w:val="002B4FF6"/>
    <w:rsid w:val="002B755B"/>
    <w:rsid w:val="002D22C7"/>
    <w:rsid w:val="002E1666"/>
    <w:rsid w:val="002E2CCF"/>
    <w:rsid w:val="002E47B1"/>
    <w:rsid w:val="002E547C"/>
    <w:rsid w:val="002E6E5B"/>
    <w:rsid w:val="002E7831"/>
    <w:rsid w:val="002F6704"/>
    <w:rsid w:val="0030109F"/>
    <w:rsid w:val="00301AB6"/>
    <w:rsid w:val="00303EF1"/>
    <w:rsid w:val="00310A90"/>
    <w:rsid w:val="003264D9"/>
    <w:rsid w:val="00331D2C"/>
    <w:rsid w:val="003362F8"/>
    <w:rsid w:val="00340841"/>
    <w:rsid w:val="0034255E"/>
    <w:rsid w:val="003451B3"/>
    <w:rsid w:val="00345201"/>
    <w:rsid w:val="00345ACC"/>
    <w:rsid w:val="003470AA"/>
    <w:rsid w:val="00350934"/>
    <w:rsid w:val="003557A9"/>
    <w:rsid w:val="003558C2"/>
    <w:rsid w:val="00356454"/>
    <w:rsid w:val="0035680A"/>
    <w:rsid w:val="0036225A"/>
    <w:rsid w:val="00370C0F"/>
    <w:rsid w:val="003720D9"/>
    <w:rsid w:val="00372989"/>
    <w:rsid w:val="00374EB2"/>
    <w:rsid w:val="003751B1"/>
    <w:rsid w:val="00380044"/>
    <w:rsid w:val="0038042C"/>
    <w:rsid w:val="00386712"/>
    <w:rsid w:val="00390A08"/>
    <w:rsid w:val="00392C96"/>
    <w:rsid w:val="003A1838"/>
    <w:rsid w:val="003A3D1C"/>
    <w:rsid w:val="003B13D7"/>
    <w:rsid w:val="003B2535"/>
    <w:rsid w:val="003B6C8D"/>
    <w:rsid w:val="003B784D"/>
    <w:rsid w:val="003C4090"/>
    <w:rsid w:val="003C45E1"/>
    <w:rsid w:val="003D19E6"/>
    <w:rsid w:val="003E1978"/>
    <w:rsid w:val="003E2238"/>
    <w:rsid w:val="003E38E3"/>
    <w:rsid w:val="003E4CE1"/>
    <w:rsid w:val="003E52D6"/>
    <w:rsid w:val="003F0791"/>
    <w:rsid w:val="003F1AC3"/>
    <w:rsid w:val="003F4135"/>
    <w:rsid w:val="003F5A26"/>
    <w:rsid w:val="00402A50"/>
    <w:rsid w:val="0040657D"/>
    <w:rsid w:val="00407CA8"/>
    <w:rsid w:val="00410D2D"/>
    <w:rsid w:val="004114BA"/>
    <w:rsid w:val="00411BBC"/>
    <w:rsid w:val="004122A3"/>
    <w:rsid w:val="00416629"/>
    <w:rsid w:val="004201E0"/>
    <w:rsid w:val="004241B9"/>
    <w:rsid w:val="004258F9"/>
    <w:rsid w:val="00425AA0"/>
    <w:rsid w:val="00432DE0"/>
    <w:rsid w:val="00433D6F"/>
    <w:rsid w:val="00435DE7"/>
    <w:rsid w:val="004363F2"/>
    <w:rsid w:val="0043743D"/>
    <w:rsid w:val="00442889"/>
    <w:rsid w:val="004458DE"/>
    <w:rsid w:val="004466EF"/>
    <w:rsid w:val="00447327"/>
    <w:rsid w:val="0045000E"/>
    <w:rsid w:val="00456300"/>
    <w:rsid w:val="0045730F"/>
    <w:rsid w:val="00461A9A"/>
    <w:rsid w:val="00461AE6"/>
    <w:rsid w:val="00462D7A"/>
    <w:rsid w:val="004639D3"/>
    <w:rsid w:val="00470861"/>
    <w:rsid w:val="0047638D"/>
    <w:rsid w:val="0047654C"/>
    <w:rsid w:val="004805DE"/>
    <w:rsid w:val="0048247F"/>
    <w:rsid w:val="004846B0"/>
    <w:rsid w:val="004857E1"/>
    <w:rsid w:val="004907D7"/>
    <w:rsid w:val="00493D08"/>
    <w:rsid w:val="004947A0"/>
    <w:rsid w:val="0049681B"/>
    <w:rsid w:val="004968AD"/>
    <w:rsid w:val="004A0DE8"/>
    <w:rsid w:val="004A182F"/>
    <w:rsid w:val="004A1ACA"/>
    <w:rsid w:val="004A1E32"/>
    <w:rsid w:val="004A54CE"/>
    <w:rsid w:val="004A6075"/>
    <w:rsid w:val="004B0E7D"/>
    <w:rsid w:val="004B387A"/>
    <w:rsid w:val="004B7369"/>
    <w:rsid w:val="004B7CE3"/>
    <w:rsid w:val="004C24CF"/>
    <w:rsid w:val="004C6CC9"/>
    <w:rsid w:val="004D0AD0"/>
    <w:rsid w:val="004D441C"/>
    <w:rsid w:val="004E0317"/>
    <w:rsid w:val="004E04D9"/>
    <w:rsid w:val="004E4BE9"/>
    <w:rsid w:val="004E6CE7"/>
    <w:rsid w:val="004F0CFB"/>
    <w:rsid w:val="004F6871"/>
    <w:rsid w:val="004F6B93"/>
    <w:rsid w:val="005025A1"/>
    <w:rsid w:val="00505999"/>
    <w:rsid w:val="005166FD"/>
    <w:rsid w:val="005240E9"/>
    <w:rsid w:val="005267A2"/>
    <w:rsid w:val="00526B3D"/>
    <w:rsid w:val="00530F66"/>
    <w:rsid w:val="00533F38"/>
    <w:rsid w:val="005351ED"/>
    <w:rsid w:val="005369FF"/>
    <w:rsid w:val="00540003"/>
    <w:rsid w:val="00541981"/>
    <w:rsid w:val="00543EB3"/>
    <w:rsid w:val="00551B95"/>
    <w:rsid w:val="00551DD8"/>
    <w:rsid w:val="00553561"/>
    <w:rsid w:val="005557C1"/>
    <w:rsid w:val="00555C13"/>
    <w:rsid w:val="00561028"/>
    <w:rsid w:val="00566A3D"/>
    <w:rsid w:val="00572C53"/>
    <w:rsid w:val="00580F29"/>
    <w:rsid w:val="005820DB"/>
    <w:rsid w:val="005825AC"/>
    <w:rsid w:val="0058260A"/>
    <w:rsid w:val="0058455D"/>
    <w:rsid w:val="00584623"/>
    <w:rsid w:val="00594523"/>
    <w:rsid w:val="005A5B29"/>
    <w:rsid w:val="005A6D47"/>
    <w:rsid w:val="005B033F"/>
    <w:rsid w:val="005B59BC"/>
    <w:rsid w:val="005B68AE"/>
    <w:rsid w:val="005C28AB"/>
    <w:rsid w:val="005C48F2"/>
    <w:rsid w:val="005E1603"/>
    <w:rsid w:val="005E1C29"/>
    <w:rsid w:val="005E3A56"/>
    <w:rsid w:val="005F2B44"/>
    <w:rsid w:val="005F4F38"/>
    <w:rsid w:val="006018C3"/>
    <w:rsid w:val="00601B92"/>
    <w:rsid w:val="00606E99"/>
    <w:rsid w:val="006107EF"/>
    <w:rsid w:val="0062308A"/>
    <w:rsid w:val="00630927"/>
    <w:rsid w:val="00630A1A"/>
    <w:rsid w:val="00632295"/>
    <w:rsid w:val="00632461"/>
    <w:rsid w:val="00635F6B"/>
    <w:rsid w:val="00640803"/>
    <w:rsid w:val="00640F2D"/>
    <w:rsid w:val="00641AC2"/>
    <w:rsid w:val="00642AD8"/>
    <w:rsid w:val="006469DF"/>
    <w:rsid w:val="00646AB1"/>
    <w:rsid w:val="00647963"/>
    <w:rsid w:val="006501CA"/>
    <w:rsid w:val="00651EE8"/>
    <w:rsid w:val="0065374E"/>
    <w:rsid w:val="0065535B"/>
    <w:rsid w:val="00655F25"/>
    <w:rsid w:val="00662F45"/>
    <w:rsid w:val="006657D7"/>
    <w:rsid w:val="00665D22"/>
    <w:rsid w:val="00672126"/>
    <w:rsid w:val="0067432D"/>
    <w:rsid w:val="00674741"/>
    <w:rsid w:val="00675B7E"/>
    <w:rsid w:val="00677DF6"/>
    <w:rsid w:val="00680240"/>
    <w:rsid w:val="006821D2"/>
    <w:rsid w:val="0068435B"/>
    <w:rsid w:val="0069060A"/>
    <w:rsid w:val="006907DA"/>
    <w:rsid w:val="00691F5B"/>
    <w:rsid w:val="00695C2D"/>
    <w:rsid w:val="00696DEB"/>
    <w:rsid w:val="00697C79"/>
    <w:rsid w:val="006A3910"/>
    <w:rsid w:val="006A473A"/>
    <w:rsid w:val="006A4E3B"/>
    <w:rsid w:val="006A6F8D"/>
    <w:rsid w:val="006A7E69"/>
    <w:rsid w:val="006B2F4A"/>
    <w:rsid w:val="006B4B65"/>
    <w:rsid w:val="006B4E4A"/>
    <w:rsid w:val="006B743D"/>
    <w:rsid w:val="006B7508"/>
    <w:rsid w:val="006C6809"/>
    <w:rsid w:val="006D2995"/>
    <w:rsid w:val="006D341B"/>
    <w:rsid w:val="006D3D27"/>
    <w:rsid w:val="006D4188"/>
    <w:rsid w:val="006D4BD1"/>
    <w:rsid w:val="006D666D"/>
    <w:rsid w:val="006E00EE"/>
    <w:rsid w:val="006E0BD6"/>
    <w:rsid w:val="006E0CBC"/>
    <w:rsid w:val="006E1EC2"/>
    <w:rsid w:val="006E3D7B"/>
    <w:rsid w:val="006E4525"/>
    <w:rsid w:val="006E5039"/>
    <w:rsid w:val="006E706A"/>
    <w:rsid w:val="006F4F4B"/>
    <w:rsid w:val="00702438"/>
    <w:rsid w:val="00703375"/>
    <w:rsid w:val="00707E7B"/>
    <w:rsid w:val="00716634"/>
    <w:rsid w:val="00722C09"/>
    <w:rsid w:val="007248A2"/>
    <w:rsid w:val="007251E0"/>
    <w:rsid w:val="00732FBC"/>
    <w:rsid w:val="00733822"/>
    <w:rsid w:val="007347F0"/>
    <w:rsid w:val="007351D5"/>
    <w:rsid w:val="007415A2"/>
    <w:rsid w:val="00747214"/>
    <w:rsid w:val="00752144"/>
    <w:rsid w:val="00757FD8"/>
    <w:rsid w:val="00760894"/>
    <w:rsid w:val="00762438"/>
    <w:rsid w:val="00763715"/>
    <w:rsid w:val="00764327"/>
    <w:rsid w:val="00764E9F"/>
    <w:rsid w:val="00770D2E"/>
    <w:rsid w:val="00771E61"/>
    <w:rsid w:val="00777DC5"/>
    <w:rsid w:val="00780DA6"/>
    <w:rsid w:val="007852F8"/>
    <w:rsid w:val="00786552"/>
    <w:rsid w:val="00790B45"/>
    <w:rsid w:val="007922E7"/>
    <w:rsid w:val="00792E4C"/>
    <w:rsid w:val="00793A41"/>
    <w:rsid w:val="00797213"/>
    <w:rsid w:val="007A0445"/>
    <w:rsid w:val="007A13D0"/>
    <w:rsid w:val="007A21C2"/>
    <w:rsid w:val="007A570B"/>
    <w:rsid w:val="007A6AAA"/>
    <w:rsid w:val="007B132B"/>
    <w:rsid w:val="007B151D"/>
    <w:rsid w:val="007B2E6E"/>
    <w:rsid w:val="007B36F1"/>
    <w:rsid w:val="007C13AC"/>
    <w:rsid w:val="007C2E58"/>
    <w:rsid w:val="007C3522"/>
    <w:rsid w:val="007C454E"/>
    <w:rsid w:val="007C7ED1"/>
    <w:rsid w:val="007D219A"/>
    <w:rsid w:val="007D34AD"/>
    <w:rsid w:val="007D493F"/>
    <w:rsid w:val="007E0634"/>
    <w:rsid w:val="007E30AD"/>
    <w:rsid w:val="007E5241"/>
    <w:rsid w:val="007F2D3B"/>
    <w:rsid w:val="007F4C0F"/>
    <w:rsid w:val="007F694F"/>
    <w:rsid w:val="007F7612"/>
    <w:rsid w:val="007F79FC"/>
    <w:rsid w:val="00801A1F"/>
    <w:rsid w:val="0080238B"/>
    <w:rsid w:val="00802A41"/>
    <w:rsid w:val="00803339"/>
    <w:rsid w:val="008036BA"/>
    <w:rsid w:val="0080549C"/>
    <w:rsid w:val="00806A50"/>
    <w:rsid w:val="00811357"/>
    <w:rsid w:val="008115CF"/>
    <w:rsid w:val="008131B0"/>
    <w:rsid w:val="00816A83"/>
    <w:rsid w:val="008332F5"/>
    <w:rsid w:val="00836C24"/>
    <w:rsid w:val="00841260"/>
    <w:rsid w:val="00842B2E"/>
    <w:rsid w:val="00845529"/>
    <w:rsid w:val="0084633E"/>
    <w:rsid w:val="00846C16"/>
    <w:rsid w:val="0085071D"/>
    <w:rsid w:val="00851905"/>
    <w:rsid w:val="0085595B"/>
    <w:rsid w:val="0085597F"/>
    <w:rsid w:val="008601B0"/>
    <w:rsid w:val="00861C08"/>
    <w:rsid w:val="00865172"/>
    <w:rsid w:val="0087040B"/>
    <w:rsid w:val="008739C8"/>
    <w:rsid w:val="00875747"/>
    <w:rsid w:val="00875E2D"/>
    <w:rsid w:val="00881869"/>
    <w:rsid w:val="00882AFF"/>
    <w:rsid w:val="00884191"/>
    <w:rsid w:val="008917AD"/>
    <w:rsid w:val="008946E7"/>
    <w:rsid w:val="008960B0"/>
    <w:rsid w:val="008A60AE"/>
    <w:rsid w:val="008B291C"/>
    <w:rsid w:val="008B4E25"/>
    <w:rsid w:val="008C329A"/>
    <w:rsid w:val="008C4218"/>
    <w:rsid w:val="008C5E97"/>
    <w:rsid w:val="008D1E6C"/>
    <w:rsid w:val="008D7ACA"/>
    <w:rsid w:val="008D7B48"/>
    <w:rsid w:val="008E1024"/>
    <w:rsid w:val="008F0563"/>
    <w:rsid w:val="008F12DC"/>
    <w:rsid w:val="008F6B3D"/>
    <w:rsid w:val="008F6ECF"/>
    <w:rsid w:val="008F749A"/>
    <w:rsid w:val="008F7E81"/>
    <w:rsid w:val="00900AFF"/>
    <w:rsid w:val="00905630"/>
    <w:rsid w:val="00906793"/>
    <w:rsid w:val="00911920"/>
    <w:rsid w:val="00913A86"/>
    <w:rsid w:val="00914500"/>
    <w:rsid w:val="00915D2C"/>
    <w:rsid w:val="009200C0"/>
    <w:rsid w:val="0092294D"/>
    <w:rsid w:val="00923481"/>
    <w:rsid w:val="00930B7A"/>
    <w:rsid w:val="00930BF3"/>
    <w:rsid w:val="009350E4"/>
    <w:rsid w:val="0094131A"/>
    <w:rsid w:val="00944659"/>
    <w:rsid w:val="00951121"/>
    <w:rsid w:val="009522ED"/>
    <w:rsid w:val="00952FE6"/>
    <w:rsid w:val="009538DA"/>
    <w:rsid w:val="00960486"/>
    <w:rsid w:val="0096081E"/>
    <w:rsid w:val="00962138"/>
    <w:rsid w:val="00971A85"/>
    <w:rsid w:val="009727E5"/>
    <w:rsid w:val="009740A1"/>
    <w:rsid w:val="0097679C"/>
    <w:rsid w:val="00980E85"/>
    <w:rsid w:val="0098410C"/>
    <w:rsid w:val="009860B1"/>
    <w:rsid w:val="00987573"/>
    <w:rsid w:val="00991FC7"/>
    <w:rsid w:val="00994889"/>
    <w:rsid w:val="00995BAE"/>
    <w:rsid w:val="009A0136"/>
    <w:rsid w:val="009A0EF7"/>
    <w:rsid w:val="009A0EFC"/>
    <w:rsid w:val="009A15FC"/>
    <w:rsid w:val="009A270D"/>
    <w:rsid w:val="009A4F53"/>
    <w:rsid w:val="009A5930"/>
    <w:rsid w:val="009A65BA"/>
    <w:rsid w:val="009A7126"/>
    <w:rsid w:val="009B0A87"/>
    <w:rsid w:val="009B1229"/>
    <w:rsid w:val="009B25F5"/>
    <w:rsid w:val="009B5C4F"/>
    <w:rsid w:val="009B6390"/>
    <w:rsid w:val="009B6DBE"/>
    <w:rsid w:val="009C01B0"/>
    <w:rsid w:val="009C02F8"/>
    <w:rsid w:val="009C107F"/>
    <w:rsid w:val="009C22A0"/>
    <w:rsid w:val="009D4AF8"/>
    <w:rsid w:val="009D56D9"/>
    <w:rsid w:val="009D622E"/>
    <w:rsid w:val="009D79CD"/>
    <w:rsid w:val="009E1ED9"/>
    <w:rsid w:val="009E2620"/>
    <w:rsid w:val="009E52B6"/>
    <w:rsid w:val="009E5660"/>
    <w:rsid w:val="009F713A"/>
    <w:rsid w:val="00A00662"/>
    <w:rsid w:val="00A03AF2"/>
    <w:rsid w:val="00A0512B"/>
    <w:rsid w:val="00A052F6"/>
    <w:rsid w:val="00A13A94"/>
    <w:rsid w:val="00A203DB"/>
    <w:rsid w:val="00A225AF"/>
    <w:rsid w:val="00A23F96"/>
    <w:rsid w:val="00A322BB"/>
    <w:rsid w:val="00A41608"/>
    <w:rsid w:val="00A53296"/>
    <w:rsid w:val="00A533FF"/>
    <w:rsid w:val="00A54C80"/>
    <w:rsid w:val="00A54CFC"/>
    <w:rsid w:val="00A56998"/>
    <w:rsid w:val="00A57261"/>
    <w:rsid w:val="00A6040B"/>
    <w:rsid w:val="00A627C3"/>
    <w:rsid w:val="00A64FAA"/>
    <w:rsid w:val="00A66C36"/>
    <w:rsid w:val="00A67C26"/>
    <w:rsid w:val="00A70B1C"/>
    <w:rsid w:val="00A7257A"/>
    <w:rsid w:val="00A7328E"/>
    <w:rsid w:val="00A75C6B"/>
    <w:rsid w:val="00A7698C"/>
    <w:rsid w:val="00A80094"/>
    <w:rsid w:val="00A87AEA"/>
    <w:rsid w:val="00A9188E"/>
    <w:rsid w:val="00A9198C"/>
    <w:rsid w:val="00A92C02"/>
    <w:rsid w:val="00A94A67"/>
    <w:rsid w:val="00A959BB"/>
    <w:rsid w:val="00A95C29"/>
    <w:rsid w:val="00A97B76"/>
    <w:rsid w:val="00A97FAA"/>
    <w:rsid w:val="00AA7B43"/>
    <w:rsid w:val="00AB6812"/>
    <w:rsid w:val="00AC0387"/>
    <w:rsid w:val="00AC076F"/>
    <w:rsid w:val="00AC1F59"/>
    <w:rsid w:val="00AC3D8C"/>
    <w:rsid w:val="00AC637F"/>
    <w:rsid w:val="00AD52B8"/>
    <w:rsid w:val="00AE117F"/>
    <w:rsid w:val="00AE5637"/>
    <w:rsid w:val="00AE7F4C"/>
    <w:rsid w:val="00AF29E6"/>
    <w:rsid w:val="00B0744F"/>
    <w:rsid w:val="00B10CC1"/>
    <w:rsid w:val="00B16816"/>
    <w:rsid w:val="00B20E20"/>
    <w:rsid w:val="00B21646"/>
    <w:rsid w:val="00B23E77"/>
    <w:rsid w:val="00B23EF3"/>
    <w:rsid w:val="00B33B6D"/>
    <w:rsid w:val="00B347E2"/>
    <w:rsid w:val="00B36433"/>
    <w:rsid w:val="00B42FDE"/>
    <w:rsid w:val="00B43090"/>
    <w:rsid w:val="00B4731B"/>
    <w:rsid w:val="00B51A14"/>
    <w:rsid w:val="00B57F3B"/>
    <w:rsid w:val="00B61DF2"/>
    <w:rsid w:val="00B660B9"/>
    <w:rsid w:val="00B673CF"/>
    <w:rsid w:val="00B74276"/>
    <w:rsid w:val="00B7606A"/>
    <w:rsid w:val="00B81915"/>
    <w:rsid w:val="00B86B40"/>
    <w:rsid w:val="00B87D83"/>
    <w:rsid w:val="00B94E9E"/>
    <w:rsid w:val="00B96A41"/>
    <w:rsid w:val="00B97AD4"/>
    <w:rsid w:val="00BA1ECC"/>
    <w:rsid w:val="00BA37BF"/>
    <w:rsid w:val="00BA3F77"/>
    <w:rsid w:val="00BA5A08"/>
    <w:rsid w:val="00BA7FA4"/>
    <w:rsid w:val="00BB145B"/>
    <w:rsid w:val="00BB18D0"/>
    <w:rsid w:val="00BB51D5"/>
    <w:rsid w:val="00BB7084"/>
    <w:rsid w:val="00BB7FC7"/>
    <w:rsid w:val="00BC1F1C"/>
    <w:rsid w:val="00BD1AA4"/>
    <w:rsid w:val="00BD305F"/>
    <w:rsid w:val="00BD3899"/>
    <w:rsid w:val="00BD7F74"/>
    <w:rsid w:val="00BE162D"/>
    <w:rsid w:val="00BE2A2D"/>
    <w:rsid w:val="00BE3307"/>
    <w:rsid w:val="00BE52A6"/>
    <w:rsid w:val="00BE7D9E"/>
    <w:rsid w:val="00BF08F7"/>
    <w:rsid w:val="00C07928"/>
    <w:rsid w:val="00C109D3"/>
    <w:rsid w:val="00C11053"/>
    <w:rsid w:val="00C1691A"/>
    <w:rsid w:val="00C1717A"/>
    <w:rsid w:val="00C1781F"/>
    <w:rsid w:val="00C23346"/>
    <w:rsid w:val="00C27859"/>
    <w:rsid w:val="00C31730"/>
    <w:rsid w:val="00C34138"/>
    <w:rsid w:val="00C344E8"/>
    <w:rsid w:val="00C51579"/>
    <w:rsid w:val="00C61DB7"/>
    <w:rsid w:val="00C6752C"/>
    <w:rsid w:val="00C678D4"/>
    <w:rsid w:val="00C73020"/>
    <w:rsid w:val="00C761F8"/>
    <w:rsid w:val="00C764B2"/>
    <w:rsid w:val="00C81187"/>
    <w:rsid w:val="00C82B68"/>
    <w:rsid w:val="00C83077"/>
    <w:rsid w:val="00C8315E"/>
    <w:rsid w:val="00C865CE"/>
    <w:rsid w:val="00C9095C"/>
    <w:rsid w:val="00C92BEA"/>
    <w:rsid w:val="00C954AC"/>
    <w:rsid w:val="00CA34D7"/>
    <w:rsid w:val="00CA38A2"/>
    <w:rsid w:val="00CA4AD9"/>
    <w:rsid w:val="00CA6D07"/>
    <w:rsid w:val="00CA7F3D"/>
    <w:rsid w:val="00CB02E0"/>
    <w:rsid w:val="00CB187D"/>
    <w:rsid w:val="00CB469F"/>
    <w:rsid w:val="00CC32F3"/>
    <w:rsid w:val="00CD1784"/>
    <w:rsid w:val="00CD1AAF"/>
    <w:rsid w:val="00CD279B"/>
    <w:rsid w:val="00CD6333"/>
    <w:rsid w:val="00CD67A5"/>
    <w:rsid w:val="00CD67D8"/>
    <w:rsid w:val="00CE0FC3"/>
    <w:rsid w:val="00CE13F7"/>
    <w:rsid w:val="00CE24F8"/>
    <w:rsid w:val="00CE468C"/>
    <w:rsid w:val="00CF6E5C"/>
    <w:rsid w:val="00D02530"/>
    <w:rsid w:val="00D02CC6"/>
    <w:rsid w:val="00D105CA"/>
    <w:rsid w:val="00D10D67"/>
    <w:rsid w:val="00D11253"/>
    <w:rsid w:val="00D116BA"/>
    <w:rsid w:val="00D12FC1"/>
    <w:rsid w:val="00D132F2"/>
    <w:rsid w:val="00D13E1F"/>
    <w:rsid w:val="00D152BC"/>
    <w:rsid w:val="00D20568"/>
    <w:rsid w:val="00D229A8"/>
    <w:rsid w:val="00D230FD"/>
    <w:rsid w:val="00D23541"/>
    <w:rsid w:val="00D23DEF"/>
    <w:rsid w:val="00D241F5"/>
    <w:rsid w:val="00D25A5D"/>
    <w:rsid w:val="00D271E6"/>
    <w:rsid w:val="00D37168"/>
    <w:rsid w:val="00D41B94"/>
    <w:rsid w:val="00D44481"/>
    <w:rsid w:val="00D44EB1"/>
    <w:rsid w:val="00D50662"/>
    <w:rsid w:val="00D627A8"/>
    <w:rsid w:val="00D64D6E"/>
    <w:rsid w:val="00D6540B"/>
    <w:rsid w:val="00D74DFB"/>
    <w:rsid w:val="00D76C8D"/>
    <w:rsid w:val="00D76D56"/>
    <w:rsid w:val="00D81314"/>
    <w:rsid w:val="00D81D1A"/>
    <w:rsid w:val="00D82520"/>
    <w:rsid w:val="00D83ACB"/>
    <w:rsid w:val="00D83DCB"/>
    <w:rsid w:val="00D83F43"/>
    <w:rsid w:val="00D86B58"/>
    <w:rsid w:val="00D927B8"/>
    <w:rsid w:val="00D933BC"/>
    <w:rsid w:val="00DA60DF"/>
    <w:rsid w:val="00DB10A5"/>
    <w:rsid w:val="00DB3901"/>
    <w:rsid w:val="00DB7060"/>
    <w:rsid w:val="00DB7F7B"/>
    <w:rsid w:val="00DC1D67"/>
    <w:rsid w:val="00DC47C0"/>
    <w:rsid w:val="00DD3430"/>
    <w:rsid w:val="00DD3D3C"/>
    <w:rsid w:val="00DD3F10"/>
    <w:rsid w:val="00DD708A"/>
    <w:rsid w:val="00DE0E3A"/>
    <w:rsid w:val="00DE26FF"/>
    <w:rsid w:val="00DE3A2D"/>
    <w:rsid w:val="00DE3C40"/>
    <w:rsid w:val="00DF539A"/>
    <w:rsid w:val="00DF7671"/>
    <w:rsid w:val="00E0234F"/>
    <w:rsid w:val="00E03981"/>
    <w:rsid w:val="00E04D7E"/>
    <w:rsid w:val="00E07049"/>
    <w:rsid w:val="00E1323D"/>
    <w:rsid w:val="00E16359"/>
    <w:rsid w:val="00E22280"/>
    <w:rsid w:val="00E30C04"/>
    <w:rsid w:val="00E34D4A"/>
    <w:rsid w:val="00E355BB"/>
    <w:rsid w:val="00E36E61"/>
    <w:rsid w:val="00E36FF7"/>
    <w:rsid w:val="00E426BD"/>
    <w:rsid w:val="00E4339E"/>
    <w:rsid w:val="00E46190"/>
    <w:rsid w:val="00E462D4"/>
    <w:rsid w:val="00E5420C"/>
    <w:rsid w:val="00E60914"/>
    <w:rsid w:val="00E65439"/>
    <w:rsid w:val="00E6626F"/>
    <w:rsid w:val="00E66736"/>
    <w:rsid w:val="00E67B1A"/>
    <w:rsid w:val="00E70CF5"/>
    <w:rsid w:val="00E83591"/>
    <w:rsid w:val="00E8629A"/>
    <w:rsid w:val="00E94D17"/>
    <w:rsid w:val="00E95A46"/>
    <w:rsid w:val="00EA1FEE"/>
    <w:rsid w:val="00EA3D4F"/>
    <w:rsid w:val="00EA5F51"/>
    <w:rsid w:val="00EA6F68"/>
    <w:rsid w:val="00EB026B"/>
    <w:rsid w:val="00EB1524"/>
    <w:rsid w:val="00EB21BE"/>
    <w:rsid w:val="00EB21E0"/>
    <w:rsid w:val="00EB25CD"/>
    <w:rsid w:val="00EB2B83"/>
    <w:rsid w:val="00EB5095"/>
    <w:rsid w:val="00EB5FDA"/>
    <w:rsid w:val="00EB6194"/>
    <w:rsid w:val="00EB6D9B"/>
    <w:rsid w:val="00EC12F2"/>
    <w:rsid w:val="00EC2147"/>
    <w:rsid w:val="00EC4023"/>
    <w:rsid w:val="00EC4242"/>
    <w:rsid w:val="00EC6DCD"/>
    <w:rsid w:val="00ED72F9"/>
    <w:rsid w:val="00ED7AEF"/>
    <w:rsid w:val="00EE69F8"/>
    <w:rsid w:val="00EF2B11"/>
    <w:rsid w:val="00EF581A"/>
    <w:rsid w:val="00EF6E77"/>
    <w:rsid w:val="00EF7332"/>
    <w:rsid w:val="00F00CB3"/>
    <w:rsid w:val="00F0456A"/>
    <w:rsid w:val="00F078EB"/>
    <w:rsid w:val="00F13190"/>
    <w:rsid w:val="00F20B5F"/>
    <w:rsid w:val="00F23E5D"/>
    <w:rsid w:val="00F248BD"/>
    <w:rsid w:val="00F320C2"/>
    <w:rsid w:val="00F34739"/>
    <w:rsid w:val="00F408BF"/>
    <w:rsid w:val="00F43049"/>
    <w:rsid w:val="00F4325E"/>
    <w:rsid w:val="00F45D90"/>
    <w:rsid w:val="00F47A01"/>
    <w:rsid w:val="00F5417A"/>
    <w:rsid w:val="00F56E9F"/>
    <w:rsid w:val="00F61D1E"/>
    <w:rsid w:val="00F63852"/>
    <w:rsid w:val="00F63A38"/>
    <w:rsid w:val="00F64542"/>
    <w:rsid w:val="00F649D4"/>
    <w:rsid w:val="00F65321"/>
    <w:rsid w:val="00F65643"/>
    <w:rsid w:val="00F70ABE"/>
    <w:rsid w:val="00F7226A"/>
    <w:rsid w:val="00F73289"/>
    <w:rsid w:val="00F77A3D"/>
    <w:rsid w:val="00F83DB3"/>
    <w:rsid w:val="00F85C21"/>
    <w:rsid w:val="00F87366"/>
    <w:rsid w:val="00F877C8"/>
    <w:rsid w:val="00F94DE8"/>
    <w:rsid w:val="00F97891"/>
    <w:rsid w:val="00FA159A"/>
    <w:rsid w:val="00FA37F8"/>
    <w:rsid w:val="00FA4E1A"/>
    <w:rsid w:val="00FA50C7"/>
    <w:rsid w:val="00FA5A33"/>
    <w:rsid w:val="00FB5B33"/>
    <w:rsid w:val="00FC075C"/>
    <w:rsid w:val="00FC4785"/>
    <w:rsid w:val="00FD0E7F"/>
    <w:rsid w:val="00FD4119"/>
    <w:rsid w:val="00FD5821"/>
    <w:rsid w:val="00FD5DB7"/>
    <w:rsid w:val="00FD5E12"/>
    <w:rsid w:val="00FD606E"/>
    <w:rsid w:val="00FE0228"/>
    <w:rsid w:val="00FE24DE"/>
    <w:rsid w:val="00FF10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C3756"/>
  <w15:docId w15:val="{4F6C7E85-462B-4F1A-99F7-76A1559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C6"/>
    <w:pPr>
      <w:spacing w:before="120"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000000"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0000FF"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FC7"/>
    <w:pPr>
      <w:ind w:left="720"/>
      <w:contextualSpacing/>
    </w:pPr>
  </w:style>
  <w:style w:type="paragraph" w:styleId="Caption">
    <w:name w:val="caption"/>
    <w:basedOn w:val="Normal"/>
    <w:next w:val="Normal"/>
    <w:uiPriority w:val="35"/>
    <w:unhideWhenUsed/>
    <w:qFormat/>
    <w:rsid w:val="008B291C"/>
    <w:pPr>
      <w:keepNext/>
      <w:spacing w:before="240"/>
    </w:pPr>
    <w:rPr>
      <w:i/>
      <w:iCs/>
      <w:sz w:val="20"/>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4122A3"/>
    <w:pPr>
      <w:ind w:left="709" w:right="709"/>
    </w:pPr>
    <w:rPr>
      <w:iCs/>
    </w:rPr>
  </w:style>
  <w:style w:type="character" w:customStyle="1" w:styleId="QuoteChar">
    <w:name w:val="Quote Char"/>
    <w:basedOn w:val="DefaultParagraphFont"/>
    <w:link w:val="Quote"/>
    <w:uiPriority w:val="29"/>
    <w:rsid w:val="004122A3"/>
    <w:rPr>
      <w:rFonts w:ascii="Arial" w:hAnsi="Arial"/>
      <w:iCs/>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365F91"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884191"/>
    <w:pPr>
      <w:tabs>
        <w:tab w:val="left" w:pos="425"/>
        <w:tab w:val="right" w:leader="dot" w:pos="9015"/>
      </w:tabs>
      <w:spacing w:after="100"/>
    </w:pPr>
  </w:style>
  <w:style w:type="paragraph" w:styleId="ListBullet">
    <w:name w:val="List Bullet"/>
    <w:basedOn w:val="Normal"/>
    <w:link w:val="ListBulletChar"/>
    <w:uiPriority w:val="99"/>
    <w:unhideWhenUsed/>
    <w:rsid w:val="000C78C6"/>
    <w:pPr>
      <w:numPr>
        <w:numId w:val="16"/>
      </w:numPr>
      <w:spacing w:before="80" w:after="80"/>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pPr>
    <w:rPr>
      <w:rFonts w:cs="Arial"/>
    </w:rPr>
  </w:style>
  <w:style w:type="character" w:customStyle="1" w:styleId="ListBulletChar">
    <w:name w:val="List Bullet Char"/>
    <w:basedOn w:val="DefaultParagraphFont"/>
    <w:link w:val="ListBullet"/>
    <w:uiPriority w:val="99"/>
    <w:rsid w:val="000C78C6"/>
    <w:rPr>
      <w:rFonts w:ascii="Arial" w:hAnsi="Arial"/>
    </w:rPr>
  </w:style>
  <w:style w:type="character" w:customStyle="1" w:styleId="BulletsChar">
    <w:name w:val="Bullets Char"/>
    <w:basedOn w:val="ListBulletChar"/>
    <w:link w:val="Bullets"/>
    <w:rsid w:val="008D7ACA"/>
    <w:rPr>
      <w:rFonts w:ascii="Arial" w:hAnsi="Arial" w:cs="Arial"/>
    </w:rPr>
  </w:style>
  <w:style w:type="character" w:customStyle="1" w:styleId="acopre">
    <w:name w:val="acopre"/>
    <w:basedOn w:val="DefaultParagraphFont"/>
    <w:qFormat/>
    <w:rsid w:val="005E1603"/>
  </w:style>
  <w:style w:type="character" w:customStyle="1" w:styleId="hgkelc">
    <w:name w:val="hgkelc"/>
    <w:basedOn w:val="DefaultParagraphFont"/>
    <w:rsid w:val="005E1603"/>
  </w:style>
  <w:style w:type="character" w:styleId="Emphasis">
    <w:name w:val="Emphasis"/>
    <w:basedOn w:val="DefaultParagraphFont"/>
    <w:uiPriority w:val="20"/>
    <w:qFormat/>
    <w:rsid w:val="005E1603"/>
    <w:rPr>
      <w:i/>
      <w:iCs/>
    </w:rPr>
  </w:style>
  <w:style w:type="paragraph" w:customStyle="1" w:styleId="Default">
    <w:name w:val="Default"/>
    <w:rsid w:val="005E160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D279B"/>
    <w:rPr>
      <w:color w:val="605E5C"/>
      <w:shd w:val="clear" w:color="auto" w:fill="E1DFDD"/>
    </w:rPr>
  </w:style>
  <w:style w:type="character" w:styleId="PageNumber">
    <w:name w:val="page number"/>
    <w:basedOn w:val="DefaultParagraphFont"/>
    <w:uiPriority w:val="99"/>
    <w:semiHidden/>
    <w:unhideWhenUsed/>
    <w:rsid w:val="0098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99585">
      <w:bodyDiv w:val="1"/>
      <w:marLeft w:val="0"/>
      <w:marRight w:val="0"/>
      <w:marTop w:val="0"/>
      <w:marBottom w:val="0"/>
      <w:divBdr>
        <w:top w:val="none" w:sz="0" w:space="0" w:color="auto"/>
        <w:left w:val="none" w:sz="0" w:space="0" w:color="auto"/>
        <w:bottom w:val="none" w:sz="0" w:space="0" w:color="auto"/>
        <w:right w:val="none" w:sz="0" w:space="0" w:color="auto"/>
      </w:divBdr>
    </w:div>
    <w:div w:id="398402460">
      <w:bodyDiv w:val="1"/>
      <w:marLeft w:val="0"/>
      <w:marRight w:val="0"/>
      <w:marTop w:val="0"/>
      <w:marBottom w:val="0"/>
      <w:divBdr>
        <w:top w:val="none" w:sz="0" w:space="0" w:color="auto"/>
        <w:left w:val="none" w:sz="0" w:space="0" w:color="auto"/>
        <w:bottom w:val="none" w:sz="0" w:space="0" w:color="auto"/>
        <w:right w:val="none" w:sz="0" w:space="0" w:color="auto"/>
      </w:divBdr>
    </w:div>
    <w:div w:id="894508977">
      <w:bodyDiv w:val="1"/>
      <w:marLeft w:val="0"/>
      <w:marRight w:val="0"/>
      <w:marTop w:val="0"/>
      <w:marBottom w:val="0"/>
      <w:divBdr>
        <w:top w:val="none" w:sz="0" w:space="0" w:color="auto"/>
        <w:left w:val="none" w:sz="0" w:space="0" w:color="auto"/>
        <w:bottom w:val="none" w:sz="0" w:space="0" w:color="auto"/>
        <w:right w:val="none" w:sz="0" w:space="0" w:color="auto"/>
      </w:divBdr>
    </w:div>
    <w:div w:id="1171145677">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hqsc.govt.nz"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hqsc.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qsc.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ork\Desktop\Co-design%20learning%20outcomes%20in%20primary%20care%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Te Raina Gunn</DisplayName>
        <AccountId>74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A88F9-E8B9-4E2D-959A-449BB20642C2}">
  <ds:schemaRefs>
    <ds:schemaRef ds:uri="Microsoft.SharePoint.Taxonomy.ContentTypeSync"/>
  </ds:schemaRefs>
</ds:datastoreItem>
</file>

<file path=customXml/itemProps2.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customXml/itemProps3.xml><?xml version="1.0" encoding="utf-8"?>
<ds:datastoreItem xmlns:ds="http://schemas.openxmlformats.org/officeDocument/2006/customXml" ds:itemID="{8104217C-7EC6-4166-B6FA-B188E2D0B934}">
  <ds:schemaRefs>
    <ds:schemaRef ds:uri="http://purl.org/dc/terms/"/>
    <ds:schemaRef ds:uri="http://schemas.openxmlformats.org/package/2006/metadata/core-properties"/>
    <ds:schemaRef ds:uri="7195f19f-1c08-4647-b11c-ef8ab36169e7"/>
    <ds:schemaRef ds:uri="http://schemas.microsoft.com/office/2006/documentManagement/types"/>
    <ds:schemaRef ds:uri="http://schemas.microsoft.com/office/infopath/2007/PartnerControls"/>
    <ds:schemaRef ds:uri="http://purl.org/dc/elements/1.1/"/>
    <ds:schemaRef ds:uri="http://schemas.microsoft.com/office/2006/metadata/properties"/>
    <ds:schemaRef ds:uri="bef9904b-9bca-4a1b-aca3-78dad2044d15"/>
    <ds:schemaRef ds:uri="http://www.w3.org/XML/1998/namespace"/>
    <ds:schemaRef ds:uri="http://purl.org/dc/dcmitype/"/>
  </ds:schemaRefs>
</ds:datastoreItem>
</file>

<file path=customXml/itemProps4.xml><?xml version="1.0" encoding="utf-8"?>
<ds:datastoreItem xmlns:ds="http://schemas.openxmlformats.org/officeDocument/2006/customXml" ds:itemID="{E6EA3E01-A735-482A-A783-12E764FDBDA4}">
  <ds:schemaRefs>
    <ds:schemaRef ds:uri="http://schemas.microsoft.com/sharepoint/v3/contenttype/forms"/>
  </ds:schemaRefs>
</ds:datastoreItem>
</file>

<file path=customXml/itemProps5.xml><?xml version="1.0" encoding="utf-8"?>
<ds:datastoreItem xmlns:ds="http://schemas.openxmlformats.org/officeDocument/2006/customXml" ds:itemID="{DF12E995-8B2E-4EB5-91F3-4AF4EB4D1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Co-design learning outcomes in primary care 2020-21</Template>
  <TotalTime>20</TotalTime>
  <Pages>7</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Jocasta Whittingham</cp:lastModifiedBy>
  <cp:revision>6</cp:revision>
  <cp:lastPrinted>2021-06-29T23:33:00Z</cp:lastPrinted>
  <dcterms:created xsi:type="dcterms:W3CDTF">2021-06-29T23:21:00Z</dcterms:created>
  <dcterms:modified xsi:type="dcterms:W3CDTF">2021-06-29T23:41:00Z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4ecd7061-7c16-4b94-80be-cefed9756f00</vt:lpwstr>
  </property>
  <property fmtid="{D5CDD505-2E9C-101B-9397-08002B2CF9AE}" pid="3" name="ContentTypeId">
    <vt:lpwstr>0x010100464BB556B3337A48846236E9064FB9CC010016069D414DDC6B4999640F73160C6405</vt:lpwstr>
  </property>
  <property fmtid="{D5CDD505-2E9C-101B-9397-08002B2CF9AE}" pid="4" name="AuthorIds_UIVersion_1024">
    <vt:lpwstr>17</vt:lpwstr>
  </property>
</Properties>
</file>